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D845" w14:textId="77777777" w:rsidR="00D64CFF" w:rsidRDefault="00D64CFF" w:rsidP="00D64CFF">
      <w:pPr>
        <w:rPr>
          <w:rFonts w:asciiTheme="minorHAnsi" w:hAnsiTheme="minorHAnsi" w:cstheme="minorHAnsi"/>
          <w:b/>
          <w:bCs/>
          <w:i/>
          <w:iCs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bCs/>
          <w:i/>
          <w:iCs/>
          <w:noProof/>
          <w:sz w:val="18"/>
          <w:szCs w:val="18"/>
          <w:lang w:val="en-US"/>
        </w:rPr>
        <w:drawing>
          <wp:inline distT="0" distB="0" distL="0" distR="0" wp14:anchorId="7577F455" wp14:editId="199A779B">
            <wp:extent cx="9103474" cy="3025422"/>
            <wp:effectExtent l="0" t="0" r="2540" b="0"/>
            <wp:docPr id="28" name="Grafik 28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Tisch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8868" cy="3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7D86" w14:textId="77777777" w:rsidR="00D64CFF" w:rsidRDefault="00D64CFF" w:rsidP="00D64CFF">
      <w:pPr>
        <w:rPr>
          <w:rFonts w:asciiTheme="minorHAnsi" w:hAnsiTheme="minorHAnsi" w:cstheme="minorHAnsi"/>
          <w:b/>
          <w:bCs/>
          <w:i/>
          <w:iCs/>
          <w:sz w:val="18"/>
          <w:szCs w:val="18"/>
          <w:lang w:val="en-US"/>
        </w:rPr>
      </w:pPr>
    </w:p>
    <w:p w14:paraId="201C632B" w14:textId="77777777" w:rsidR="000B211E" w:rsidRDefault="000B211E" w:rsidP="00D64CFF">
      <w:pPr>
        <w:rPr>
          <w:rFonts w:asciiTheme="minorHAnsi" w:hAnsiTheme="minorHAnsi" w:cstheme="minorHAnsi"/>
          <w:b/>
          <w:bCs/>
          <w:i/>
          <w:iCs/>
          <w:sz w:val="18"/>
          <w:szCs w:val="18"/>
          <w:lang w:val="en-US"/>
        </w:rPr>
      </w:pPr>
    </w:p>
    <w:p w14:paraId="737548D4" w14:textId="68E8A764" w:rsidR="00D64CFF" w:rsidRPr="00D64CFF" w:rsidRDefault="00D64CFF" w:rsidP="00D64CFF">
      <w:pPr>
        <w:rPr>
          <w:rFonts w:asciiTheme="minorHAnsi" w:hAnsiTheme="minorHAnsi" w:cstheme="minorHAnsi"/>
          <w:i/>
          <w:iCs/>
          <w:sz w:val="28"/>
          <w:szCs w:val="28"/>
          <w:lang w:val="en-US"/>
        </w:rPr>
      </w:pPr>
      <w:bookmarkStart w:id="0" w:name="_Toc132469769"/>
      <w:r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Supplement</w:t>
      </w:r>
      <w:r w:rsidR="000024D9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ary Figure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0024D9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2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: Quantitative sex differences of TWuAs within uAs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bscript"/>
          <w:lang w:val="en-US"/>
        </w:rPr>
        <w:t xml:space="preserve">UC, 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uAs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bscript"/>
          <w:lang w:val="en-US"/>
        </w:rPr>
        <w:t>C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, and uAs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bscript"/>
          <w:lang w:val="en-US"/>
        </w:rPr>
        <w:t>N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.</w:t>
      </w:r>
      <w:bookmarkEnd w:id="0"/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D64CFF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br/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>All n=5400 samples (2493 males, 2907 females)</w:t>
      </w:r>
      <w:r w:rsidRPr="00D64CFF">
        <w:rPr>
          <w:rFonts w:ascii="Calibri" w:hAnsi="Calibri" w:cs="Calibri"/>
          <w:sz w:val="28"/>
          <w:szCs w:val="28"/>
          <w:lang w:val="en-US"/>
        </w:rPr>
        <w:t xml:space="preserve"> were</w:t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 xml:space="preserve"> in the age band 14-82 years, &lt; 500 </w:t>
      </w:r>
      <w:r w:rsidRPr="00D64CFF">
        <w:rPr>
          <w:rFonts w:ascii="Symbol" w:hAnsi="Symbol" w:cstheme="minorHAnsi"/>
          <w:sz w:val="28"/>
          <w:szCs w:val="28"/>
          <w:lang w:val="en-US"/>
        </w:rPr>
        <w:sym w:font="Symbol" w:char="F06D"/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>g/L uAs</w:t>
      </w:r>
      <w:r w:rsidRPr="00D64CFF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UC,</w:t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 xml:space="preserve"> and uCR &lt; 4.5 g/L. Bars/Error bars: means/SE of log-transformed, sex-differentiated TWuAs data. The significance (p) of sex differences within each log-transformed TWuAs dataset was established by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the </w:t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 xml:space="preserve">Mann-Whitney U </w:t>
      </w:r>
      <w:r w:rsidRPr="00D64CFF">
        <w:rPr>
          <w:rFonts w:ascii="Calibri" w:hAnsi="Calibri" w:cs="Calibri"/>
          <w:sz w:val="28"/>
          <w:szCs w:val="28"/>
          <w:lang w:val="en-US"/>
        </w:rPr>
        <w:t>test</w:t>
      </w:r>
      <w:r w:rsidRPr="00D64CFF">
        <w:rPr>
          <w:rFonts w:asciiTheme="minorHAnsi" w:hAnsiTheme="minorHAnsi" w:cstheme="minorHAnsi"/>
          <w:sz w:val="28"/>
          <w:szCs w:val="28"/>
          <w:lang w:val="en-US"/>
        </w:rPr>
        <w:t>. In addition, linear statistical data are given in the table.</w:t>
      </w:r>
    </w:p>
    <w:p w14:paraId="1FD96FED" w14:textId="1B919027" w:rsidR="00CF21B4" w:rsidRPr="005043FF" w:rsidRDefault="00CF21B4" w:rsidP="00CF21B4">
      <w:pPr>
        <w:rPr>
          <w:rFonts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</w:pPr>
    </w:p>
    <w:sectPr w:rsidR="00CF21B4" w:rsidRPr="005043FF" w:rsidSect="00092F1E">
      <w:pgSz w:w="16817" w:h="11901" w:orient="landscape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0024D9"/>
    <w:rsid w:val="000823E5"/>
    <w:rsid w:val="00092F1E"/>
    <w:rsid w:val="000B211E"/>
    <w:rsid w:val="000C687A"/>
    <w:rsid w:val="00216184"/>
    <w:rsid w:val="00234983"/>
    <w:rsid w:val="005043FF"/>
    <w:rsid w:val="00645557"/>
    <w:rsid w:val="006B7C87"/>
    <w:rsid w:val="00710B96"/>
    <w:rsid w:val="00770D47"/>
    <w:rsid w:val="00920393"/>
    <w:rsid w:val="00CF21B4"/>
    <w:rsid w:val="00D64CFF"/>
    <w:rsid w:val="00F0277F"/>
    <w:rsid w:val="00F42DA6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3FF"/>
    <w:pPr>
      <w:ind w:left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43FF"/>
    <w:pPr>
      <w:keepNext/>
      <w:keepLines/>
      <w:spacing w:before="40"/>
      <w:ind w:left="23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  <w:ind w:left="238"/>
    </w:pPr>
    <w:rPr>
      <w:rFonts w:asciiTheme="majorHAnsi" w:hAnsiTheme="majorHAnsi" w:cstheme="majorHAnsi"/>
      <w:b/>
      <w:bCs/>
      <w:caps/>
      <w:kern w:val="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43F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2023-05-28T09:10:00Z</dcterms:created>
  <dcterms:modified xsi:type="dcterms:W3CDTF">2023-05-29T15:16:00Z</dcterms:modified>
</cp:coreProperties>
</file>