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E4E16" w14:textId="77777777" w:rsidR="00092F1E" w:rsidRPr="000823E5" w:rsidRDefault="00092F1E" w:rsidP="00092F1E">
      <w:pPr>
        <w:rPr>
          <w:rFonts w:asciiTheme="minorHAnsi" w:hAnsiTheme="minorHAnsi" w:cstheme="minorHAnsi"/>
          <w:b/>
          <w:bCs/>
          <w:i/>
          <w:iCs/>
          <w:sz w:val="18"/>
          <w:szCs w:val="18"/>
          <w:lang w:val="en-US"/>
        </w:rPr>
      </w:pPr>
      <w:r w:rsidRPr="000823E5">
        <w:rPr>
          <w:rFonts w:asciiTheme="minorHAnsi" w:hAnsiTheme="minorHAnsi" w:cstheme="minorHAnsi"/>
          <w:b/>
          <w:bCs/>
          <w:i/>
          <w:iCs/>
          <w:noProof/>
          <w:sz w:val="18"/>
          <w:szCs w:val="18"/>
          <w:lang w:val="en-US"/>
        </w:rPr>
        <w:drawing>
          <wp:inline distT="0" distB="0" distL="0" distR="0" wp14:anchorId="55418EF8" wp14:editId="4CE063BE">
            <wp:extent cx="7004764" cy="4718755"/>
            <wp:effectExtent l="0" t="0" r="5715" b="5715"/>
            <wp:docPr id="2" name="Grafik 2"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687414" name="Grafik 2" descr="Ein Bild, das Diagramm enthält.&#10;&#10;Automatisch generierte Beschreibu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038940" cy="4741777"/>
                    </a:xfrm>
                    <a:prstGeom prst="rect">
                      <a:avLst/>
                    </a:prstGeom>
                  </pic:spPr>
                </pic:pic>
              </a:graphicData>
            </a:graphic>
          </wp:inline>
        </w:drawing>
      </w:r>
    </w:p>
    <w:p w14:paraId="586DFBDD" w14:textId="77777777" w:rsidR="00AF717E" w:rsidRDefault="00AF717E" w:rsidP="00CF21B4">
      <w:pPr>
        <w:rPr>
          <w:rStyle w:val="berschrift4Zchn"/>
          <w:rFonts w:asciiTheme="minorHAnsi" w:hAnsiTheme="minorHAnsi" w:cstheme="minorHAnsi"/>
          <w:b/>
          <w:bCs/>
          <w:color w:val="000000" w:themeColor="text1"/>
          <w:sz w:val="28"/>
          <w:szCs w:val="28"/>
          <w:lang w:val="en-US"/>
        </w:rPr>
      </w:pPr>
    </w:p>
    <w:p w14:paraId="1FD96FED" w14:textId="674FD34B" w:rsidR="00CF21B4" w:rsidRPr="005043FF" w:rsidRDefault="000823E5" w:rsidP="00CF21B4">
      <w:pPr>
        <w:rPr>
          <w:rFonts w:cstheme="minorHAnsi"/>
          <w:b/>
          <w:bCs/>
          <w:color w:val="000000" w:themeColor="text1"/>
          <w:sz w:val="18"/>
          <w:szCs w:val="18"/>
          <w:shd w:val="clear" w:color="auto" w:fill="FFFFFF"/>
          <w:lang w:val="en-US"/>
        </w:rPr>
      </w:pPr>
      <w:r w:rsidRPr="000823E5">
        <w:rPr>
          <w:rStyle w:val="berschrift4Zchn"/>
          <w:rFonts w:asciiTheme="minorHAnsi" w:hAnsiTheme="minorHAnsi" w:cstheme="minorHAnsi"/>
          <w:b/>
          <w:bCs/>
          <w:color w:val="000000" w:themeColor="text1"/>
          <w:sz w:val="28"/>
          <w:szCs w:val="28"/>
          <w:lang w:val="en-US"/>
        </w:rPr>
        <w:t>Supplement</w:t>
      </w:r>
      <w:r w:rsidR="007B1104">
        <w:rPr>
          <w:rStyle w:val="berschrift4Zchn"/>
          <w:rFonts w:asciiTheme="minorHAnsi" w:hAnsiTheme="minorHAnsi" w:cstheme="minorHAnsi"/>
          <w:b/>
          <w:bCs/>
          <w:color w:val="000000" w:themeColor="text1"/>
          <w:sz w:val="28"/>
          <w:szCs w:val="28"/>
          <w:lang w:val="en-US"/>
        </w:rPr>
        <w:t>ary Figure</w:t>
      </w:r>
      <w:r w:rsidR="00092F1E" w:rsidRPr="000823E5">
        <w:rPr>
          <w:rStyle w:val="berschrift4Zchn"/>
          <w:rFonts w:asciiTheme="minorHAnsi" w:hAnsiTheme="minorHAnsi" w:cstheme="minorHAnsi"/>
          <w:b/>
          <w:bCs/>
          <w:color w:val="000000" w:themeColor="text1"/>
          <w:sz w:val="28"/>
          <w:szCs w:val="28"/>
          <w:lang w:val="en-US"/>
        </w:rPr>
        <w:t xml:space="preserve"> </w:t>
      </w:r>
      <w:r w:rsidR="007B1104">
        <w:rPr>
          <w:rStyle w:val="berschrift4Zchn"/>
          <w:rFonts w:asciiTheme="minorHAnsi" w:hAnsiTheme="minorHAnsi" w:cstheme="minorHAnsi"/>
          <w:b/>
          <w:bCs/>
          <w:color w:val="000000" w:themeColor="text1"/>
          <w:sz w:val="28"/>
          <w:szCs w:val="28"/>
          <w:lang w:val="en-US"/>
        </w:rPr>
        <w:t>1</w:t>
      </w:r>
      <w:r w:rsidR="00092F1E" w:rsidRPr="000823E5">
        <w:rPr>
          <w:rStyle w:val="berschrift4Zchn"/>
          <w:rFonts w:asciiTheme="minorHAnsi" w:hAnsiTheme="minorHAnsi" w:cstheme="minorHAnsi"/>
          <w:b/>
          <w:bCs/>
          <w:color w:val="000000" w:themeColor="text1"/>
          <w:sz w:val="28"/>
          <w:szCs w:val="28"/>
          <w:lang w:val="en-US"/>
        </w:rPr>
        <w:t>: Influence of age on medians and ICRs of uCR and TWuAs.</w:t>
      </w:r>
      <w:r w:rsidR="00092F1E" w:rsidRPr="000823E5">
        <w:rPr>
          <w:rFonts w:asciiTheme="minorHAnsi" w:hAnsiTheme="minorHAnsi" w:cstheme="minorHAnsi"/>
          <w:color w:val="000000" w:themeColor="text1"/>
          <w:sz w:val="28"/>
          <w:szCs w:val="28"/>
          <w:lang w:val="en-US"/>
        </w:rPr>
        <w:t xml:space="preserve"> </w:t>
      </w:r>
      <w:r w:rsidR="00092F1E" w:rsidRPr="000823E5">
        <w:rPr>
          <w:rFonts w:asciiTheme="minorHAnsi" w:hAnsiTheme="minorHAnsi" w:cstheme="minorHAnsi"/>
          <w:color w:val="000000" w:themeColor="text1"/>
          <w:sz w:val="28"/>
          <w:szCs w:val="28"/>
          <w:lang w:val="en-US"/>
        </w:rPr>
        <w:br/>
      </w:r>
      <w:r w:rsidR="00092F1E" w:rsidRPr="000823E5">
        <w:rPr>
          <w:rFonts w:asciiTheme="minorHAnsi" w:hAnsiTheme="minorHAnsi" w:cstheme="minorHAnsi"/>
          <w:sz w:val="28"/>
          <w:szCs w:val="28"/>
          <w:lang w:val="en-US"/>
        </w:rPr>
        <w:t>All samples with age indication, uAs</w:t>
      </w:r>
      <w:r w:rsidR="00092F1E" w:rsidRPr="000823E5">
        <w:rPr>
          <w:rFonts w:asciiTheme="minorHAnsi" w:hAnsiTheme="minorHAnsi" w:cstheme="minorHAnsi"/>
          <w:sz w:val="28"/>
          <w:szCs w:val="28"/>
          <w:vertAlign w:val="subscript"/>
          <w:lang w:val="en-US"/>
        </w:rPr>
        <w:t>UC</w:t>
      </w:r>
      <w:r w:rsidR="00092F1E" w:rsidRPr="000823E5">
        <w:rPr>
          <w:rFonts w:asciiTheme="minorHAnsi" w:hAnsiTheme="minorHAnsi" w:cstheme="minorHAnsi"/>
          <w:sz w:val="28"/>
          <w:szCs w:val="28"/>
          <w:lang w:val="en-US"/>
        </w:rPr>
        <w:t xml:space="preserve"> </w:t>
      </w:r>
      <w:r w:rsidR="00092F1E" w:rsidRPr="000823E5">
        <w:rPr>
          <w:rFonts w:asciiTheme="minorHAnsi" w:hAnsiTheme="minorHAnsi" w:cstheme="minorHAnsi"/>
          <w:color w:val="202124"/>
          <w:sz w:val="28"/>
          <w:szCs w:val="28"/>
          <w:shd w:val="clear" w:color="auto" w:fill="FFFFFF"/>
          <w:lang w:val="en-US"/>
        </w:rPr>
        <w:t xml:space="preserve">≤ 500 </w:t>
      </w:r>
      <w:r w:rsidR="00092F1E" w:rsidRPr="000823E5">
        <w:rPr>
          <w:rFonts w:ascii="Symbol" w:hAnsi="Symbol" w:cstheme="minorHAnsi"/>
          <w:color w:val="202124"/>
          <w:sz w:val="28"/>
          <w:szCs w:val="28"/>
          <w:shd w:val="clear" w:color="auto" w:fill="FFFFFF"/>
        </w:rPr>
        <w:sym w:font="Symbol" w:char="F06D"/>
      </w:r>
      <w:r w:rsidR="00092F1E" w:rsidRPr="000823E5">
        <w:rPr>
          <w:rFonts w:asciiTheme="minorHAnsi" w:hAnsiTheme="minorHAnsi" w:cstheme="minorHAnsi"/>
          <w:color w:val="202124"/>
          <w:sz w:val="28"/>
          <w:szCs w:val="28"/>
          <w:shd w:val="clear" w:color="auto" w:fill="FFFFFF"/>
          <w:lang w:val="en-US"/>
        </w:rPr>
        <w:t>g/L, and uCR &lt; 4</w:t>
      </w:r>
      <w:r w:rsidR="00092F1E" w:rsidRPr="000823E5">
        <w:rPr>
          <w:rFonts w:asciiTheme="minorHAnsi" w:hAnsiTheme="minorHAnsi" w:cstheme="minorHAnsi"/>
          <w:sz w:val="28"/>
          <w:szCs w:val="28"/>
          <w:lang w:val="en-US"/>
        </w:rPr>
        <w:t>.</w:t>
      </w:r>
      <w:r w:rsidR="00092F1E" w:rsidRPr="000823E5">
        <w:rPr>
          <w:rFonts w:asciiTheme="minorHAnsi" w:hAnsiTheme="minorHAnsi" w:cstheme="minorHAnsi"/>
          <w:color w:val="202124"/>
          <w:sz w:val="28"/>
          <w:szCs w:val="28"/>
          <w:shd w:val="clear" w:color="auto" w:fill="FFFFFF"/>
          <w:lang w:val="en-US"/>
        </w:rPr>
        <w:t xml:space="preserve">5 g/L </w:t>
      </w:r>
      <w:r w:rsidR="00092F1E" w:rsidRPr="000823E5">
        <w:rPr>
          <w:rFonts w:asciiTheme="minorHAnsi" w:hAnsiTheme="minorHAnsi" w:cstheme="minorHAnsi"/>
          <w:sz w:val="28"/>
          <w:szCs w:val="28"/>
          <w:lang w:val="en-US"/>
        </w:rPr>
        <w:t>(n=5585, females n= 2967, males n = 2618) were classified into seven identical age groups as in Fig</w:t>
      </w:r>
      <w:r w:rsidR="00092F1E" w:rsidRPr="000823E5">
        <w:rPr>
          <w:rFonts w:ascii="Calibri" w:hAnsi="Calibri" w:cs="Calibri"/>
          <w:sz w:val="28"/>
          <w:szCs w:val="28"/>
          <w:lang w:val="en-US"/>
        </w:rPr>
        <w:t xml:space="preserve"> </w:t>
      </w:r>
      <w:r w:rsidR="00092F1E" w:rsidRPr="000823E5">
        <w:rPr>
          <w:rFonts w:asciiTheme="minorHAnsi" w:hAnsiTheme="minorHAnsi" w:cstheme="minorHAnsi"/>
          <w:sz w:val="28"/>
          <w:szCs w:val="28"/>
          <w:lang w:val="en-US"/>
        </w:rPr>
        <w:t>1 (0-10 y, 11-20 y, 21-</w:t>
      </w:r>
      <w:r w:rsidR="00092F1E" w:rsidRPr="000823E5">
        <w:rPr>
          <w:rFonts w:ascii="Calibri" w:hAnsi="Calibri" w:cs="Calibri"/>
          <w:sz w:val="28"/>
          <w:szCs w:val="28"/>
          <w:lang w:val="en-US"/>
        </w:rPr>
        <w:t>35 y</w:t>
      </w:r>
      <w:r w:rsidR="00092F1E" w:rsidRPr="000823E5">
        <w:rPr>
          <w:rFonts w:asciiTheme="minorHAnsi" w:hAnsiTheme="minorHAnsi" w:cstheme="minorHAnsi"/>
          <w:sz w:val="28"/>
          <w:szCs w:val="28"/>
          <w:lang w:val="en-US"/>
        </w:rPr>
        <w:t>, 36-</w:t>
      </w:r>
      <w:r w:rsidR="00092F1E" w:rsidRPr="000823E5">
        <w:rPr>
          <w:rFonts w:ascii="Calibri" w:hAnsi="Calibri" w:cs="Calibri"/>
          <w:sz w:val="28"/>
          <w:szCs w:val="28"/>
          <w:lang w:val="en-US"/>
        </w:rPr>
        <w:t>50 y</w:t>
      </w:r>
      <w:r w:rsidR="00092F1E" w:rsidRPr="000823E5">
        <w:rPr>
          <w:rFonts w:asciiTheme="minorHAnsi" w:hAnsiTheme="minorHAnsi" w:cstheme="minorHAnsi"/>
          <w:sz w:val="28"/>
          <w:szCs w:val="28"/>
          <w:lang w:val="en-US"/>
        </w:rPr>
        <w:t>, 51-</w:t>
      </w:r>
      <w:r w:rsidR="00092F1E" w:rsidRPr="000823E5">
        <w:rPr>
          <w:rFonts w:ascii="Calibri" w:hAnsi="Calibri" w:cs="Calibri"/>
          <w:sz w:val="28"/>
          <w:szCs w:val="28"/>
          <w:lang w:val="en-US"/>
        </w:rPr>
        <w:t>65 y</w:t>
      </w:r>
      <w:r w:rsidR="00092F1E" w:rsidRPr="000823E5">
        <w:rPr>
          <w:rFonts w:asciiTheme="minorHAnsi" w:hAnsiTheme="minorHAnsi" w:cstheme="minorHAnsi"/>
          <w:sz w:val="28"/>
          <w:szCs w:val="28"/>
          <w:lang w:val="en-US"/>
        </w:rPr>
        <w:t>, 66-</w:t>
      </w:r>
      <w:r w:rsidR="00092F1E" w:rsidRPr="000823E5">
        <w:rPr>
          <w:rFonts w:ascii="Calibri" w:hAnsi="Calibri" w:cs="Calibri"/>
          <w:sz w:val="28"/>
          <w:szCs w:val="28"/>
          <w:lang w:val="en-US"/>
        </w:rPr>
        <w:t>80 y, &gt;80 y</w:t>
      </w:r>
      <w:r w:rsidR="00092F1E" w:rsidRPr="000823E5">
        <w:rPr>
          <w:rFonts w:asciiTheme="minorHAnsi" w:hAnsiTheme="minorHAnsi" w:cstheme="minorHAnsi"/>
          <w:sz w:val="28"/>
          <w:szCs w:val="28"/>
          <w:lang w:val="en-US"/>
        </w:rPr>
        <w:t xml:space="preserve">). The supplementary Excel file gives detailed descriptive statistics for each age group. Medians (squares) </w:t>
      </w:r>
      <w:r w:rsidR="00092F1E" w:rsidRPr="000823E5">
        <w:rPr>
          <w:rFonts w:ascii="Calibri" w:hAnsi="Calibri" w:cs="Calibri"/>
          <w:sz w:val="28"/>
          <w:szCs w:val="28"/>
          <w:lang w:val="en-US"/>
        </w:rPr>
        <w:t>±</w:t>
      </w:r>
      <w:r w:rsidR="00092F1E" w:rsidRPr="000823E5">
        <w:rPr>
          <w:rFonts w:asciiTheme="minorHAnsi" w:hAnsiTheme="minorHAnsi" w:cstheme="minorHAnsi"/>
          <w:sz w:val="28"/>
          <w:szCs w:val="28"/>
          <w:lang w:val="en-US"/>
        </w:rPr>
        <w:t xml:space="preserve"> ICRs (vertical error bars) were calculated for uCR (A), uAs</w:t>
      </w:r>
      <w:r w:rsidR="00092F1E" w:rsidRPr="000823E5">
        <w:rPr>
          <w:rFonts w:asciiTheme="minorHAnsi" w:hAnsiTheme="minorHAnsi" w:cstheme="minorHAnsi"/>
          <w:sz w:val="28"/>
          <w:szCs w:val="28"/>
          <w:vertAlign w:val="subscript"/>
          <w:lang w:val="en-US"/>
        </w:rPr>
        <w:t>UC</w:t>
      </w:r>
      <w:r w:rsidR="00092F1E" w:rsidRPr="000823E5">
        <w:rPr>
          <w:rFonts w:asciiTheme="minorHAnsi" w:hAnsiTheme="minorHAnsi" w:cstheme="minorHAnsi"/>
          <w:sz w:val="28"/>
          <w:szCs w:val="28"/>
          <w:lang w:val="en-US"/>
        </w:rPr>
        <w:t xml:space="preserve"> (B), uAs</w:t>
      </w:r>
      <w:r w:rsidR="00092F1E" w:rsidRPr="000823E5">
        <w:rPr>
          <w:rFonts w:asciiTheme="minorHAnsi" w:hAnsiTheme="minorHAnsi" w:cstheme="minorHAnsi"/>
          <w:sz w:val="28"/>
          <w:szCs w:val="28"/>
          <w:vertAlign w:val="subscript"/>
          <w:lang w:val="en-US"/>
        </w:rPr>
        <w:t xml:space="preserve">C </w:t>
      </w:r>
      <w:r w:rsidR="00092F1E" w:rsidRPr="000823E5">
        <w:rPr>
          <w:rFonts w:asciiTheme="minorHAnsi" w:hAnsiTheme="minorHAnsi" w:cstheme="minorHAnsi"/>
          <w:sz w:val="28"/>
          <w:szCs w:val="28"/>
          <w:lang w:val="en-US"/>
        </w:rPr>
        <w:t>(C), and uAs</w:t>
      </w:r>
      <w:r w:rsidR="00092F1E" w:rsidRPr="000823E5">
        <w:rPr>
          <w:rFonts w:asciiTheme="minorHAnsi" w:hAnsiTheme="minorHAnsi" w:cstheme="minorHAnsi"/>
          <w:sz w:val="28"/>
          <w:szCs w:val="28"/>
          <w:vertAlign w:val="subscript"/>
          <w:lang w:val="en-US"/>
        </w:rPr>
        <w:t xml:space="preserve">N </w:t>
      </w:r>
      <w:r w:rsidR="00092F1E" w:rsidRPr="000823E5">
        <w:rPr>
          <w:rFonts w:asciiTheme="minorHAnsi" w:hAnsiTheme="minorHAnsi" w:cstheme="minorHAnsi"/>
          <w:sz w:val="28"/>
          <w:szCs w:val="28"/>
          <w:lang w:val="en-US"/>
        </w:rPr>
        <w:t>(D) in sex-aggregate data. Horizontal age error bars were omitted as age SEs in individual age bands ranged from 0.09 to 0.53 years and thus were too small for visual delimitation from measurement points. Sex ratios of mean values are illustrated in the inlays of Figures A-D. The sample sizes of the individual subgroups are shown in parentheses next to the data points in (D).</w:t>
      </w:r>
    </w:p>
    <w:sectPr w:rsidR="00CF21B4" w:rsidRPr="005043FF" w:rsidSect="00092F1E">
      <w:pgSz w:w="16817" w:h="11901" w:orient="landscape"/>
      <w:pgMar w:top="680" w:right="1134" w:bottom="68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393"/>
    <w:rsid w:val="000823E5"/>
    <w:rsid w:val="00092F1E"/>
    <w:rsid w:val="000C687A"/>
    <w:rsid w:val="00216184"/>
    <w:rsid w:val="00234983"/>
    <w:rsid w:val="005043FF"/>
    <w:rsid w:val="00645557"/>
    <w:rsid w:val="006B7C87"/>
    <w:rsid w:val="00770D47"/>
    <w:rsid w:val="007B1104"/>
    <w:rsid w:val="00920393"/>
    <w:rsid w:val="00AF717E"/>
    <w:rsid w:val="00CF21B4"/>
    <w:rsid w:val="00F0277F"/>
    <w:rsid w:val="00F42DA6"/>
    <w:rsid w:val="00FF3D0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832CD"/>
  <w15:chartTrackingRefBased/>
  <w15:docId w15:val="{CB0A9660-2377-F849-B454-5249230D5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CH" w:eastAsia="en-US" w:bidi="ar-SA"/>
        <w14:ligatures w14:val="standardContextual"/>
      </w:rPr>
    </w:rPrDefault>
    <w:pPrDefault>
      <w:pPr>
        <w:ind w:left="23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43FF"/>
    <w:pPr>
      <w:ind w:left="0"/>
    </w:pPr>
    <w:rPr>
      <w:rFonts w:ascii="Times New Roman" w:eastAsia="Times New Roman" w:hAnsi="Times New Roman" w:cs="Times New Roman"/>
      <w:kern w:val="0"/>
      <w:lang w:eastAsia="de-DE"/>
      <w14:ligatures w14:val="none"/>
    </w:rPr>
  </w:style>
  <w:style w:type="paragraph" w:styleId="berschrift4">
    <w:name w:val="heading 4"/>
    <w:basedOn w:val="Standard"/>
    <w:next w:val="Standard"/>
    <w:link w:val="berschrift4Zchn"/>
    <w:uiPriority w:val="9"/>
    <w:unhideWhenUsed/>
    <w:qFormat/>
    <w:rsid w:val="005043FF"/>
    <w:pPr>
      <w:keepNext/>
      <w:keepLines/>
      <w:spacing w:before="40"/>
      <w:ind w:left="238"/>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aliases w:val="Lancet"/>
    <w:basedOn w:val="Standard"/>
    <w:next w:val="Standard"/>
    <w:autoRedefine/>
    <w:uiPriority w:val="39"/>
    <w:unhideWhenUsed/>
    <w:rsid w:val="00F42DA6"/>
    <w:pPr>
      <w:spacing w:before="360"/>
      <w:ind w:left="238"/>
    </w:pPr>
    <w:rPr>
      <w:rFonts w:asciiTheme="majorHAnsi" w:hAnsiTheme="majorHAnsi" w:cstheme="majorHAnsi"/>
      <w:b/>
      <w:bCs/>
      <w:caps/>
      <w:kern w:val="2"/>
      <w14:ligatures w14:val="standardContextual"/>
    </w:rPr>
  </w:style>
  <w:style w:type="character" w:customStyle="1" w:styleId="berschrift4Zchn">
    <w:name w:val="Überschrift 4 Zchn"/>
    <w:basedOn w:val="Absatz-Standardschriftart"/>
    <w:link w:val="berschrift4"/>
    <w:uiPriority w:val="9"/>
    <w:rsid w:val="005043FF"/>
    <w:rPr>
      <w:rFonts w:asciiTheme="majorHAnsi" w:eastAsiaTheme="majorEastAsia" w:hAnsiTheme="majorHAnsi" w:cstheme="majorBidi"/>
      <w:i/>
      <w:iCs/>
      <w:color w:val="2F5496" w:themeColor="accent1" w:themeShade="BF"/>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767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Carmine</dc:creator>
  <cp:keywords/>
  <dc:description/>
  <cp:lastModifiedBy>Thomas Carmine</cp:lastModifiedBy>
  <cp:revision>4</cp:revision>
  <dcterms:created xsi:type="dcterms:W3CDTF">2023-05-28T09:08:00Z</dcterms:created>
  <dcterms:modified xsi:type="dcterms:W3CDTF">2023-05-29T15:15:00Z</dcterms:modified>
</cp:coreProperties>
</file>