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imes New Roman" w:hAnsi="Times New Roman" w:eastAsia="MS Mincho"/>
          <w:b/>
          <w:bCs/>
          <w:kern w:val="0"/>
          <w:sz w:val="40"/>
          <w:szCs w:val="40"/>
          <w:lang w:eastAsia="ja-JP"/>
        </w:rPr>
      </w:pPr>
      <w:bookmarkStart w:id="0" w:name="_Hlk82092818"/>
      <w:bookmarkEnd w:id="0"/>
      <w:r>
        <w:rPr>
          <w:rFonts w:ascii="Times New Roman" w:hAnsi="Times New Roman" w:eastAsia="MS Mincho"/>
          <w:b/>
          <w:bCs/>
          <w:kern w:val="0"/>
          <w:sz w:val="40"/>
          <w:szCs w:val="40"/>
          <w:lang w:eastAsia="ja-JP"/>
        </w:rPr>
        <w:t>Supplementary Materials</w:t>
      </w:r>
    </w:p>
    <w:p>
      <w:pPr>
        <w:spacing w:line="360" w:lineRule="auto"/>
        <w:jc w:val="center"/>
        <w:rPr>
          <w:rFonts w:ascii="Times New Roman" w:hAnsi="Times New Roman" w:cs="Times New Roman" w:eastAsiaTheme="majorEastAsia"/>
          <w:b/>
          <w:bCs/>
          <w:sz w:val="30"/>
          <w:szCs w:val="30"/>
        </w:rPr>
      </w:pPr>
      <w:r>
        <w:rPr>
          <w:rFonts w:hint="eastAsia" w:ascii="Times New Roman" w:hAnsi="Times New Roman" w:cs="Times New Roman" w:eastAsiaTheme="majorEastAsia"/>
          <w:b/>
          <w:bCs/>
          <w:sz w:val="30"/>
          <w:szCs w:val="30"/>
        </w:rPr>
        <w:t>S</w:t>
      </w:r>
      <w:r>
        <w:rPr>
          <w:rFonts w:ascii="Times New Roman" w:hAnsi="Times New Roman" w:cs="Times New Roman" w:eastAsiaTheme="majorEastAsia"/>
          <w:b/>
          <w:bCs/>
          <w:sz w:val="30"/>
          <w:szCs w:val="30"/>
        </w:rPr>
        <w:t xml:space="preserve">pace-confined synthesis of </w:t>
      </w:r>
      <w:bookmarkStart w:id="1" w:name="_Hlk114770418"/>
      <w:r>
        <w:rPr>
          <w:rFonts w:ascii="Times New Roman" w:hAnsi="Times New Roman" w:cs="Times New Roman" w:eastAsiaTheme="majorEastAsia"/>
          <w:b/>
          <w:bCs/>
          <w:sz w:val="30"/>
          <w:szCs w:val="30"/>
        </w:rPr>
        <w:t>CoSe</w:t>
      </w:r>
      <w:r>
        <w:rPr>
          <w:rFonts w:ascii="Times New Roman" w:hAnsi="Times New Roman" w:cs="Times New Roman" w:eastAsiaTheme="majorEastAsia"/>
          <w:b/>
          <w:bCs/>
          <w:sz w:val="30"/>
          <w:szCs w:val="30"/>
          <w:vertAlign w:val="subscript"/>
        </w:rPr>
        <w:t>2</w:t>
      </w:r>
      <w:r>
        <w:rPr>
          <w:rFonts w:hint="eastAsia" w:ascii="Times New Roman" w:hAnsi="Times New Roman" w:cs="Times New Roman" w:eastAsiaTheme="majorEastAsia"/>
          <w:b/>
          <w:bCs/>
          <w:sz w:val="30"/>
          <w:szCs w:val="30"/>
        </w:rPr>
        <w:t>-</w:t>
      </w:r>
      <w:r>
        <w:rPr>
          <w:rFonts w:ascii="Times New Roman" w:hAnsi="Times New Roman" w:cs="Times New Roman" w:eastAsiaTheme="majorEastAsia"/>
          <w:b/>
          <w:bCs/>
          <w:sz w:val="30"/>
          <w:szCs w:val="30"/>
        </w:rPr>
        <w:t>NC</w:t>
      </w:r>
      <w:bookmarkEnd w:id="1"/>
      <w:r>
        <w:rPr>
          <w:rFonts w:ascii="Times New Roman" w:hAnsi="Times New Roman" w:cs="Times New Roman" w:eastAsiaTheme="majorEastAsia"/>
          <w:b/>
          <w:bCs/>
          <w:sz w:val="30"/>
          <w:szCs w:val="30"/>
          <w:vertAlign w:val="subscript"/>
        </w:rPr>
        <w:t xml:space="preserve"> </w:t>
      </w:r>
      <w:r>
        <w:rPr>
          <w:rFonts w:ascii="Times New Roman" w:hAnsi="Times New Roman" w:cs="Times New Roman" w:eastAsiaTheme="majorEastAsia"/>
          <w:b/>
          <w:bCs/>
          <w:sz w:val="30"/>
          <w:szCs w:val="30"/>
        </w:rPr>
        <w:t xml:space="preserve">nanoclusters anchored </w:t>
      </w:r>
      <w:r>
        <w:rPr>
          <w:rFonts w:hint="eastAsia" w:ascii="Times New Roman" w:hAnsi="Times New Roman" w:cs="Times New Roman" w:eastAsiaTheme="majorEastAsia"/>
          <w:b/>
          <w:bCs/>
          <w:sz w:val="30"/>
          <w:szCs w:val="30"/>
        </w:rPr>
        <w:t>on</w:t>
      </w:r>
      <w:r>
        <w:rPr>
          <w:rFonts w:ascii="Times New Roman" w:hAnsi="Times New Roman" w:cs="Times New Roman" w:eastAsiaTheme="majorEastAsia"/>
          <w:b/>
          <w:bCs/>
          <w:sz w:val="30"/>
          <w:szCs w:val="30"/>
        </w:rPr>
        <w:t xml:space="preserve"> honeycomb-</w:t>
      </w:r>
      <w:r>
        <w:rPr>
          <w:rFonts w:hint="eastAsia" w:ascii="Times New Roman" w:hAnsi="Times New Roman" w:cs="Times New Roman" w:eastAsiaTheme="majorEastAsia"/>
          <w:b/>
          <w:bCs/>
          <w:sz w:val="30"/>
          <w:szCs w:val="30"/>
        </w:rPr>
        <w:t>like</w:t>
      </w:r>
      <w:r>
        <w:rPr>
          <w:rFonts w:ascii="Times New Roman" w:hAnsi="Times New Roman" w:cs="Times New Roman" w:eastAsiaTheme="majorEastAsia"/>
          <w:b/>
          <w:bCs/>
          <w:sz w:val="30"/>
          <w:szCs w:val="30"/>
        </w:rPr>
        <w:t xml:space="preserve"> carbon framework toward</w:t>
      </w:r>
      <w:r>
        <w:rPr>
          <w:rFonts w:hint="eastAsia" w:ascii="Times New Roman" w:hAnsi="Times New Roman" w:cs="Times New Roman" w:eastAsiaTheme="majorEastAsia"/>
          <w:b/>
          <w:bCs/>
          <w:sz w:val="30"/>
          <w:szCs w:val="30"/>
        </w:rPr>
        <w:t>s</w:t>
      </w:r>
      <w:r>
        <w:rPr>
          <w:rFonts w:ascii="Times New Roman" w:hAnsi="Times New Roman" w:cs="Times New Roman" w:eastAsiaTheme="majorEastAsia"/>
          <w:b/>
          <w:bCs/>
          <w:sz w:val="30"/>
          <w:szCs w:val="30"/>
        </w:rPr>
        <w:t xml:space="preserve"> high-performance lithium sulfur battery</w:t>
      </w:r>
    </w:p>
    <w:p>
      <w:pPr>
        <w:spacing w:line="360" w:lineRule="auto"/>
        <w:ind w:firstLine="482"/>
        <w:jc w:val="center"/>
        <w:rPr>
          <w:rFonts w:ascii="Times New Roman" w:hAnsi="Times New Roman"/>
          <w:sz w:val="24"/>
        </w:rPr>
      </w:pPr>
      <w:r>
        <w:rPr>
          <w:rFonts w:ascii="Times New Roman" w:hAnsi="Times New Roman"/>
          <w:sz w:val="24"/>
        </w:rPr>
        <w:t>Sun Xinxing</w:t>
      </w:r>
      <w:r>
        <w:rPr>
          <w:rFonts w:hint="eastAsia" w:ascii="Times New Roman" w:hAnsi="Times New Roman"/>
          <w:sz w:val="24"/>
          <w:vertAlign w:val="superscript"/>
        </w:rPr>
        <w:t>1</w:t>
      </w:r>
      <w:r>
        <w:rPr>
          <w:rFonts w:ascii="Times New Roman" w:hAnsi="Times New Roman"/>
          <w:sz w:val="24"/>
        </w:rPr>
        <w:t xml:space="preserve">, </w:t>
      </w:r>
      <w:r>
        <w:rPr>
          <w:rFonts w:hint="eastAsia" w:ascii="Times New Roman" w:hAnsi="Times New Roman"/>
          <w:sz w:val="24"/>
        </w:rPr>
        <w:t>Gao Hongjing</w:t>
      </w:r>
      <w:r>
        <w:rPr>
          <w:rFonts w:hint="eastAsia" w:ascii="Times New Roman" w:hAnsi="Times New Roman"/>
          <w:sz w:val="24"/>
          <w:vertAlign w:val="superscript"/>
        </w:rPr>
        <w:t>1</w:t>
      </w:r>
      <w:r>
        <w:rPr>
          <w:rFonts w:hint="eastAsia" w:ascii="Times New Roman" w:hAnsi="Times New Roman"/>
          <w:sz w:val="24"/>
          <w:vertAlign w:val="superscript"/>
          <w:lang w:val="en-US" w:eastAsia="zh-CN"/>
        </w:rPr>
        <w:t xml:space="preserve"> </w:t>
      </w:r>
      <w:r>
        <w:rPr>
          <w:rFonts w:ascii="Times New Roman" w:hAnsi="Times New Roman"/>
          <w:sz w:val="24"/>
        </w:rPr>
        <w:t>*</w:t>
      </w:r>
      <w:r>
        <w:rPr>
          <w:rFonts w:hint="eastAsia" w:ascii="Times New Roman" w:hAnsi="Times New Roman"/>
          <w:sz w:val="24"/>
        </w:rPr>
        <w:t xml:space="preserve">, </w:t>
      </w:r>
      <w:r>
        <w:rPr>
          <w:rFonts w:ascii="Times New Roman" w:hAnsi="Times New Roman"/>
          <w:sz w:val="24"/>
        </w:rPr>
        <w:t>Liu Shuangke, Sun Weiwei, Li Yujie, Wang Danqin, Guo Qingpeng, Hong Xiaobin, Xu Jing, Zheng Chunman*</w:t>
      </w:r>
    </w:p>
    <w:p>
      <w:pPr>
        <w:spacing w:line="360" w:lineRule="auto"/>
        <w:ind w:firstLine="482"/>
        <w:jc w:val="center"/>
        <w:rPr>
          <w:rFonts w:ascii="Times New Roman" w:hAnsi="Times New Roman" w:cs="Times New Roman" w:eastAsiaTheme="majorEastAsia"/>
          <w:b/>
          <w:bCs/>
          <w:sz w:val="30"/>
          <w:szCs w:val="30"/>
        </w:rPr>
      </w:pPr>
      <w:r>
        <w:rPr>
          <w:rFonts w:ascii="Times New Roman" w:hAnsi="Times New Roman"/>
          <w:sz w:val="24"/>
        </w:rPr>
        <w:t>College of Aerospace Science and Engineering, National University of Defense Technology, Changsha, 410073, China</w:t>
      </w:r>
    </w:p>
    <w:p>
      <w:pPr>
        <w:pStyle w:val="20"/>
        <w:spacing w:line="360" w:lineRule="auto"/>
        <w:ind w:firstLine="0" w:firstLineChars="0"/>
        <w:textAlignment w:val="baseline"/>
        <w:rPr>
          <w:rFonts w:ascii="Times New Roman" w:hAnsi="Times New Roman" w:cs="Times New Roman"/>
        </w:rPr>
      </w:pPr>
      <w:r>
        <w:rPr>
          <w:rFonts w:ascii="Times New Roman" w:hAnsi="Times New Roman" w:eastAsia="黑体" w:cs="Times New Roman"/>
          <w:b/>
          <w:bCs/>
          <w:sz w:val="30"/>
          <w:szCs w:val="30"/>
        </w:rPr>
        <w:t>Abstract：</w:t>
      </w:r>
      <w:r>
        <w:rPr>
          <w:rFonts w:ascii="Times New Roman" w:hAnsi="Times New Roman" w:cs="Times New Roman"/>
        </w:rPr>
        <w:t xml:space="preserve">Lithium-sulfur </w:t>
      </w:r>
      <w:r>
        <w:rPr>
          <w:rFonts w:hint="eastAsia" w:ascii="Times New Roman" w:hAnsi="Times New Roman" w:cs="Times New Roman"/>
        </w:rPr>
        <w:t>(Li-S</w:t>
      </w:r>
      <w:r>
        <w:rPr>
          <w:rFonts w:ascii="Times New Roman" w:hAnsi="Times New Roman" w:cs="Times New Roman"/>
        </w:rPr>
        <w:t>) batter</w:t>
      </w:r>
      <w:r>
        <w:rPr>
          <w:rFonts w:hint="eastAsia" w:ascii="Times New Roman" w:hAnsi="Times New Roman" w:cs="Times New Roman"/>
        </w:rPr>
        <w:t>y</w:t>
      </w:r>
      <w:r>
        <w:rPr>
          <w:rFonts w:ascii="Times New Roman" w:hAnsi="Times New Roman" w:cs="Times New Roman"/>
        </w:rPr>
        <w:t xml:space="preserve"> ha</w:t>
      </w:r>
      <w:r>
        <w:rPr>
          <w:rFonts w:hint="eastAsia" w:ascii="Times New Roman" w:hAnsi="Times New Roman" w:cs="Times New Roman"/>
        </w:rPr>
        <w:t>s</w:t>
      </w:r>
      <w:r>
        <w:rPr>
          <w:rFonts w:ascii="Times New Roman" w:hAnsi="Times New Roman" w:cs="Times New Roman"/>
        </w:rPr>
        <w:t xml:space="preserve"> been considered to be one of the next generation high energy density rechargeable battery systems due to the high theoretical energy density, low cost and environmental friendliness. However, the commercial application of Li-S batter</w:t>
      </w:r>
      <w:r>
        <w:rPr>
          <w:rFonts w:hint="eastAsia" w:ascii="Times New Roman" w:hAnsi="Times New Roman" w:cs="Times New Roman"/>
        </w:rPr>
        <w:t>y</w:t>
      </w:r>
      <w:r>
        <w:rPr>
          <w:rFonts w:ascii="Times New Roman" w:hAnsi="Times New Roman" w:cs="Times New Roman"/>
        </w:rPr>
        <w:t xml:space="preserve"> still face</w:t>
      </w:r>
      <w:r>
        <w:rPr>
          <w:rFonts w:hint="eastAsia" w:ascii="Times New Roman" w:hAnsi="Times New Roman" w:cs="Times New Roman"/>
        </w:rPr>
        <w:t>s</w:t>
      </w:r>
      <w:r>
        <w:rPr>
          <w:rFonts w:ascii="Times New Roman" w:hAnsi="Times New Roman" w:cs="Times New Roman"/>
        </w:rPr>
        <w:t xml:space="preserve"> problems such as sluggish redox kinetics and infamous shuttle effect of sulfur cathode, which result in low sulfur utilization, poor cycle life and unsatisfied rate performance. </w:t>
      </w:r>
      <w:r>
        <w:rPr>
          <w:rFonts w:hint="eastAsia" w:ascii="Times New Roman" w:hAnsi="Times New Roman" w:cs="Times New Roman"/>
        </w:rPr>
        <w:t>Herein,</w:t>
      </w:r>
      <w:r>
        <w:rPr>
          <w:rFonts w:ascii="Times New Roman" w:hAnsi="Times New Roman" w:cs="Times New Roman"/>
        </w:rPr>
        <w:t xml:space="preserve"> we proposed a </w:t>
      </w:r>
      <w:r>
        <w:rPr>
          <w:rFonts w:ascii="Times New Roman" w:hAnsi="Times New Roman" w:cs="Times New Roman" w:eastAsiaTheme="majorEastAsia"/>
        </w:rPr>
        <w:t>CoSe</w:t>
      </w:r>
      <w:r>
        <w:rPr>
          <w:rFonts w:ascii="Times New Roman" w:hAnsi="Times New Roman" w:cs="Times New Roman" w:eastAsiaTheme="majorEastAsia"/>
          <w:vertAlign w:val="subscript"/>
        </w:rPr>
        <w:t>2</w:t>
      </w:r>
      <w:r>
        <w:rPr>
          <w:rFonts w:ascii="Times New Roman" w:hAnsi="Times New Roman" w:cs="Times New Roman" w:eastAsiaTheme="majorEastAsia"/>
        </w:rPr>
        <w:t>-NC</w:t>
      </w:r>
      <w:r>
        <w:rPr>
          <w:rFonts w:ascii="Times New Roman" w:hAnsi="Times New Roman" w:cs="Times New Roman" w:eastAsiaTheme="majorEastAsia"/>
          <w:vertAlign w:val="subscript"/>
        </w:rPr>
        <w:t xml:space="preserve"> </w:t>
      </w:r>
      <w:r>
        <w:rPr>
          <w:rFonts w:ascii="Times New Roman" w:hAnsi="Times New Roman" w:cs="Times New Roman" w:eastAsiaTheme="majorEastAsia"/>
        </w:rPr>
        <w:t>nanoclusters anchored honeycomb-like carbon framework (CoSe</w:t>
      </w:r>
      <w:r>
        <w:rPr>
          <w:rFonts w:ascii="Times New Roman" w:hAnsi="Times New Roman" w:cs="Times New Roman" w:eastAsiaTheme="majorEastAsia"/>
          <w:vertAlign w:val="subscript"/>
        </w:rPr>
        <w:t>2</w:t>
      </w:r>
      <w:r>
        <w:rPr>
          <w:rFonts w:hint="eastAsia" w:ascii="Times New Roman" w:hAnsi="Times New Roman" w:cs="Times New Roman" w:eastAsiaTheme="majorEastAsia"/>
        </w:rPr>
        <w:t>-NC @HCF</w:t>
      </w:r>
      <w:r>
        <w:rPr>
          <w:rFonts w:ascii="Times New Roman" w:hAnsi="Times New Roman" w:cs="Times New Roman" w:eastAsiaTheme="majorEastAsia"/>
        </w:rPr>
        <w:t>) as sulfur ho</w:t>
      </w:r>
      <w:r>
        <w:rPr>
          <w:rFonts w:ascii="Times New Roman" w:hAnsi="Times New Roman" w:cs="Times New Roman" w:eastAsiaTheme="majorEastAsia"/>
          <w:b/>
          <w:bCs/>
        </w:rPr>
        <w:t>s</w:t>
      </w:r>
      <w:r>
        <w:rPr>
          <w:rFonts w:ascii="Times New Roman" w:hAnsi="Times New Roman" w:cs="Times New Roman"/>
        </w:rPr>
        <w:t>ts aiming to accelerate sulfur conversion and inhibit polysulfide shuttle in Li-S electrochemistry via space-confined growth and in-situ selenization.</w:t>
      </w:r>
      <w:r>
        <w:rPr>
          <w:rFonts w:hint="eastAsia" w:ascii="Times New Roman" w:hAnsi="Times New Roman" w:cs="Times New Roman"/>
        </w:rPr>
        <w:t xml:space="preserve"> </w:t>
      </w:r>
      <w:r>
        <w:rPr>
          <w:rFonts w:ascii="Times New Roman" w:hAnsi="Times New Roman" w:cs="Times New Roman"/>
        </w:rPr>
        <w:t xml:space="preserve">The obtained </w:t>
      </w:r>
      <w:r>
        <w:rPr>
          <w:rFonts w:ascii="Times New Roman" w:hAnsi="Times New Roman" w:cs="Times New Roman" w:eastAsiaTheme="majorEastAsia"/>
        </w:rPr>
        <w:t>CoSe</w:t>
      </w:r>
      <w:r>
        <w:rPr>
          <w:rFonts w:ascii="Times New Roman" w:hAnsi="Times New Roman" w:cs="Times New Roman" w:eastAsiaTheme="majorEastAsia"/>
          <w:vertAlign w:val="subscript"/>
        </w:rPr>
        <w:t>2</w:t>
      </w:r>
      <w:r>
        <w:rPr>
          <w:rFonts w:hint="eastAsia" w:ascii="Times New Roman" w:hAnsi="Times New Roman" w:cs="Times New Roman" w:eastAsiaTheme="majorEastAsia"/>
        </w:rPr>
        <w:t>-NC@HCF</w:t>
      </w:r>
      <w:r>
        <w:rPr>
          <w:rFonts w:ascii="Times New Roman" w:hAnsi="Times New Roman" w:cs="Times New Roman"/>
        </w:rPr>
        <w:t xml:space="preserve"> provides </w:t>
      </w:r>
      <w:r>
        <w:rPr>
          <w:rFonts w:hint="eastAsia" w:ascii="Times New Roman" w:hAnsi="Times New Roman" w:cs="Times New Roman"/>
        </w:rPr>
        <w:t>strong</w:t>
      </w:r>
      <w:r>
        <w:rPr>
          <w:rFonts w:ascii="Times New Roman" w:hAnsi="Times New Roman" w:cs="Times New Roman"/>
        </w:rPr>
        <w:t xml:space="preserve"> chemical adsorption capability and </w:t>
      </w:r>
      <w:r>
        <w:rPr>
          <w:rFonts w:hint="eastAsia" w:ascii="Times New Roman" w:hAnsi="Times New Roman" w:cs="Times New Roman"/>
        </w:rPr>
        <w:t>massive</w:t>
      </w:r>
      <w:r>
        <w:rPr>
          <w:rFonts w:ascii="Times New Roman" w:hAnsi="Times New Roman" w:cs="Times New Roman"/>
        </w:rPr>
        <w:t xml:space="preserve"> polar cobalt active sites </w:t>
      </w:r>
      <w:r>
        <w:rPr>
          <w:rFonts w:hint="eastAsia" w:ascii="Times New Roman" w:hAnsi="Times New Roman" w:cs="Times New Roman"/>
        </w:rPr>
        <w:t>as</w:t>
      </w:r>
      <w:r>
        <w:rPr>
          <w:rFonts w:ascii="Times New Roman" w:hAnsi="Times New Roman" w:cs="Times New Roman"/>
        </w:rPr>
        <w:t xml:space="preserve"> </w:t>
      </w:r>
      <w:r>
        <w:rPr>
          <w:rFonts w:hint="eastAsia" w:ascii="Times New Roman" w:hAnsi="Times New Roman" w:cs="Times New Roman"/>
        </w:rPr>
        <w:t>well</w:t>
      </w:r>
      <w:r>
        <w:rPr>
          <w:rFonts w:ascii="Times New Roman" w:hAnsi="Times New Roman" w:cs="Times New Roman"/>
        </w:rPr>
        <w:t xml:space="preserve"> </w:t>
      </w:r>
      <w:r>
        <w:rPr>
          <w:rFonts w:hint="eastAsia" w:ascii="Times New Roman" w:hAnsi="Times New Roman" w:cs="Times New Roman"/>
        </w:rPr>
        <w:t>as</w:t>
      </w:r>
      <w:r>
        <w:rPr>
          <w:rFonts w:ascii="Times New Roman" w:hAnsi="Times New Roman" w:cs="Times New Roman"/>
        </w:rPr>
        <w:t xml:space="preserve"> </w:t>
      </w:r>
      <w:r>
        <w:rPr>
          <w:rFonts w:hint="eastAsia" w:ascii="Times New Roman" w:hAnsi="Times New Roman" w:cs="Times New Roman"/>
        </w:rPr>
        <w:t>abundant</w:t>
      </w:r>
      <w:r>
        <w:rPr>
          <w:rFonts w:ascii="Times New Roman" w:hAnsi="Times New Roman" w:cs="Times New Roman"/>
        </w:rPr>
        <w:t xml:space="preserve"> </w:t>
      </w:r>
      <w:r>
        <w:rPr>
          <w:rFonts w:hint="eastAsia" w:ascii="Times New Roman" w:hAnsi="Times New Roman" w:cs="Times New Roman"/>
        </w:rPr>
        <w:t>and</w:t>
      </w:r>
      <w:r>
        <w:rPr>
          <w:rFonts w:ascii="Times New Roman" w:hAnsi="Times New Roman" w:cs="Times New Roman"/>
        </w:rPr>
        <w:t xml:space="preserve"> continuous </w:t>
      </w:r>
      <w:r>
        <w:rPr>
          <w:rFonts w:hint="eastAsia" w:ascii="Times New Roman" w:hAnsi="Times New Roman" w:cs="Times New Roman"/>
        </w:rPr>
        <w:t>hierarchy</w:t>
      </w:r>
      <w:r>
        <w:rPr>
          <w:rFonts w:ascii="Times New Roman" w:hAnsi="Times New Roman" w:cs="Times New Roman"/>
        </w:rPr>
        <w:t xml:space="preserve"> </w:t>
      </w:r>
      <w:r>
        <w:rPr>
          <w:rFonts w:hint="eastAsia" w:ascii="Times New Roman" w:hAnsi="Times New Roman" w:cs="Times New Roman"/>
        </w:rPr>
        <w:t>pores</w:t>
      </w:r>
      <w:r>
        <w:rPr>
          <w:rFonts w:ascii="Times New Roman" w:hAnsi="Times New Roman" w:cs="Times New Roman"/>
        </w:rPr>
        <w:t xml:space="preserve"> supplying adequate sulfur storage space and physical confinement.</w:t>
      </w:r>
      <w:r>
        <w:rPr>
          <w:rFonts w:ascii="Times New Roman" w:hAnsi="Times New Roman" w:cs="Times New Roman" w:eastAsiaTheme="majorEastAsia"/>
        </w:rPr>
        <w:t xml:space="preserve"> </w:t>
      </w:r>
      <w:r>
        <w:rPr>
          <w:rFonts w:hint="eastAsia" w:ascii="Times New Roman" w:hAnsi="Times New Roman" w:cs="Times New Roman" w:eastAsiaTheme="majorEastAsia"/>
        </w:rPr>
        <w:t>The</w:t>
      </w:r>
      <w:r>
        <w:rPr>
          <w:rFonts w:ascii="Times New Roman" w:hAnsi="Times New Roman" w:cs="Times New Roman" w:eastAsiaTheme="majorEastAsia"/>
        </w:rPr>
        <w:t xml:space="preserve"> </w:t>
      </w:r>
      <w:r>
        <w:rPr>
          <w:rFonts w:hint="eastAsia" w:ascii="Times New Roman" w:hAnsi="Times New Roman" w:cs="Times New Roman" w:eastAsiaTheme="majorEastAsia"/>
        </w:rPr>
        <w:t>S/</w:t>
      </w:r>
      <w:r>
        <w:rPr>
          <w:rFonts w:ascii="Times New Roman" w:hAnsi="Times New Roman" w:cs="Times New Roman" w:eastAsiaTheme="majorEastAsia"/>
        </w:rPr>
        <w:t>CoSe</w:t>
      </w:r>
      <w:r>
        <w:rPr>
          <w:rFonts w:ascii="Times New Roman" w:hAnsi="Times New Roman" w:cs="Times New Roman" w:eastAsiaTheme="majorEastAsia"/>
          <w:vertAlign w:val="subscript"/>
        </w:rPr>
        <w:t>2</w:t>
      </w:r>
      <w:r>
        <w:rPr>
          <w:rFonts w:hint="eastAsia" w:ascii="Times New Roman" w:hAnsi="Times New Roman" w:cs="Times New Roman" w:eastAsiaTheme="majorEastAsia"/>
        </w:rPr>
        <w:t>-NC</w:t>
      </w:r>
      <w:r>
        <w:rPr>
          <w:rFonts w:ascii="Times New Roman" w:hAnsi="Times New Roman" w:cs="Times New Roman" w:eastAsiaTheme="majorEastAsia"/>
        </w:rPr>
        <w:t xml:space="preserve"> </w:t>
      </w:r>
      <w:r>
        <w:rPr>
          <w:rFonts w:hint="eastAsia" w:ascii="Times New Roman" w:hAnsi="Times New Roman" w:cs="Times New Roman" w:eastAsiaTheme="majorEastAsia"/>
        </w:rPr>
        <w:t>@HCF</w:t>
      </w:r>
      <w:r>
        <w:rPr>
          <w:rFonts w:ascii="Times New Roman" w:hAnsi="Times New Roman" w:cs="Times New Roman" w:eastAsiaTheme="majorEastAsia"/>
        </w:rPr>
        <w:t xml:space="preserve"> cathode with sulfur content of 83.24 wt% d</w:t>
      </w:r>
      <w:r>
        <w:rPr>
          <w:rFonts w:ascii="Times New Roman" w:hAnsi="Times New Roman" w:cs="Times New Roman"/>
        </w:rPr>
        <w:t xml:space="preserve">elivershigh </w:t>
      </w:r>
      <w:r>
        <w:rPr>
          <w:rFonts w:hint="eastAsia" w:ascii="Times New Roman" w:hAnsi="Times New Roman" w:cs="Times New Roman"/>
        </w:rPr>
        <w:t>sulfur</w:t>
      </w:r>
      <w:r>
        <w:rPr>
          <w:rFonts w:ascii="Times New Roman" w:hAnsi="Times New Roman" w:cs="Times New Roman"/>
        </w:rPr>
        <w:t xml:space="preserve"> </w:t>
      </w:r>
      <w:r>
        <w:rPr>
          <w:rFonts w:hint="eastAsia" w:ascii="Times New Roman" w:hAnsi="Times New Roman" w:cs="Times New Roman"/>
        </w:rPr>
        <w:t>utilization</w:t>
      </w:r>
      <w:r>
        <w:rPr>
          <w:rFonts w:ascii="Times New Roman" w:hAnsi="Times New Roman" w:cs="Times New Roman"/>
        </w:rPr>
        <w:t xml:space="preserve"> </w:t>
      </w:r>
      <w:r>
        <w:rPr>
          <w:rFonts w:hint="eastAsia" w:ascii="Times New Roman" w:hAnsi="Times New Roman" w:cs="Times New Roman"/>
        </w:rPr>
        <w:t>with</w:t>
      </w:r>
      <w:r>
        <w:rPr>
          <w:rFonts w:ascii="Times New Roman" w:hAnsi="Times New Roman" w:cs="Times New Roman"/>
        </w:rPr>
        <w:t xml:space="preserve"> initial discharge capacit</w:t>
      </w:r>
      <w:r>
        <w:rPr>
          <w:rFonts w:hint="eastAsia" w:ascii="Times New Roman" w:hAnsi="Times New Roman" w:cs="Times New Roman"/>
        </w:rPr>
        <w:t>y</w:t>
      </w:r>
      <w:r>
        <w:rPr>
          <w:rFonts w:ascii="Times New Roman" w:hAnsi="Times New Roman" w:cs="Times New Roman"/>
        </w:rPr>
        <w:t xml:space="preserve"> of 1</w:t>
      </w:r>
      <w:r>
        <w:rPr>
          <w:rFonts w:hint="eastAsia" w:ascii="Times New Roman" w:hAnsi="Times New Roman" w:cs="Times New Roman"/>
        </w:rPr>
        <w:t>212.9</w:t>
      </w:r>
      <w:r>
        <w:rPr>
          <w:rFonts w:ascii="Times New Roman" w:hAnsi="Times New Roman" w:cs="Times New Roman"/>
        </w:rPr>
        <w:t xml:space="preserve"> m</w:t>
      </w:r>
      <w:r>
        <w:rPr>
          <w:rFonts w:hint="eastAsia" w:ascii="Times New Roman" w:hAnsi="Times New Roman" w:cs="Times New Roman"/>
        </w:rPr>
        <w:t>Ahg</w:t>
      </w:r>
      <w:r>
        <w:rPr>
          <w:rFonts w:ascii="Times New Roman" w:hAnsi="Times New Roman" w:cs="Times New Roman"/>
          <w:vertAlign w:val="superscript"/>
        </w:rPr>
        <w:t>-1</w:t>
      </w:r>
      <w:r>
        <w:rPr>
          <w:rFonts w:ascii="Times New Roman" w:hAnsi="Times New Roman" w:cs="Times New Roman"/>
        </w:rPr>
        <w:t xml:space="preserve"> at 0.1 C, excellent rate performance with 10</w:t>
      </w:r>
      <w:r>
        <w:rPr>
          <w:rFonts w:hint="eastAsia" w:ascii="Times New Roman" w:hAnsi="Times New Roman" w:cs="Times New Roman"/>
        </w:rPr>
        <w:t>94.7</w:t>
      </w:r>
      <w:r>
        <w:rPr>
          <w:rFonts w:ascii="Times New Roman" w:hAnsi="Times New Roman" w:cs="Times New Roman"/>
        </w:rPr>
        <w:t xml:space="preserve"> mAh·g</w:t>
      </w:r>
      <w:r>
        <w:rPr>
          <w:rFonts w:ascii="Times New Roman" w:hAnsi="Times New Roman" w:cs="Times New Roman"/>
          <w:vertAlign w:val="superscript"/>
        </w:rPr>
        <w:t>–1</w:t>
      </w:r>
      <w:r>
        <w:rPr>
          <w:rFonts w:ascii="Times New Roman" w:hAnsi="Times New Roman" w:cs="Times New Roman"/>
        </w:rPr>
        <w:t xml:space="preserve"> at 1C rate, and good cylability with low capacity decay rate of 0.12% up to 600 cycles. </w:t>
      </w:r>
    </w:p>
    <w:p>
      <w:pPr>
        <w:spacing w:before="312" w:after="312" w:line="360" w:lineRule="auto"/>
        <w:ind w:firstLine="482" w:firstLineChars="200"/>
        <w:textAlignment w:val="baseline"/>
        <w:rPr>
          <w:rFonts w:ascii="Times New Roman" w:hAnsi="Times New Roman" w:eastAsia="黑体" w:cs="Times New Roman"/>
          <w:sz w:val="24"/>
        </w:rPr>
      </w:pPr>
      <w:r>
        <w:rPr>
          <w:rFonts w:ascii="Times New Roman" w:hAnsi="Times New Roman" w:eastAsia="黑体" w:cs="Times New Roman"/>
          <w:b/>
          <w:bCs/>
          <w:sz w:val="24"/>
        </w:rPr>
        <w:t>Keywords:</w:t>
      </w:r>
      <w:r>
        <w:rPr>
          <w:rFonts w:ascii="Times New Roman" w:hAnsi="Times New Roman" w:eastAsia="黑体" w:cs="Times New Roman"/>
          <w:sz w:val="24"/>
        </w:rPr>
        <w:t xml:space="preserve"> lithium-sulfur battery; Composite sulfur cathode; Honeycomb-like carbon; Three-</w:t>
      </w:r>
      <w:r>
        <w:rPr>
          <w:rFonts w:hint="eastAsia" w:ascii="Times New Roman" w:hAnsi="Times New Roman" w:eastAsia="黑体" w:cs="Times New Roman"/>
          <w:sz w:val="24"/>
        </w:rPr>
        <w:t>dimen</w:t>
      </w:r>
      <w:r>
        <w:rPr>
          <w:rFonts w:ascii="Times New Roman" w:hAnsi="Times New Roman" w:eastAsia="黑体" w:cs="Times New Roman"/>
          <w:sz w:val="24"/>
        </w:rPr>
        <w:t>sion network structure;</w:t>
      </w:r>
      <w:r>
        <w:rPr>
          <w:rFonts w:hint="eastAsia" w:ascii="Times New Roman" w:hAnsi="Times New Roman" w:eastAsia="黑体" w:cs="Times New Roman"/>
          <w:sz w:val="24"/>
        </w:rPr>
        <w:t xml:space="preserve"> </w:t>
      </w:r>
      <w:r>
        <w:rPr>
          <w:rFonts w:ascii="Times New Roman" w:hAnsi="Times New Roman" w:eastAsia="黑体" w:cs="Times New Roman"/>
          <w:sz w:val="24"/>
        </w:rPr>
        <w:t>Ion transport</w:t>
      </w:r>
    </w:p>
    <w:p>
      <w:pPr>
        <w:spacing w:before="312" w:after="312" w:line="360" w:lineRule="auto"/>
        <w:textAlignment w:val="baseline"/>
        <w:rPr>
          <w:rFonts w:ascii="Times New Roman" w:hAnsi="Times New Roman" w:eastAsia="黑体" w:cs="Times New Roman"/>
          <w:sz w:val="24"/>
        </w:rPr>
      </w:pPr>
      <w:r>
        <w:rPr>
          <w:rFonts w:hint="eastAsia" w:ascii="Times New Roman" w:hAnsi="Times New Roman"/>
          <w:sz w:val="24"/>
        </w:rPr>
        <w:t>1</w:t>
      </w:r>
      <w:r>
        <w:rPr>
          <w:rFonts w:ascii="Times New Roman" w:hAnsi="Times New Roman"/>
          <w:sz w:val="24"/>
        </w:rPr>
        <w:t xml:space="preserve"> These authors contributed equally.</w:t>
      </w:r>
    </w:p>
    <w:p>
      <w:pPr>
        <w:spacing w:line="288" w:lineRule="auto"/>
        <w:jc w:val="center"/>
      </w:pPr>
      <w:r>
        <w:drawing>
          <wp:inline distT="0" distB="0" distL="114300" distR="114300">
            <wp:extent cx="6149975" cy="2672715"/>
            <wp:effectExtent l="0" t="0" r="6985" b="952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4"/>
                    <a:stretch>
                      <a:fillRect/>
                    </a:stretch>
                  </pic:blipFill>
                  <pic:spPr>
                    <a:xfrm>
                      <a:off x="0" y="0"/>
                      <a:ext cx="6149975" cy="2672715"/>
                    </a:xfrm>
                    <a:prstGeom prst="rect">
                      <a:avLst/>
                    </a:prstGeom>
                  </pic:spPr>
                </pic:pic>
              </a:graphicData>
            </a:graphic>
          </wp:inline>
        </w:drawing>
      </w:r>
    </w:p>
    <w:p>
      <w:pPr>
        <w:jc w:val="center"/>
        <w:rPr>
          <w:rFonts w:hint="eastAsia" w:ascii="Times New Roman" w:hAnsi="Times New Roman" w:eastAsia="宋体"/>
          <w:szCs w:val="21"/>
          <w:lang w:val="en-US" w:eastAsia="zh-CN"/>
        </w:rPr>
      </w:pPr>
      <w:r>
        <w:rPr>
          <w:rFonts w:ascii="Times New Roman" w:hAnsi="Times New Roman"/>
          <w:szCs w:val="21"/>
        </w:rPr>
        <w:t>Figure S</w:t>
      </w:r>
      <w:r>
        <w:rPr>
          <w:rFonts w:hint="eastAsia" w:ascii="Times New Roman" w:hAnsi="Times New Roman"/>
          <w:szCs w:val="21"/>
        </w:rPr>
        <w:t>1</w:t>
      </w:r>
      <w:r>
        <w:rPr>
          <w:rFonts w:ascii="Times New Roman" w:hAnsi="Times New Roman"/>
          <w:szCs w:val="21"/>
        </w:rPr>
        <w:t>. (a) The</w:t>
      </w:r>
      <w:r>
        <w:rPr>
          <w:rFonts w:hint="eastAsia" w:ascii="Times New Roman" w:hAnsi="Times New Roman"/>
          <w:szCs w:val="21"/>
        </w:rPr>
        <w:t xml:space="preserve"> HC</w:t>
      </w:r>
      <w:r>
        <w:rPr>
          <w:rFonts w:hint="eastAsia" w:ascii="Times New Roman" w:hAnsi="Times New Roman"/>
          <w:szCs w:val="21"/>
          <w:lang w:val="en-US" w:eastAsia="zh-CN"/>
        </w:rPr>
        <w:t>F</w:t>
      </w:r>
      <w:r>
        <w:rPr>
          <w:rFonts w:ascii="Times New Roman" w:hAnsi="Times New Roman"/>
          <w:szCs w:val="21"/>
        </w:rPr>
        <w:t xml:space="preserve"> adsorption–desorption isotherms, (b) the pore size distribution curves of HC</w:t>
      </w:r>
      <w:r>
        <w:rPr>
          <w:rFonts w:hint="eastAsia" w:ascii="Times New Roman" w:hAnsi="Times New Roman"/>
          <w:szCs w:val="21"/>
          <w:lang w:val="en-US" w:eastAsia="zh-CN"/>
        </w:rPr>
        <w:t>F</w:t>
      </w:r>
    </w:p>
    <w:p>
      <w:pPr>
        <w:spacing w:line="288" w:lineRule="auto"/>
        <w:jc w:val="left"/>
      </w:pPr>
    </w:p>
    <w:p>
      <w:pPr>
        <w:spacing w:line="288" w:lineRule="auto"/>
        <w:rPr>
          <w:rFonts w:ascii="Times New Roman" w:hAnsi="Times New Roman"/>
          <w:sz w:val="24"/>
          <w:szCs w:val="24"/>
        </w:rPr>
      </w:pPr>
    </w:p>
    <w:p>
      <w:pPr>
        <w:spacing w:line="288" w:lineRule="auto"/>
        <w:jc w:val="center"/>
        <w:rPr>
          <w:rFonts w:ascii="Times New Roman" w:hAnsi="Times New Roman"/>
          <w:sz w:val="24"/>
          <w:szCs w:val="24"/>
        </w:rPr>
      </w:pPr>
    </w:p>
    <w:p>
      <w:pPr>
        <w:spacing w:line="288" w:lineRule="auto"/>
        <w:jc w:val="center"/>
        <w:rPr>
          <w:rFonts w:ascii="Times New Roman" w:hAnsi="Times New Roman"/>
          <w:sz w:val="24"/>
          <w:szCs w:val="24"/>
        </w:rPr>
      </w:pPr>
      <w:r>
        <w:drawing>
          <wp:inline distT="0" distB="0" distL="114300" distR="114300">
            <wp:extent cx="4179570" cy="3266440"/>
            <wp:effectExtent l="0" t="0" r="11430" b="1016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5"/>
                    <a:stretch>
                      <a:fillRect/>
                    </a:stretch>
                  </pic:blipFill>
                  <pic:spPr>
                    <a:xfrm>
                      <a:off x="0" y="0"/>
                      <a:ext cx="4179570" cy="3266440"/>
                    </a:xfrm>
                    <a:prstGeom prst="rect">
                      <a:avLst/>
                    </a:prstGeom>
                  </pic:spPr>
                </pic:pic>
              </a:graphicData>
            </a:graphic>
          </wp:inline>
        </w:drawing>
      </w:r>
    </w:p>
    <w:p>
      <w:pPr>
        <w:spacing w:line="288" w:lineRule="auto"/>
        <w:jc w:val="center"/>
        <w:rPr>
          <w:rFonts w:ascii="Times New Roman" w:hAnsi="Times New Roman"/>
          <w:szCs w:val="21"/>
        </w:rPr>
      </w:pPr>
      <w:r>
        <w:rPr>
          <w:rFonts w:ascii="Times New Roman" w:hAnsi="Times New Roman"/>
          <w:szCs w:val="21"/>
        </w:rPr>
        <w:t>Figure S</w:t>
      </w:r>
      <w:r>
        <w:rPr>
          <w:rFonts w:hint="eastAsia" w:ascii="Times New Roman" w:hAnsi="Times New Roman"/>
          <w:szCs w:val="21"/>
          <w:lang w:val="en-US" w:eastAsia="zh-CN"/>
        </w:rPr>
        <w:t>2</w:t>
      </w:r>
      <w:r>
        <w:rPr>
          <w:rFonts w:ascii="Times New Roman" w:hAnsi="Times New Roman"/>
          <w:szCs w:val="21"/>
        </w:rPr>
        <w:t>. Discharge/charge profiles of the S/HC</w:t>
      </w:r>
      <w:r>
        <w:rPr>
          <w:rFonts w:hint="eastAsia" w:ascii="Times New Roman" w:hAnsi="Times New Roman"/>
          <w:szCs w:val="21"/>
          <w:lang w:val="en-US" w:eastAsia="zh-CN"/>
        </w:rPr>
        <w:t>F</w:t>
      </w:r>
      <w:r>
        <w:rPr>
          <w:rFonts w:ascii="Times New Roman" w:hAnsi="Times New Roman"/>
          <w:szCs w:val="21"/>
        </w:rPr>
        <w:t xml:space="preserve"> electrode at a rate range of 0.1C-</w:t>
      </w:r>
      <w:r>
        <w:rPr>
          <w:rFonts w:hint="eastAsia" w:ascii="Times New Roman" w:hAnsi="Times New Roman"/>
          <w:szCs w:val="21"/>
        </w:rPr>
        <w:t>2</w:t>
      </w:r>
      <w:r>
        <w:rPr>
          <w:rFonts w:ascii="Times New Roman" w:hAnsi="Times New Roman"/>
          <w:szCs w:val="21"/>
        </w:rPr>
        <w:t>C.</w:t>
      </w:r>
    </w:p>
    <w:p>
      <w:pPr>
        <w:spacing w:line="288" w:lineRule="auto"/>
        <w:rPr>
          <w:rFonts w:ascii="Times New Roman" w:hAnsi="Times New Roman"/>
          <w:sz w:val="24"/>
          <w:szCs w:val="24"/>
        </w:rPr>
      </w:pPr>
    </w:p>
    <w:p>
      <w:pPr>
        <w:spacing w:line="288" w:lineRule="auto"/>
        <w:ind w:firstLine="247" w:firstLineChars="118"/>
        <w:jc w:val="center"/>
        <w:rPr>
          <w:rFonts w:ascii="Times New Roman" w:hAnsi="Times New Roman"/>
          <w:sz w:val="24"/>
          <w:szCs w:val="24"/>
        </w:rPr>
      </w:pPr>
      <w:r>
        <w:drawing>
          <wp:inline distT="0" distB="0" distL="114300" distR="114300">
            <wp:extent cx="4099560" cy="3208020"/>
            <wp:effectExtent l="0" t="0" r="0" b="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6"/>
                    <a:stretch>
                      <a:fillRect/>
                    </a:stretch>
                  </pic:blipFill>
                  <pic:spPr>
                    <a:xfrm>
                      <a:off x="0" y="0"/>
                      <a:ext cx="4099560" cy="3208020"/>
                    </a:xfrm>
                    <a:prstGeom prst="rect">
                      <a:avLst/>
                    </a:prstGeom>
                  </pic:spPr>
                </pic:pic>
              </a:graphicData>
            </a:graphic>
          </wp:inline>
        </w:drawing>
      </w:r>
    </w:p>
    <w:p>
      <w:pPr>
        <w:spacing w:line="288" w:lineRule="auto"/>
        <w:jc w:val="center"/>
        <w:rPr>
          <w:rFonts w:ascii="Times New Roman" w:hAnsi="Times New Roman"/>
          <w:szCs w:val="21"/>
        </w:rPr>
      </w:pPr>
      <w:r>
        <w:rPr>
          <w:rFonts w:hint="eastAsia" w:ascii="Times New Roman" w:hAnsi="Times New Roman"/>
          <w:szCs w:val="21"/>
        </w:rPr>
        <w:t>Fi</w:t>
      </w:r>
      <w:r>
        <w:rPr>
          <w:rFonts w:ascii="Times New Roman" w:hAnsi="Times New Roman"/>
          <w:szCs w:val="21"/>
        </w:rPr>
        <w:t>gure S</w:t>
      </w:r>
      <w:r>
        <w:rPr>
          <w:rFonts w:hint="eastAsia" w:ascii="Times New Roman" w:hAnsi="Times New Roman"/>
          <w:szCs w:val="21"/>
          <w:lang w:val="en-US" w:eastAsia="zh-CN"/>
        </w:rPr>
        <w:t>3</w:t>
      </w:r>
      <w:r>
        <w:rPr>
          <w:rFonts w:ascii="Times New Roman" w:hAnsi="Times New Roman"/>
          <w:szCs w:val="21"/>
        </w:rPr>
        <w:t>. Corresponding polarization voltage comparison between</w:t>
      </w:r>
      <w:r>
        <w:rPr>
          <w:rFonts w:hint="eastAsia" w:ascii="Times New Roman" w:hAnsi="Times New Roman"/>
          <w:szCs w:val="21"/>
        </w:rPr>
        <w:t xml:space="preserve"> S/CoSe</w:t>
      </w:r>
      <w:r>
        <w:rPr>
          <w:rFonts w:hint="eastAsia" w:ascii="Times New Roman" w:hAnsi="Times New Roman"/>
          <w:szCs w:val="21"/>
          <w:vertAlign w:val="subscript"/>
        </w:rPr>
        <w:t>2</w:t>
      </w:r>
      <w:r>
        <w:rPr>
          <w:rFonts w:hint="eastAsia" w:ascii="Times New Roman" w:hAnsi="Times New Roman"/>
          <w:szCs w:val="21"/>
        </w:rPr>
        <w:t>-NC@HC</w:t>
      </w:r>
      <w:r>
        <w:rPr>
          <w:rFonts w:hint="eastAsia" w:ascii="Times New Roman" w:hAnsi="Times New Roman"/>
          <w:szCs w:val="21"/>
          <w:lang w:val="en-US" w:eastAsia="zh-CN"/>
        </w:rPr>
        <w:t>F</w:t>
      </w:r>
      <w:r>
        <w:rPr>
          <w:rFonts w:ascii="Times New Roman" w:hAnsi="Times New Roman"/>
          <w:szCs w:val="21"/>
        </w:rPr>
        <w:t xml:space="preserve"> and S/HC</w:t>
      </w:r>
      <w:r>
        <w:rPr>
          <w:rFonts w:hint="eastAsia" w:ascii="Times New Roman" w:hAnsi="Times New Roman"/>
          <w:szCs w:val="21"/>
          <w:lang w:val="en-US" w:eastAsia="zh-CN"/>
        </w:rPr>
        <w:t>F</w:t>
      </w:r>
      <w:r>
        <w:rPr>
          <w:rFonts w:hint="eastAsia" w:ascii="Times New Roman" w:hAnsi="Times New Roman"/>
          <w:szCs w:val="21"/>
        </w:rPr>
        <w:t xml:space="preserve"> </w:t>
      </w:r>
      <w:r>
        <w:rPr>
          <w:rFonts w:ascii="Times New Roman" w:hAnsi="Times New Roman"/>
          <w:szCs w:val="21"/>
        </w:rPr>
        <w:t>electrodes at a rate range of 0.1C-</w:t>
      </w:r>
      <w:r>
        <w:rPr>
          <w:rFonts w:hint="eastAsia" w:ascii="Times New Roman" w:hAnsi="Times New Roman"/>
          <w:szCs w:val="21"/>
        </w:rPr>
        <w:t>2</w:t>
      </w:r>
      <w:r>
        <w:rPr>
          <w:rFonts w:ascii="Times New Roman" w:hAnsi="Times New Roman"/>
          <w:szCs w:val="21"/>
        </w:rPr>
        <w:t>C.</w:t>
      </w:r>
    </w:p>
    <w:p>
      <w:pPr>
        <w:jc w:val="center"/>
        <w:rPr>
          <w:rFonts w:ascii="Times New Roman" w:hAnsi="Times New Roman"/>
        </w:rPr>
      </w:pPr>
      <w:r>
        <w:rPr>
          <w:rFonts w:ascii="Times New Roman" w:hAnsi="Times New Roman"/>
        </w:rPr>
        <w:drawing>
          <wp:inline distT="0" distB="0" distL="114300" distR="114300">
            <wp:extent cx="5729605" cy="4051935"/>
            <wp:effectExtent l="0" t="0" r="635" b="1905"/>
            <wp:docPr id="4" name="图片 4"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Graph1"/>
                    <pic:cNvPicPr>
                      <a:picLocks noChangeAspect="1"/>
                    </pic:cNvPicPr>
                  </pic:nvPicPr>
                  <pic:blipFill>
                    <a:blip r:embed="rId7"/>
                    <a:stretch>
                      <a:fillRect/>
                    </a:stretch>
                  </pic:blipFill>
                  <pic:spPr>
                    <a:xfrm>
                      <a:off x="0" y="0"/>
                      <a:ext cx="5729605" cy="4051935"/>
                    </a:xfrm>
                    <a:prstGeom prst="rect">
                      <a:avLst/>
                    </a:prstGeom>
                  </pic:spPr>
                </pic:pic>
              </a:graphicData>
            </a:graphic>
          </wp:inline>
        </w:drawing>
      </w:r>
    </w:p>
    <w:p>
      <w:pPr>
        <w:jc w:val="center"/>
        <w:rPr>
          <w:rFonts w:ascii="Times New Roman" w:hAnsi="Times New Roman"/>
        </w:rPr>
      </w:pPr>
      <w:r>
        <w:rPr>
          <w:rFonts w:hint="eastAsia" w:ascii="Times New Roman" w:hAnsi="Times New Roman"/>
          <w:szCs w:val="21"/>
        </w:rPr>
        <w:t>F</w:t>
      </w:r>
      <w:r>
        <w:rPr>
          <w:rFonts w:ascii="Times New Roman" w:hAnsi="Times New Roman"/>
          <w:szCs w:val="21"/>
        </w:rPr>
        <w:t>igure S</w:t>
      </w:r>
      <w:r>
        <w:rPr>
          <w:rFonts w:hint="eastAsia" w:ascii="Times New Roman" w:hAnsi="Times New Roman"/>
          <w:szCs w:val="21"/>
          <w:lang w:val="en-US" w:eastAsia="zh-CN"/>
        </w:rPr>
        <w:t>4</w:t>
      </w:r>
      <w:r>
        <w:rPr>
          <w:rFonts w:ascii="Times New Roman" w:hAnsi="Times New Roman"/>
          <w:szCs w:val="21"/>
        </w:rPr>
        <w:t xml:space="preserve">. Cycling performance of the </w:t>
      </w:r>
      <w:r>
        <w:rPr>
          <w:rFonts w:ascii="Times New Roman" w:hAnsi="Times New Roman"/>
        </w:rPr>
        <w:t>HC</w:t>
      </w:r>
      <w:r>
        <w:rPr>
          <w:rFonts w:hint="eastAsia" w:ascii="Times New Roman" w:hAnsi="Times New Roman"/>
          <w:lang w:val="en-US" w:eastAsia="zh-CN"/>
        </w:rPr>
        <w:t>F</w:t>
      </w:r>
      <w:r>
        <w:rPr>
          <w:rFonts w:hint="eastAsia" w:ascii="Times New Roman" w:hAnsi="Times New Roman"/>
        </w:rPr>
        <w:t xml:space="preserve"> </w:t>
      </w:r>
      <w:r>
        <w:rPr>
          <w:rFonts w:ascii="Times New Roman" w:hAnsi="Times New Roman"/>
          <w:szCs w:val="21"/>
        </w:rPr>
        <w:t>electrode at 0.5C</w:t>
      </w:r>
      <w:r>
        <w:rPr>
          <w:rFonts w:hint="eastAsia" w:ascii="Times New Roman" w:hAnsi="Times New Roman"/>
          <w:szCs w:val="21"/>
        </w:rPr>
        <w:t xml:space="preserve"> and 1C</w:t>
      </w:r>
      <w:r>
        <w:rPr>
          <w:rFonts w:ascii="Times New Roman" w:hAnsi="Times New Roman"/>
          <w:szCs w:val="21"/>
        </w:rPr>
        <w:t xml:space="preserve"> for </w:t>
      </w:r>
      <w:r>
        <w:rPr>
          <w:rFonts w:hint="eastAsia" w:ascii="Times New Roman" w:hAnsi="Times New Roman"/>
          <w:szCs w:val="21"/>
        </w:rPr>
        <w:t>100</w:t>
      </w:r>
      <w:r>
        <w:rPr>
          <w:rFonts w:ascii="Times New Roman" w:hAnsi="Times New Roman"/>
          <w:szCs w:val="21"/>
        </w:rPr>
        <w:t xml:space="preserve"> cycles.</w:t>
      </w:r>
    </w:p>
    <w:p>
      <w:pPr>
        <w:jc w:val="center"/>
        <w:rPr>
          <w:rFonts w:ascii="Times New Roman" w:hAnsi="Times New Roman"/>
        </w:rPr>
      </w:pPr>
    </w:p>
    <w:p>
      <w:pPr>
        <w:jc w:val="center"/>
        <w:rPr>
          <w:rFonts w:ascii="Times New Roman" w:hAnsi="Times New Roman"/>
        </w:rPr>
      </w:pPr>
      <w:r>
        <w:drawing>
          <wp:inline distT="0" distB="0" distL="114300" distR="114300">
            <wp:extent cx="5728335" cy="2450465"/>
            <wp:effectExtent l="0" t="0" r="1905"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728335" cy="2450465"/>
                    </a:xfrm>
                    <a:prstGeom prst="rect">
                      <a:avLst/>
                    </a:prstGeom>
                    <a:noFill/>
                    <a:ln>
                      <a:noFill/>
                    </a:ln>
                  </pic:spPr>
                </pic:pic>
              </a:graphicData>
            </a:graphic>
          </wp:inline>
        </w:drawing>
      </w:r>
    </w:p>
    <w:p>
      <w:pPr>
        <w:jc w:val="center"/>
        <w:rPr>
          <w:rFonts w:ascii="Times New Roman" w:hAnsi="Times New Roman"/>
          <w:szCs w:val="21"/>
        </w:rPr>
      </w:pPr>
      <w:r>
        <w:rPr>
          <w:rFonts w:hint="eastAsia" w:ascii="Times New Roman" w:hAnsi="Times New Roman"/>
          <w:szCs w:val="21"/>
        </w:rPr>
        <w:t>F</w:t>
      </w:r>
      <w:r>
        <w:rPr>
          <w:rFonts w:ascii="Times New Roman" w:hAnsi="Times New Roman"/>
          <w:szCs w:val="21"/>
        </w:rPr>
        <w:t>igure S</w:t>
      </w:r>
      <w:r>
        <w:rPr>
          <w:rFonts w:hint="eastAsia" w:ascii="Times New Roman" w:hAnsi="Times New Roman"/>
          <w:szCs w:val="21"/>
          <w:lang w:val="en-US" w:eastAsia="zh-CN"/>
        </w:rPr>
        <w:t>5</w:t>
      </w:r>
      <w:r>
        <w:rPr>
          <w:rFonts w:ascii="Times New Roman" w:hAnsi="Times New Roman"/>
          <w:szCs w:val="21"/>
        </w:rPr>
        <w:t xml:space="preserve">. Cycling performance of the </w:t>
      </w:r>
      <w:r>
        <w:rPr>
          <w:rFonts w:ascii="Times New Roman" w:hAnsi="Times New Roman"/>
        </w:rPr>
        <w:t>CoSe</w:t>
      </w:r>
      <w:bookmarkStart w:id="2" w:name="_GoBack"/>
      <w:r>
        <w:rPr>
          <w:rFonts w:ascii="Times New Roman" w:hAnsi="Times New Roman"/>
          <w:vertAlign w:val="subscript"/>
        </w:rPr>
        <w:t>2</w:t>
      </w:r>
      <w:bookmarkEnd w:id="2"/>
      <w:r>
        <w:rPr>
          <w:rFonts w:ascii="Times New Roman" w:hAnsi="Times New Roman"/>
        </w:rPr>
        <w:t>-NC@HC</w:t>
      </w:r>
      <w:r>
        <w:rPr>
          <w:rFonts w:hint="eastAsia" w:ascii="Times New Roman" w:hAnsi="Times New Roman"/>
          <w:lang w:val="en-US" w:eastAsia="zh-CN"/>
        </w:rPr>
        <w:t>F</w:t>
      </w:r>
      <w:r>
        <w:rPr>
          <w:rFonts w:hint="eastAsia" w:ascii="Times New Roman" w:hAnsi="Times New Roman"/>
        </w:rPr>
        <w:t xml:space="preserve"> </w:t>
      </w:r>
      <w:r>
        <w:rPr>
          <w:rFonts w:ascii="Times New Roman" w:hAnsi="Times New Roman"/>
          <w:szCs w:val="21"/>
        </w:rPr>
        <w:t xml:space="preserve">electrode at </w:t>
      </w:r>
      <w:r>
        <w:rPr>
          <w:rFonts w:hint="eastAsia" w:ascii="Times New Roman" w:hAnsi="Times New Roman"/>
          <w:szCs w:val="21"/>
        </w:rPr>
        <w:t xml:space="preserve">0.2C, </w:t>
      </w:r>
      <w:r>
        <w:rPr>
          <w:rFonts w:ascii="Times New Roman" w:hAnsi="Times New Roman"/>
          <w:szCs w:val="21"/>
        </w:rPr>
        <w:t>0.5C</w:t>
      </w:r>
      <w:r>
        <w:rPr>
          <w:rFonts w:hint="eastAsia" w:ascii="Times New Roman" w:hAnsi="Times New Roman"/>
          <w:szCs w:val="21"/>
        </w:rPr>
        <w:t xml:space="preserve"> and 1C</w:t>
      </w:r>
      <w:r>
        <w:rPr>
          <w:rFonts w:ascii="Times New Roman" w:hAnsi="Times New Roman"/>
          <w:szCs w:val="21"/>
        </w:rPr>
        <w:t xml:space="preserve"> for </w:t>
      </w:r>
      <w:r>
        <w:rPr>
          <w:rFonts w:hint="eastAsia" w:ascii="Times New Roman" w:hAnsi="Times New Roman"/>
          <w:szCs w:val="21"/>
        </w:rPr>
        <w:t>200</w:t>
      </w:r>
      <w:r>
        <w:rPr>
          <w:rFonts w:ascii="Times New Roman" w:hAnsi="Times New Roman"/>
          <w:szCs w:val="21"/>
        </w:rPr>
        <w:t xml:space="preserve"> cycles.</w:t>
      </w:r>
    </w:p>
    <w:p>
      <w:pPr>
        <w:jc w:val="center"/>
        <w:rPr>
          <w:rFonts w:ascii="Times New Roman" w:hAnsi="Times New Roman"/>
        </w:rPr>
      </w:pPr>
      <w:r>
        <w:rPr>
          <w:rFonts w:ascii="Times New Roman" w:hAnsi="Times New Roman"/>
        </w:rPr>
        <w:drawing>
          <wp:inline distT="0" distB="0" distL="114300" distR="114300">
            <wp:extent cx="5729605" cy="2450465"/>
            <wp:effectExtent l="0" t="0" r="635" b="3175"/>
            <wp:docPr id="2" name="图片 2"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raph1"/>
                    <pic:cNvPicPr>
                      <a:picLocks noChangeAspect="1"/>
                    </pic:cNvPicPr>
                  </pic:nvPicPr>
                  <pic:blipFill>
                    <a:blip r:embed="rId9"/>
                    <a:stretch>
                      <a:fillRect/>
                    </a:stretch>
                  </pic:blipFill>
                  <pic:spPr>
                    <a:xfrm>
                      <a:off x="0" y="0"/>
                      <a:ext cx="5729605" cy="2450465"/>
                    </a:xfrm>
                    <a:prstGeom prst="rect">
                      <a:avLst/>
                    </a:prstGeom>
                  </pic:spPr>
                </pic:pic>
              </a:graphicData>
            </a:graphic>
          </wp:inline>
        </w:drawing>
      </w:r>
    </w:p>
    <w:p>
      <w:pPr>
        <w:jc w:val="center"/>
        <w:rPr>
          <w:rFonts w:ascii="Times New Roman" w:hAnsi="Times New Roman"/>
          <w:szCs w:val="21"/>
        </w:rPr>
      </w:pPr>
      <w:r>
        <w:rPr>
          <w:rFonts w:hint="eastAsia" w:ascii="Times New Roman" w:hAnsi="Times New Roman"/>
          <w:szCs w:val="21"/>
        </w:rPr>
        <w:t>F</w:t>
      </w:r>
      <w:r>
        <w:rPr>
          <w:rFonts w:ascii="Times New Roman" w:hAnsi="Times New Roman"/>
          <w:szCs w:val="21"/>
        </w:rPr>
        <w:t>igure S</w:t>
      </w:r>
      <w:r>
        <w:rPr>
          <w:rFonts w:hint="eastAsia" w:ascii="Times New Roman" w:hAnsi="Times New Roman"/>
          <w:szCs w:val="21"/>
          <w:lang w:val="en-US" w:eastAsia="zh-CN"/>
        </w:rPr>
        <w:t>6</w:t>
      </w:r>
      <w:r>
        <w:rPr>
          <w:rFonts w:ascii="Times New Roman" w:hAnsi="Times New Roman"/>
          <w:szCs w:val="21"/>
        </w:rPr>
        <w:t xml:space="preserve">. Cycling performance of the </w:t>
      </w:r>
      <w:r>
        <w:rPr>
          <w:rFonts w:ascii="Times New Roman" w:hAnsi="Times New Roman"/>
        </w:rPr>
        <w:t>S/CoSe</w:t>
      </w:r>
      <w:r>
        <w:rPr>
          <w:rFonts w:ascii="Times New Roman" w:hAnsi="Times New Roman"/>
          <w:vertAlign w:val="subscript"/>
        </w:rPr>
        <w:t>2</w:t>
      </w:r>
      <w:r>
        <w:rPr>
          <w:rFonts w:ascii="Times New Roman" w:hAnsi="Times New Roman"/>
        </w:rPr>
        <w:t>-NC@HC</w:t>
      </w:r>
      <w:r>
        <w:rPr>
          <w:rFonts w:hint="eastAsia" w:ascii="Times New Roman" w:hAnsi="Times New Roman"/>
          <w:lang w:val="en-US" w:eastAsia="zh-CN"/>
        </w:rPr>
        <w:t>F</w:t>
      </w:r>
      <w:r>
        <w:rPr>
          <w:rFonts w:ascii="Times New Roman" w:hAnsi="Times New Roman"/>
          <w:szCs w:val="21"/>
        </w:rPr>
        <w:t xml:space="preserve"> </w:t>
      </w:r>
      <w:r>
        <w:rPr>
          <w:rFonts w:ascii="Times New Roman" w:hAnsi="Times New Roman"/>
        </w:rPr>
        <w:t>composite sulfur cathodes</w:t>
      </w:r>
      <w:r>
        <w:rPr>
          <w:rFonts w:ascii="Times New Roman" w:hAnsi="Times New Roman"/>
          <w:szCs w:val="21"/>
        </w:rPr>
        <w:t xml:space="preserve"> with high sulfur areal density of </w:t>
      </w:r>
      <w:r>
        <w:rPr>
          <w:rFonts w:hint="eastAsia" w:ascii="Times New Roman" w:hAnsi="Times New Roman"/>
          <w:szCs w:val="21"/>
        </w:rPr>
        <w:t>1.28</w:t>
      </w:r>
      <w:r>
        <w:rPr>
          <w:rFonts w:ascii="Times New Roman" w:hAnsi="Times New Roman"/>
          <w:szCs w:val="21"/>
        </w:rPr>
        <w:t xml:space="preserve"> mg cm</w:t>
      </w:r>
      <w:r>
        <w:rPr>
          <w:rFonts w:ascii="Times New Roman" w:hAnsi="Times New Roman"/>
          <w:szCs w:val="21"/>
          <w:vertAlign w:val="superscript"/>
        </w:rPr>
        <w:t>-2</w:t>
      </w:r>
      <w:r>
        <w:rPr>
          <w:rFonts w:ascii="Times New Roman" w:hAnsi="Times New Roman"/>
          <w:szCs w:val="21"/>
        </w:rPr>
        <w:t xml:space="preserve"> and </w:t>
      </w:r>
      <w:r>
        <w:rPr>
          <w:rFonts w:hint="eastAsia" w:ascii="Times New Roman" w:hAnsi="Times New Roman"/>
          <w:szCs w:val="21"/>
        </w:rPr>
        <w:t>2.47</w:t>
      </w:r>
      <w:r>
        <w:rPr>
          <w:rFonts w:ascii="Times New Roman" w:hAnsi="Times New Roman"/>
          <w:szCs w:val="21"/>
        </w:rPr>
        <w:t xml:space="preserve"> mg cm</w:t>
      </w:r>
      <w:r>
        <w:rPr>
          <w:rFonts w:ascii="Times New Roman" w:hAnsi="Times New Roman"/>
          <w:szCs w:val="21"/>
          <w:vertAlign w:val="superscript"/>
        </w:rPr>
        <w:t>-2</w:t>
      </w:r>
      <w:r>
        <w:rPr>
          <w:rFonts w:ascii="Times New Roman" w:hAnsi="Times New Roman"/>
          <w:szCs w:val="21"/>
        </w:rPr>
        <w:t xml:space="preserve"> at 0.5C for </w:t>
      </w:r>
      <w:r>
        <w:rPr>
          <w:rFonts w:hint="eastAsia" w:ascii="Times New Roman" w:hAnsi="Times New Roman"/>
          <w:szCs w:val="21"/>
        </w:rPr>
        <w:t>50</w:t>
      </w:r>
      <w:r>
        <w:rPr>
          <w:rFonts w:ascii="Times New Roman" w:hAnsi="Times New Roman"/>
          <w:szCs w:val="21"/>
        </w:rPr>
        <w:t xml:space="preserve"> cycles.</w:t>
      </w:r>
    </w:p>
    <w:p>
      <w:pPr>
        <w:jc w:val="center"/>
        <w:rPr>
          <w:rFonts w:ascii="Times New Roman" w:hAnsi="Times New Roman"/>
          <w:szCs w:val="21"/>
        </w:rPr>
      </w:pPr>
    </w:p>
    <w:p>
      <w:pPr>
        <w:jc w:val="center"/>
        <w:rPr>
          <w:rFonts w:ascii="Times New Roman" w:hAnsi="Times New Roman"/>
          <w:szCs w:val="21"/>
        </w:rPr>
      </w:pPr>
    </w:p>
    <w:p>
      <w:pPr>
        <w:spacing w:line="288" w:lineRule="auto"/>
        <w:jc w:val="center"/>
        <w:rPr>
          <w:rFonts w:ascii="Times New Roman" w:hAnsi="Times New Roman"/>
          <w:szCs w:val="21"/>
        </w:rPr>
      </w:pPr>
      <w:r>
        <w:rPr>
          <w:rFonts w:ascii="Times New Roman" w:hAnsi="Times New Roman"/>
          <w:szCs w:val="21"/>
        </w:rPr>
        <w:t>Table S1. Comparison of the electrochemical performances among this work and other previously reported similar works.</w:t>
      </w:r>
    </w:p>
    <w:tbl>
      <w:tblPr>
        <w:tblStyle w:val="8"/>
        <w:tblW w:w="8680"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926"/>
        <w:gridCol w:w="1119"/>
        <w:gridCol w:w="815"/>
        <w:gridCol w:w="1276"/>
        <w:gridCol w:w="1134"/>
        <w:gridCol w:w="1417"/>
        <w:gridCol w:w="99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156" w:hRule="atLeast"/>
          <w:jc w:val="center"/>
        </w:trPr>
        <w:tc>
          <w:tcPr>
            <w:tcW w:w="1926"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Cathode Materials</w:t>
            </w:r>
          </w:p>
        </w:tc>
        <w:tc>
          <w:tcPr>
            <w:tcW w:w="1119"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Sulfur Content</w:t>
            </w:r>
          </w:p>
          <w:p>
            <w:pPr>
              <w:spacing w:line="288" w:lineRule="auto"/>
              <w:jc w:val="center"/>
              <w:rPr>
                <w:rFonts w:ascii="Times New Roman" w:hAnsi="Times New Roman"/>
                <w:b/>
                <w:bCs/>
                <w:szCs w:val="21"/>
              </w:rPr>
            </w:pPr>
            <w:r>
              <w:rPr>
                <w:rFonts w:ascii="Times New Roman" w:hAnsi="Times New Roman"/>
                <w:b/>
                <w:bCs/>
                <w:szCs w:val="21"/>
              </w:rPr>
              <w:t>wt%</w:t>
            </w:r>
          </w:p>
        </w:tc>
        <w:tc>
          <w:tcPr>
            <w:tcW w:w="815"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Rate</w:t>
            </w:r>
          </w:p>
        </w:tc>
        <w:tc>
          <w:tcPr>
            <w:tcW w:w="1276"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Initial Capacity</w:t>
            </w:r>
          </w:p>
          <w:p>
            <w:pPr>
              <w:spacing w:line="288" w:lineRule="auto"/>
              <w:jc w:val="center"/>
              <w:rPr>
                <w:rFonts w:ascii="Times New Roman" w:hAnsi="Times New Roman"/>
                <w:b/>
                <w:bCs/>
                <w:szCs w:val="21"/>
              </w:rPr>
            </w:pPr>
            <w:r>
              <w:rPr>
                <w:rFonts w:ascii="Times New Roman" w:hAnsi="Times New Roman"/>
                <w:b/>
                <w:bCs/>
                <w:szCs w:val="21"/>
              </w:rPr>
              <w:t>mAh g</w:t>
            </w:r>
            <w:r>
              <w:rPr>
                <w:rFonts w:ascii="Times New Roman" w:hAnsi="Times New Roman"/>
                <w:b/>
                <w:bCs/>
                <w:szCs w:val="21"/>
                <w:vertAlign w:val="superscript"/>
              </w:rPr>
              <w:t>-1</w:t>
            </w:r>
          </w:p>
        </w:tc>
        <w:tc>
          <w:tcPr>
            <w:tcW w:w="1134"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Cycle Number</w:t>
            </w:r>
          </w:p>
        </w:tc>
        <w:tc>
          <w:tcPr>
            <w:tcW w:w="1417"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Decay rate Per Cycle</w:t>
            </w:r>
          </w:p>
        </w:tc>
        <w:tc>
          <w:tcPr>
            <w:tcW w:w="993" w:type="dxa"/>
            <w:tcBorders>
              <w:bottom w:val="single" w:color="auto" w:sz="4" w:space="0"/>
            </w:tcBorders>
            <w:vAlign w:val="center"/>
          </w:tcPr>
          <w:p>
            <w:pPr>
              <w:spacing w:line="288" w:lineRule="auto"/>
              <w:jc w:val="center"/>
              <w:rPr>
                <w:rFonts w:ascii="Times New Roman" w:hAnsi="Times New Roman"/>
                <w:b/>
                <w:bCs/>
                <w:szCs w:val="21"/>
              </w:rPr>
            </w:pPr>
            <w:r>
              <w:rPr>
                <w:rFonts w:ascii="Times New Roman" w:hAnsi="Times New Roman"/>
                <w:b/>
                <w:bCs/>
                <w:szCs w:val="21"/>
              </w:rPr>
              <w:t>Ref.</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863" w:hRule="atLeast"/>
          <w:jc w:val="center"/>
        </w:trPr>
        <w:tc>
          <w:tcPr>
            <w:tcW w:w="1926" w:type="dxa"/>
            <w:vAlign w:val="center"/>
          </w:tcPr>
          <w:p>
            <w:pPr>
              <w:pStyle w:val="20"/>
              <w:overflowPunct w:val="0"/>
              <w:spacing w:before="156" w:beforeLines="50" w:line="384" w:lineRule="auto"/>
              <w:ind w:firstLine="0" w:firstLineChars="0"/>
              <w:jc w:val="center"/>
              <w:rPr>
                <w:rFonts w:ascii="Times New Roman" w:hAnsi="Times New Roman"/>
                <w:szCs w:val="21"/>
              </w:rPr>
            </w:pPr>
            <w:r>
              <w:rPr>
                <w:rFonts w:ascii="Times New Roman" w:hAnsi="Times New Roman"/>
                <w:sz w:val="21"/>
                <w:szCs w:val="21"/>
              </w:rPr>
              <w:t>CoSe</w:t>
            </w:r>
            <w:r>
              <w:rPr>
                <w:rFonts w:ascii="Times New Roman" w:hAnsi="Times New Roman"/>
                <w:sz w:val="21"/>
                <w:szCs w:val="21"/>
                <w:vertAlign w:val="subscript"/>
              </w:rPr>
              <w:t>2</w:t>
            </w:r>
            <w:r>
              <w:rPr>
                <w:rFonts w:ascii="Times New Roman" w:hAnsi="Times New Roman"/>
                <w:sz w:val="21"/>
                <w:szCs w:val="21"/>
              </w:rPr>
              <w:t>-NC@HC</w:t>
            </w:r>
          </w:p>
        </w:tc>
        <w:tc>
          <w:tcPr>
            <w:tcW w:w="1119" w:type="dxa"/>
            <w:vAlign w:val="center"/>
          </w:tcPr>
          <w:p>
            <w:pPr>
              <w:pStyle w:val="20"/>
              <w:overflowPunct w:val="0"/>
              <w:spacing w:before="156" w:beforeLines="50" w:line="384" w:lineRule="auto"/>
              <w:ind w:firstLine="0" w:firstLineChars="0"/>
              <w:jc w:val="center"/>
              <w:rPr>
                <w:rFonts w:ascii="Times New Roman" w:hAnsi="Times New Roman"/>
                <w:szCs w:val="21"/>
              </w:rPr>
            </w:pPr>
            <w:r>
              <w:rPr>
                <w:rFonts w:hint="eastAsia"/>
                <w:sz w:val="21"/>
                <w:szCs w:val="21"/>
              </w:rPr>
              <w:t>8</w:t>
            </w:r>
            <w:r>
              <w:rPr>
                <w:sz w:val="21"/>
                <w:szCs w:val="21"/>
              </w:rPr>
              <w:t>0.83%</w:t>
            </w:r>
          </w:p>
        </w:tc>
        <w:tc>
          <w:tcPr>
            <w:tcW w:w="815" w:type="dxa"/>
            <w:vAlign w:val="center"/>
          </w:tcPr>
          <w:p>
            <w:pPr>
              <w:pStyle w:val="20"/>
              <w:overflowPunct w:val="0"/>
              <w:spacing w:before="156" w:beforeLines="50" w:line="384" w:lineRule="auto"/>
              <w:ind w:firstLine="0" w:firstLineChars="0"/>
              <w:jc w:val="center"/>
              <w:rPr>
                <w:rFonts w:ascii="Times New Roman" w:hAnsi="Times New Roman"/>
                <w:szCs w:val="21"/>
              </w:rPr>
            </w:pPr>
            <w:r>
              <w:rPr>
                <w:rFonts w:hint="eastAsia"/>
                <w:sz w:val="21"/>
                <w:szCs w:val="21"/>
              </w:rPr>
              <w:t>1</w:t>
            </w:r>
            <w:r>
              <w:rPr>
                <w:sz w:val="21"/>
                <w:szCs w:val="21"/>
              </w:rPr>
              <w:t>.0 C</w:t>
            </w:r>
          </w:p>
        </w:tc>
        <w:tc>
          <w:tcPr>
            <w:tcW w:w="1276" w:type="dxa"/>
            <w:vAlign w:val="center"/>
          </w:tcPr>
          <w:p>
            <w:pPr>
              <w:pStyle w:val="20"/>
              <w:overflowPunct w:val="0"/>
              <w:spacing w:before="156" w:beforeLines="50" w:line="384" w:lineRule="auto"/>
              <w:ind w:firstLine="0" w:firstLineChars="0"/>
              <w:jc w:val="center"/>
              <w:rPr>
                <w:rFonts w:ascii="Times New Roman" w:hAnsi="Times New Roman"/>
                <w:szCs w:val="21"/>
              </w:rPr>
            </w:pPr>
            <w:r>
              <w:rPr>
                <w:sz w:val="21"/>
                <w:szCs w:val="21"/>
              </w:rPr>
              <w:t>957.3</w:t>
            </w:r>
          </w:p>
        </w:tc>
        <w:tc>
          <w:tcPr>
            <w:tcW w:w="1134" w:type="dxa"/>
            <w:vAlign w:val="center"/>
          </w:tcPr>
          <w:p>
            <w:pPr>
              <w:pStyle w:val="20"/>
              <w:overflowPunct w:val="0"/>
              <w:spacing w:before="156" w:beforeLines="50" w:line="384" w:lineRule="auto"/>
              <w:ind w:firstLine="0" w:firstLineChars="0"/>
              <w:jc w:val="center"/>
              <w:rPr>
                <w:rFonts w:ascii="Times New Roman" w:hAnsi="Times New Roman"/>
                <w:szCs w:val="21"/>
              </w:rPr>
            </w:pPr>
            <w:r>
              <w:rPr>
                <w:rFonts w:hint="eastAsia"/>
                <w:sz w:val="21"/>
                <w:szCs w:val="21"/>
              </w:rPr>
              <w:t>6</w:t>
            </w:r>
            <w:r>
              <w:rPr>
                <w:sz w:val="21"/>
                <w:szCs w:val="21"/>
              </w:rPr>
              <w:t>00</w:t>
            </w:r>
          </w:p>
        </w:tc>
        <w:tc>
          <w:tcPr>
            <w:tcW w:w="1417" w:type="dxa"/>
            <w:vAlign w:val="center"/>
          </w:tcPr>
          <w:p>
            <w:pPr>
              <w:pStyle w:val="20"/>
              <w:overflowPunct w:val="0"/>
              <w:spacing w:before="156" w:beforeLines="50" w:line="384" w:lineRule="auto"/>
              <w:ind w:firstLine="0" w:firstLineChars="0"/>
              <w:jc w:val="center"/>
              <w:rPr>
                <w:rFonts w:ascii="Times New Roman" w:hAnsi="Times New Roman"/>
                <w:szCs w:val="21"/>
              </w:rPr>
            </w:pPr>
            <w:r>
              <w:rPr>
                <w:rFonts w:hint="eastAsia"/>
                <w:sz w:val="21"/>
                <w:szCs w:val="21"/>
              </w:rPr>
              <w:t>0</w:t>
            </w:r>
            <w:r>
              <w:rPr>
                <w:sz w:val="21"/>
                <w:szCs w:val="21"/>
              </w:rPr>
              <w:t>.12%</w:t>
            </w:r>
          </w:p>
        </w:tc>
        <w:tc>
          <w:tcPr>
            <w:tcW w:w="993" w:type="dxa"/>
            <w:vAlign w:val="center"/>
          </w:tcPr>
          <w:p>
            <w:pPr>
              <w:spacing w:line="288" w:lineRule="auto"/>
              <w:jc w:val="center"/>
              <w:rPr>
                <w:rFonts w:ascii="Times New Roman" w:hAnsi="Times New Roman"/>
                <w:szCs w:val="21"/>
              </w:rPr>
            </w:pPr>
            <w:r>
              <w:rPr>
                <w:rFonts w:ascii="Times New Roman" w:hAnsi="Times New Roman"/>
                <w:szCs w:val="21"/>
              </w:rPr>
              <w:t>This work</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Co@NHCRs</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sz w:val="21"/>
                <w:szCs w:val="21"/>
              </w:rPr>
              <w:t>60%</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0.5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971</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0.27%</w:t>
            </w:r>
          </w:p>
        </w:tc>
        <w:tc>
          <w:tcPr>
            <w:tcW w:w="993" w:type="dxa"/>
            <w:vAlign w:val="center"/>
          </w:tcPr>
          <w:p>
            <w:pPr>
              <w:spacing w:line="288" w:lineRule="auto"/>
              <w:jc w:val="center"/>
              <w:rPr>
                <w:rFonts w:ascii="Times New Roman" w:hAnsi="Times New Roman"/>
                <w:szCs w:val="21"/>
              </w:rPr>
            </w:pPr>
            <w:r>
              <w:rPr>
                <w:rFonts w:ascii="Times New Roman" w:hAnsi="Times New Roman"/>
                <w:szCs w:val="21"/>
              </w:rPr>
              <w:t>S1</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&lt;EndNote&gt;&lt;Cite&gt;&lt;Author&gt;Zhang&lt;/Author&gt;&lt;Year&gt;2016&lt;/Year&gt;&lt;RecNum&gt;636&lt;/RecNum&gt;&lt;DisplayText&gt;[1]&lt;/DisplayText&gt;&lt;record&gt;&lt;rec-number&gt;636&lt;/rec-number&gt;&lt;foreign-keys&gt;&lt;key app="EN" db-id="2xvtdp5e0aeazdedsto55ae5zpe9xfwe0rdr" timestamp="1627266737"&gt;636&lt;/key&gt;&lt;/foreign-keys&gt;&lt;ref-type name="Journal Article"&gt;17&lt;/ref-type&gt;&lt;contributors&gt;&lt;authors&gt;&lt;author&gt;Zhang, Mengdi&lt;/author&gt;&lt;author&gt;Yu, Chang&lt;/author&gt;&lt;author&gt;Zhao, Changtai&lt;/author&gt;&lt;author&gt;Song, Xuedan&lt;/author&gt;&lt;author&gt;Han, Xiaotong&lt;/author&gt;&lt;author&gt;Liu, Shaohong&lt;/author&gt;&lt;author&gt;Hao, Ce&lt;/author&gt;&lt;author&gt;Qiu, Jieshan&lt;/author&gt;&lt;/authors&gt;&lt;/contributors&gt;&lt;titles&gt;&lt;title&gt;Cobalt-embedded nitrogen-dopedhollowcarbonnanorods for synergisticallyimmobilizingthedischargeproducts in lithium-sulfur battery&lt;/title&gt;&lt;secondary-title&gt;Energy Storage Materials&lt;/secondary-title&gt;&lt;/titles&gt;&lt;periodical&gt;&lt;full-title&gt;Energy Storage Materials&lt;/full-title&gt;&lt;abbr-1&gt;Energy Storage Mater.&lt;/abbr-1&gt;&lt;/periodical&gt;&lt;pages&gt;223-229&lt;/pages&gt;&lt;volume&gt;5&lt;/volume&gt;&lt;dates&gt;&lt;year&gt;2016&lt;/year&gt;&lt;pub-dates&gt;&lt;date&gt;Oct&lt;/date&gt;&lt;/pub-dates&gt;&lt;/dates&gt;&lt;isbn&gt;2405-8297&lt;/isbn&gt;&lt;accession-num&gt;WOS:000399335700021&lt;/accession-num&gt;&lt;label&gt;S1&lt;/label&gt;&lt;urls&gt;&lt;related-urls&gt;&lt;url&gt;&lt;style face="underline" font="default" size="100%"&gt;&amp;lt;Go to ISI&amp;gt;://WOS:000399335700021&lt;/style&gt;&lt;/url&gt;&lt;/related-urls&gt;&lt;/urls&gt;&lt;electronic-resource-num&gt;10.1016/j.ensm.2016.04.002&lt;/electronic-resource-num&gt;&lt;/record&gt;&lt;/Cite&gt;&lt;/EndNote&gt;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[1]</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S-DHCS@CNTs</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sz w:val="21"/>
                <w:szCs w:val="21"/>
              </w:rPr>
              <w:t>73%</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0.2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1709</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48</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1.19%</w:t>
            </w:r>
          </w:p>
        </w:tc>
        <w:tc>
          <w:tcPr>
            <w:tcW w:w="993" w:type="dxa"/>
            <w:vAlign w:val="center"/>
          </w:tcPr>
          <w:p>
            <w:pPr>
              <w:spacing w:line="288" w:lineRule="auto"/>
              <w:jc w:val="center"/>
              <w:rPr>
                <w:rFonts w:ascii="Times New Roman" w:hAnsi="Times New Roman"/>
                <w:szCs w:val="21"/>
              </w:rPr>
            </w:pPr>
            <w:r>
              <w:rPr>
                <w:rFonts w:ascii="Times New Roman" w:hAnsi="Times New Roman"/>
                <w:szCs w:val="21"/>
              </w:rPr>
              <w:t>S2</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&lt;EndNote&gt;&lt;Cite&gt;&lt;Author&gt;Walle&lt;/Author&gt;&lt;Year&gt;2021&lt;/Year&gt;&lt;RecNum&gt;634&lt;/RecNum&gt;&lt;DisplayText&gt;[2]&lt;/DisplayText&gt;&lt;record&gt;&lt;rec-number&gt;634&lt;/rec-number&gt;&lt;foreign-keys&gt;&lt;key app="EN" db-id="2xvtdp5e0aeazdedsto55ae5zpe9xfwe0rdr" timestamp="1627266737"&gt;634&lt;/key&gt;&lt;/foreign-keys&gt;&lt;ref-type name="Journal Article"&gt;17&lt;/ref-type&gt;&lt;contributors&gt;&lt;authors&gt;&lt;author&gt;Walle, Maru Dessie&lt;/author&gt;&lt;author&gt;Liu, You-Nian&lt;/author&gt;&lt;/authors&gt;&lt;/contributors&gt;&lt;titles&gt;&lt;title&gt;Confine sulfur in double-hollow carbon sphere integrated with carbon nanotubes for advanced lithium-sulfur batteries&lt;/title&gt;&lt;secondary-title&gt;Materials for Renewable and Sustainable Energy&lt;/secondary-title&gt;&lt;/titles&gt;&lt;periodical&gt;&lt;full-title&gt;Materials for Renewable and Sustainable Energy&lt;/full-title&gt;&lt;abbr-1&gt;Mater Renew Sustain Energy&lt;/abbr-1&gt;&lt;/periodical&gt;&lt;pages&gt;1&lt;/pages&gt;&lt;volume&gt;10&lt;/volume&gt;&lt;number&gt;1&lt;/number&gt;&lt;dates&gt;&lt;year&gt;2021&lt;/year&gt;&lt;pub-dates&gt;&lt;date&gt;Mar&lt;/date&gt;&lt;/pub-dates&gt;&lt;/dates&gt;&lt;isbn&gt;2194-1459&lt;/isbn&gt;&lt;accession-num&gt;WOS:000604241100001&lt;/accession-num&gt;&lt;label&gt;S2&lt;/label&gt;&lt;urls&gt;&lt;related-urls&gt;&lt;url&gt;&lt;style face="underline" font="default" size="100%"&gt;&amp;lt;Go to ISI&amp;gt;://WOS:000604241100001&lt;/style&gt;&lt;/url&gt;&lt;/related-urls&gt;&lt;/urls&gt;&lt;custom7&gt;1&lt;/custom7&gt;&lt;electronic-resource-num&gt;10.1007/s40243-020-00186-2&lt;/electronic-resource-num&gt;&lt;/record&gt;&lt;/Cite&gt;&lt;/EndNote&gt;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[2]</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HCSs/S-LBL</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sz w:val="21"/>
                <w:szCs w:val="21"/>
              </w:rPr>
              <w:t>65%</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0.6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850</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200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0.16%</w:t>
            </w:r>
          </w:p>
        </w:tc>
        <w:tc>
          <w:tcPr>
            <w:tcW w:w="993" w:type="dxa"/>
            <w:vAlign w:val="center"/>
          </w:tcPr>
          <w:p>
            <w:pPr>
              <w:spacing w:line="288" w:lineRule="auto"/>
              <w:jc w:val="center"/>
              <w:rPr>
                <w:rFonts w:ascii="Times New Roman" w:hAnsi="Times New Roman"/>
                <w:szCs w:val="21"/>
              </w:rPr>
            </w:pPr>
            <w:r>
              <w:rPr>
                <w:rFonts w:ascii="Times New Roman" w:hAnsi="Times New Roman"/>
                <w:szCs w:val="21"/>
              </w:rPr>
              <w:t>S3</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&lt;EndNote&gt;&lt;Cite&gt;&lt;Author&gt;Wu&lt;/Author&gt;&lt;Year&gt;2016&lt;/Year&gt;&lt;RecNum&gt;637&lt;/RecNum&gt;&lt;DisplayText&gt;[3]&lt;/DisplayText&gt;&lt;record&gt;&lt;rec-number&gt;637&lt;/rec-number&gt;&lt;foreign-keys&gt;&lt;key app="EN" db-id="2xvtdp5e0aeazdedsto55ae5zpe9xfwe0rdr" timestamp="1627266737"&gt;637&lt;/key&gt;&lt;/foreign-keys&gt;&lt;ref-type name="Journal Article"&gt;17&lt;/ref-type&gt;&lt;contributors&gt;&lt;authors&gt;&lt;author&gt;Wu, Feng&lt;/author&gt;&lt;author&gt;Li, Jian&lt;/author&gt;&lt;author&gt;Su, Yuefeng&lt;/author&gt;&lt;author&gt;Wang, Jing&lt;/author&gt;&lt;author&gt;Yang, Wen&lt;/author&gt;&lt;author&gt;Li, Ning&lt;/author&gt;&lt;author&gt;Chen, Lai&lt;/author&gt;&lt;author&gt;Chen, Shi&lt;/author&gt;&lt;author&gt;Chen, Renjie&lt;/author&gt;&lt;author&gt;Bao, Liying&lt;/author&gt;&lt;/authors&gt;&lt;/contributors&gt;&lt;titles&gt;&lt;title&gt;Layer-by-Layer Assembled Architecture of Polyelectrolyte Multilayers and Graphene Sheets on Hollow Carbon Spheres/Sulfur Composite for High-Performance Lithium-Sulfur Batteries&lt;/title&gt;&lt;secondary-title&gt;Nano Letters&lt;/secondary-title&gt;&lt;/titles&gt;&lt;periodical&gt;&lt;full-title&gt;Nano Letters&lt;/full-title&gt;&lt;abbr-1&gt;Nano Lett.&lt;/abbr-1&gt;&lt;abbr-2&gt;Nano Lett&lt;/abbr-2&gt;&lt;/periodical&gt;&lt;pages&gt;5488-5494&lt;/pages&gt;&lt;volume&gt;16&lt;/volume&gt;&lt;number&gt;9&lt;/number&gt;&lt;dates&gt;&lt;year&gt;2016&lt;/year&gt;&lt;pub-dates&gt;&lt;date&gt;Sep&lt;/date&gt;&lt;/pub-dates&gt;&lt;/dates&gt;&lt;isbn&gt;1530-6984&lt;/isbn&gt;&lt;accession-num&gt;WOS:000383412100027&lt;/accession-num&gt;&lt;label&gt;S3&lt;/label&gt;&lt;urls&gt;&lt;related-urls&gt;&lt;url&gt;&lt;style face="underline" font="default" size="100%"&gt;&amp;lt;Go to ISI&amp;gt;://WOS:000383412100027&lt;/style&gt;&lt;/url&gt;&lt;/related-urls&gt;&lt;/urls&gt;&lt;electronic-resource-num&gt;10.1021/acs.nanolett.6b01981&lt;/electronic-resource-num&gt;&lt;/record&gt;&lt;/Cite&gt;&lt;/EndNote&gt;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[3]</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S@Co-N-GC</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sz w:val="21"/>
                <w:szCs w:val="21"/>
              </w:rPr>
              <w:t>70%</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0.2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1440</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200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0.198%</w:t>
            </w:r>
          </w:p>
        </w:tc>
        <w:tc>
          <w:tcPr>
            <w:tcW w:w="993" w:type="dxa"/>
            <w:vAlign w:val="center"/>
          </w:tcPr>
          <w:p>
            <w:pPr>
              <w:spacing w:line="288" w:lineRule="auto"/>
              <w:jc w:val="center"/>
              <w:rPr>
                <w:rFonts w:ascii="Times New Roman" w:hAnsi="Times New Roman"/>
                <w:szCs w:val="21"/>
              </w:rPr>
            </w:pPr>
            <w:r>
              <w:rPr>
                <w:rFonts w:ascii="Times New Roman" w:hAnsi="Times New Roman"/>
                <w:szCs w:val="21"/>
              </w:rPr>
              <w:t>S4</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&lt;EndNote&gt;&lt;Cite&gt;&lt;Author&gt;Li&lt;/Author&gt;&lt;Year&gt;2016&lt;/Year&gt;&lt;RecNum&gt;638&lt;/RecNum&gt;&lt;DisplayText&gt;[4]&lt;/DisplayText&gt;&lt;record&gt;&lt;rec-number&gt;638&lt;/rec-number&gt;&lt;foreign-keys&gt;&lt;key app="EN" db-id="2xvtdp5e0aeazdedsto55ae5zpe9xfwe0rdr" timestamp="1627266737"&gt;638&lt;/key&gt;&lt;/foreign-keys&gt;&lt;ref-type name="Journal Article"&gt;17&lt;/ref-type&gt;&lt;contributors&gt;&lt;authors&gt;&lt;author&gt;Li, Yi-Juan&lt;/author&gt;&lt;author&gt;Fan, Jing-Min&lt;/author&gt;&lt;author&gt;Zheng, Ming-Sen&lt;/author&gt;&lt;author&gt;Dong, Quan-Feng&lt;/author&gt;&lt;/authors&gt;&lt;/contributors&gt;&lt;titles&gt;&lt;title&gt;A novel synergistic composite with multi-functional effects for high-performance Li-S batteries&lt;/title&gt;&lt;secondary-title&gt;Energy &amp;amp; Environmental Science&lt;/secondary-title&gt;&lt;/titles&gt;&lt;periodical&gt;&lt;full-title&gt;Energy &amp;amp; Environmental Science&lt;/full-title&gt;&lt;abbr-1&gt;Energy Environ. Sci.&lt;/abbr-1&gt;&lt;/periodical&gt;&lt;pages&gt;1998-2004&lt;/pages&gt;&lt;volume&gt;9&lt;/volume&gt;&lt;number&gt;6&lt;/number&gt;&lt;dates&gt;&lt;year&gt;2016&lt;/year&gt;&lt;pub-dates&gt;&lt;date&gt;2016&lt;/date&gt;&lt;/pub-dates&gt;&lt;/dates&gt;&lt;isbn&gt;1754-5692&lt;/isbn&gt;&lt;accession-num&gt;WOS:000378244200006&lt;/accession-num&gt;&lt;label&gt;S4&lt;/label&gt;&lt;urls&gt;&lt;related-urls&gt;&lt;url&gt;&lt;style face="underline" font="default" size="100%"&gt;&amp;lt;Go to ISI&amp;gt;://WOS:000378244200006&lt;/style&gt;&lt;/url&gt;&lt;/related-urls&gt;&lt;/urls&gt;&lt;electronic-resource-num&gt;10.1039/c6ee00104a&lt;/electronic-resource-num&gt;&lt;/record&gt;&lt;/Cite&gt;&lt;/EndNote&gt;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[4]</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COM-MPC@S</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sz w:val="21"/>
                <w:szCs w:val="21"/>
              </w:rPr>
              <w:t>59.4%</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1</w:t>
            </w:r>
            <w:r>
              <w:rPr>
                <w:sz w:val="21"/>
                <w:szCs w:val="21"/>
              </w:rPr>
              <w:t>.0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1221.8</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50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1.0%</w:t>
            </w:r>
          </w:p>
        </w:tc>
        <w:tc>
          <w:tcPr>
            <w:tcW w:w="993" w:type="dxa"/>
            <w:vAlign w:val="center"/>
          </w:tcPr>
          <w:p>
            <w:pPr>
              <w:spacing w:line="288" w:lineRule="auto"/>
              <w:jc w:val="center"/>
              <w:rPr>
                <w:rFonts w:ascii="Times New Roman" w:hAnsi="Times New Roman"/>
                <w:szCs w:val="21"/>
              </w:rPr>
            </w:pPr>
            <w:r>
              <w:rPr>
                <w:rFonts w:ascii="Times New Roman" w:hAnsi="Times New Roman"/>
                <w:szCs w:val="21"/>
              </w:rPr>
              <w:t>S5</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&lt;EndNote&gt;&lt;Cite&gt;&lt;Author&gt;Ji&lt;/Author&gt;&lt;Year&gt;2020&lt;/Year&gt;&lt;RecNum&gt;635&lt;/RecNum&gt;&lt;DisplayText&gt;[5]&lt;/DisplayText&gt;&lt;record&gt;&lt;rec-number&gt;635&lt;/rec-number&gt;&lt;foreign-keys&gt;&lt;key app="EN" db-id="2xvtdp5e0aeazdedsto55ae5zpe9xfwe0rdr" timestamp="1627266737"&gt;635&lt;/key&gt;&lt;/foreign-keys&gt;&lt;ref-type name="Journal Article"&gt;17&lt;/ref-type&gt;&lt;contributors&gt;&lt;authors&gt;&lt;author&gt;Ji, Xinxin&lt;/author&gt;&lt;author&gt;Li, Qian&lt;/author&gt;&lt;author&gt;Yu, Haoquan&lt;/author&gt;&lt;author&gt;Hu, Xiaolin&lt;/author&gt;&lt;author&gt;Luo, Yuanzheng&lt;/author&gt;&lt;author&gt;Li, Buyin&lt;/author&gt;&lt;/authors&gt;&lt;/contributors&gt;&lt;titles&gt;&lt;title&gt;Three-dimensional ordered macroporous ZIF-8 nanoparticle-derived nitrogen-doped hierarchical porous carbons for high-performance lithium-sulfur batteries&lt;/title&gt;&lt;secondary-title&gt;Rsc Advances&lt;/secondary-title&gt;&lt;/titles&gt;&lt;periodical&gt;&lt;full-title&gt;RSC Advances&lt;/full-title&gt;&lt;abbr-1&gt;RSC Adv.&lt;/abbr-1&gt;&lt;/periodical&gt;&lt;pages&gt;41983-41992&lt;/pages&gt;&lt;volume&gt;10&lt;/volume&gt;&lt;number&gt;69&lt;/number&gt;&lt;dates&gt;&lt;year&gt;2020&lt;/year&gt;&lt;pub-dates&gt;&lt;date&gt;Nov 22&lt;/date&gt;&lt;/pub-dates&gt;&lt;/dates&gt;&lt;accession-num&gt;WOS:000592897600002&lt;/accession-num&gt;&lt;label&gt;S5&lt;/label&gt;&lt;urls&gt;&lt;related-urls&gt;&lt;url&gt;&lt;style face="underline" font="default" size="100%"&gt;&amp;lt;Go to ISI&amp;gt;://WOS:000592897600002&lt;/style&gt;&lt;/url&gt;&lt;/related-urls&gt;&lt;/urls&gt;&lt;electronic-resource-num&gt;10.1039/d0ra07114e&lt;/electronic-resource-num&gt;&lt;/record&gt;&lt;/Cite&gt;&lt;/EndNote&gt;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[5]</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FeS</w:t>
            </w:r>
            <w:r>
              <w:rPr>
                <w:rFonts w:ascii="Times New Roman" w:hAnsi="Times New Roman"/>
                <w:sz w:val="21"/>
                <w:szCs w:val="21"/>
                <w:vertAlign w:val="subscript"/>
              </w:rPr>
              <w:t>2</w:t>
            </w:r>
            <w:r>
              <w:rPr>
                <w:rFonts w:ascii="Times New Roman" w:hAnsi="Times New Roman"/>
                <w:sz w:val="21"/>
                <w:szCs w:val="21"/>
              </w:rPr>
              <w:t>-C</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6</w:t>
            </w:r>
            <w:r>
              <w:rPr>
                <w:sz w:val="21"/>
                <w:szCs w:val="21"/>
              </w:rPr>
              <w:t>1.7%</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0</w:t>
            </w:r>
            <w:r>
              <w:rPr>
                <w:sz w:val="21"/>
                <w:szCs w:val="21"/>
              </w:rPr>
              <w:t>.5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8</w:t>
            </w:r>
            <w:r>
              <w:rPr>
                <w:sz w:val="21"/>
                <w:szCs w:val="21"/>
              </w:rPr>
              <w:t>77.6</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3</w:t>
            </w:r>
            <w:r>
              <w:rPr>
                <w:sz w:val="21"/>
                <w:szCs w:val="21"/>
              </w:rPr>
              <w:t>50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0</w:t>
            </w:r>
            <w:r>
              <w:rPr>
                <w:sz w:val="21"/>
                <w:szCs w:val="21"/>
              </w:rPr>
              <w:t>.03%</w:t>
            </w:r>
          </w:p>
        </w:tc>
        <w:tc>
          <w:tcPr>
            <w:tcW w:w="993" w:type="dxa"/>
            <w:vAlign w:val="center"/>
          </w:tcPr>
          <w:p>
            <w:pPr>
              <w:spacing w:line="288" w:lineRule="auto"/>
              <w:jc w:val="center"/>
              <w:rPr>
                <w:rFonts w:ascii="Times New Roman" w:hAnsi="Times New Roman"/>
                <w:szCs w:val="21"/>
              </w:rPr>
            </w:pPr>
            <w:r>
              <w:rPr>
                <w:rFonts w:hint="eastAsia" w:ascii="Times New Roman" w:hAnsi="Times New Roman"/>
                <w:szCs w:val="21"/>
              </w:rPr>
              <w:t>S</w:t>
            </w:r>
            <w:r>
              <w:rPr>
                <w:rFonts w:ascii="Times New Roman" w:hAnsi="Times New Roman"/>
                <w:szCs w:val="21"/>
              </w:rPr>
              <w:t>6</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&lt;EndNote&gt;&lt;Cite&gt;&lt;Author&gt;Hu&lt;/Author&gt;&lt;Year&gt;2021&lt;/Year&gt;&lt;RecNum&gt;1041&lt;/RecNum&gt;&lt;DisplayText&gt;[6]&lt;/DisplayText&gt;&lt;record&gt;&lt;rec-number&gt;1041&lt;/rec-number&gt;&lt;foreign-keys&gt;&lt;key app="EN" db-id="2xvtdp5e0aeazdedsto55ae5zpe9xfwe0rdr" timestamp="1631029246"&gt;1041&lt;/key&gt;&lt;/foreign-keys&gt;&lt;ref-type name="Journal Article"&gt;17&lt;/ref-type&gt;&lt;contributors&gt;&lt;authors&gt;&lt;author&gt;Hu, Qianqian&lt;/author&gt;&lt;author&gt;Dong, Haiyong&lt;/author&gt;&lt;author&gt;Wang, Biao&lt;/author&gt;&lt;author&gt;Yang, Chun&lt;/author&gt;&lt;author&gt;Wang, Xuyao&lt;/author&gt;&lt;author&gt;Lu, Jiqun&lt;/author&gt;&lt;author&gt;Hong, Ye&lt;/author&gt;&lt;author&gt;Zhang, Lingzhi&lt;/author&gt;&lt;/authors&gt;&lt;/contributors&gt;&lt;titles&gt;&lt;title&gt;Constructing coral-like hierarchical porous carbon architectures with tailored pore size distribution as sulfur hosts for durable Li-S batteries&lt;/title&gt;&lt;secondary-title&gt;Electrochimica Acta&lt;/secondary-title&gt;&lt;/titles&gt;&lt;periodical&gt;&lt;full-title&gt;Electrochimica Acta&lt;/full-title&gt;&lt;abbr-1&gt;Electrochim. Acta&lt;/abbr-1&gt;&lt;abbr-2&gt;Electrochim Acta&lt;/abbr-2&gt;&lt;/periodical&gt;&lt;pages&gt;138063&lt;/pages&gt;&lt;volume&gt;377&lt;/volume&gt;&lt;dates&gt;&lt;year&gt;2021&lt;/year&gt;&lt;pub-dates&gt;&lt;date&gt;May 1&lt;/date&gt;&lt;/pub-dates&gt;&lt;/dates&gt;&lt;isbn&gt;0013-4686&lt;/isbn&gt;&lt;accession-num&gt;WOS:000639189500004&lt;/accession-num&gt;&lt;urls&gt;&lt;related-urls&gt;&lt;url&gt;&lt;style face="underline" font="default" size="100%"&gt;&amp;lt;Go to ISI&amp;gt;://WOS:000639189500004&lt;/style&gt;&lt;/url&gt;&lt;/related-urls&gt;&lt;/urls&gt;&lt;custom7&gt;138063&lt;/custom7&gt;&lt;electronic-resource-num&gt;10.1016/j.electacta.2021.138063&lt;/electronic-resource-num&gt;&lt;/record&gt;&lt;/Cite&gt;&lt;/EndNote&gt;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[6]</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rGO/VO</w:t>
            </w:r>
            <w:r>
              <w:rPr>
                <w:rFonts w:ascii="Times New Roman" w:hAnsi="Times New Roman"/>
                <w:sz w:val="21"/>
                <w:szCs w:val="21"/>
                <w:vertAlign w:val="subscript"/>
              </w:rPr>
              <w:t>2</w:t>
            </w:r>
            <w:r>
              <w:rPr>
                <w:rFonts w:ascii="Times New Roman" w:hAnsi="Times New Roman"/>
                <w:sz w:val="21"/>
                <w:szCs w:val="21"/>
              </w:rPr>
              <w:t>/S</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7</w:t>
            </w:r>
            <w:r>
              <w:rPr>
                <w:sz w:val="21"/>
                <w:szCs w:val="21"/>
              </w:rPr>
              <w:t>0%</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1</w:t>
            </w:r>
            <w:r>
              <w:rPr>
                <w:sz w:val="21"/>
                <w:szCs w:val="21"/>
              </w:rPr>
              <w:t>.0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718.6</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400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0</w:t>
            </w:r>
            <w:r>
              <w:rPr>
                <w:sz w:val="21"/>
                <w:szCs w:val="21"/>
              </w:rPr>
              <w:t>.07%</w:t>
            </w:r>
          </w:p>
        </w:tc>
        <w:tc>
          <w:tcPr>
            <w:tcW w:w="993" w:type="dxa"/>
            <w:vAlign w:val="center"/>
          </w:tcPr>
          <w:p>
            <w:pPr>
              <w:spacing w:line="288" w:lineRule="auto"/>
              <w:jc w:val="center"/>
              <w:rPr>
                <w:rFonts w:ascii="Times New Roman" w:hAnsi="Times New Roman"/>
                <w:szCs w:val="21"/>
              </w:rPr>
            </w:pPr>
            <w:r>
              <w:rPr>
                <w:rFonts w:hint="eastAsia" w:ascii="Times New Roman" w:hAnsi="Times New Roman"/>
                <w:szCs w:val="21"/>
              </w:rPr>
              <w:t>S</w:t>
            </w:r>
            <w:r>
              <w:rPr>
                <w:rFonts w:ascii="Times New Roman" w:hAnsi="Times New Roman"/>
                <w:szCs w:val="21"/>
              </w:rPr>
              <w:t>7</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&lt;EndNote&gt;&lt;Cite&gt;&lt;Author&gt;Xie&lt;/Author&gt;&lt;Year&gt;2021&lt;/Year&gt;&lt;RecNum&gt;1036&lt;/RecNum&gt;&lt;DisplayText&gt;[7]&lt;/DisplayText&gt;&lt;record&gt;&lt;rec-number&gt;1036&lt;/rec-number&gt;&lt;foreign-keys&gt;&lt;key app="EN" db-id="2xvtdp5e0aeazdedsto55ae5zpe9xfwe0rdr" timestamp="1630504455"&gt;1036&lt;/key&gt;&lt;/foreign-keys&gt;&lt;ref-type name="Journal Article"&gt;17&lt;/ref-type&gt;&lt;contributors&gt;&lt;authors&gt;&lt;author&gt;Xie, Dongjiu&lt;/author&gt;&lt;author&gt;Mei, Shilin&lt;/author&gt;&lt;author&gt;Xu, Yaolin&lt;/author&gt;&lt;author&gt;Quan, Ting&lt;/author&gt;&lt;author&gt;Haerk, Eneli&lt;/author&gt;&lt;author&gt;Kochovski, Zdravko&lt;/author&gt;&lt;author&gt;Lu, Yan&lt;/author&gt;&lt;/authors&gt;&lt;/contributors&gt;&lt;titles&gt;&lt;title&gt;Efficient Sulfur Host Based on Yolk-Shell Iron Oxide/Sulfide-Carbon Nanospindles for Lithium-Sulfur Batteries&lt;/title&gt;&lt;secondary-title&gt;Chemsuschem&lt;/secondary-title&gt;&lt;/titles&gt;&lt;periodical&gt;&lt;full-title&gt;Chemsuschem&lt;/full-title&gt;&lt;abbr-1&gt;ChemSusChem&lt;/abbr-1&gt;&lt;/periodical&gt;&lt;pages&gt;1404-1413&lt;/pages&gt;&lt;volume&gt;14&lt;/volume&gt;&lt;number&gt;5&lt;/number&gt;&lt;dates&gt;&lt;year&gt;2021&lt;/year&gt;&lt;pub-dates&gt;&lt;date&gt;Mar 5&lt;/date&gt;&lt;/pub-dates&gt;&lt;/dates&gt;&lt;isbn&gt;1864-5631&lt;/isbn&gt;&lt;accession-num&gt;WOS:000613850500001&lt;/accession-num&gt;&lt;urls&gt;&lt;related-urls&gt;&lt;url&gt;&lt;style face="underline" font="default" size="100%"&gt;&amp;lt;Go to ISI&amp;gt;://WOS:000613850500001&lt;/style&gt;&lt;/url&gt;&lt;/related-urls&gt;&lt;/urls&gt;&lt;electronic-resource-num&gt;10.1002/cssc.202002731&lt;/electronic-resource-num&gt;&lt;research-notes&gt;S7&lt;/research-notes&gt;&lt;/record&gt;&lt;/Cite&gt;&lt;/EndNote&gt;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[7]</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Fe-PNC/S</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7</w:t>
            </w:r>
            <w:r>
              <w:rPr>
                <w:sz w:val="21"/>
                <w:szCs w:val="21"/>
              </w:rPr>
              <w:t>0%</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0.1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1138.6</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sz w:val="21"/>
                <w:szCs w:val="21"/>
              </w:rPr>
              <w:t>300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sz w:val="21"/>
                <w:szCs w:val="21"/>
              </w:rPr>
              <w:t>0.2</w:t>
            </w:r>
          </w:p>
        </w:tc>
        <w:tc>
          <w:tcPr>
            <w:tcW w:w="993" w:type="dxa"/>
            <w:vAlign w:val="center"/>
          </w:tcPr>
          <w:p>
            <w:pPr>
              <w:spacing w:line="288" w:lineRule="auto"/>
              <w:jc w:val="center"/>
              <w:rPr>
                <w:rFonts w:ascii="Times New Roman" w:hAnsi="Times New Roman"/>
                <w:szCs w:val="21"/>
              </w:rPr>
            </w:pPr>
            <w:r>
              <w:rPr>
                <w:rFonts w:hint="eastAsia" w:ascii="Times New Roman" w:hAnsi="Times New Roman"/>
                <w:szCs w:val="21"/>
              </w:rPr>
              <w:t>S</w:t>
            </w:r>
            <w:r>
              <w:rPr>
                <w:rFonts w:ascii="Times New Roman" w:hAnsi="Times New Roman"/>
                <w:szCs w:val="21"/>
              </w:rPr>
              <w:t>8</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&lt;EndNote&gt;&lt;Cite&gt;&lt;Author&gt;Song&lt;/Author&gt;&lt;Year&gt;2020&lt;/Year&gt;&lt;RecNum&gt;1037&lt;/RecNum&gt;&lt;DisplayText&gt;[8]&lt;/DisplayText&gt;&lt;record&gt;&lt;rec-number&gt;1037&lt;/rec-number&gt;&lt;foreign-keys&gt;&lt;key app="EN" db-id="2xvtdp5e0aeazdedsto55ae5zpe9xfwe0rdr" timestamp="1630504455"&gt;1037&lt;/key&gt;&lt;/foreign-keys&gt;&lt;ref-type name="Journal Article"&gt;17&lt;/ref-type&gt;&lt;contributors&gt;&lt;authors&gt;&lt;author&gt;Song, Zhicui&lt;/author&gt;&lt;author&gt;Lu, Xiaoli&lt;/author&gt;&lt;author&gt;Hu, Qiang&lt;/author&gt;&lt;author&gt;Lin, Dunmin&lt;/author&gt;&lt;author&gt;Zheng, Qiaoji&lt;/author&gt;&lt;/authors&gt;&lt;/contributors&gt;&lt;titles&gt;&lt;title&gt;Construction of reduced graphene oxide wrapped yolk-shell vanadium dioxide sphere hybrid host for high-performance lithium-sulfur batteries&lt;/title&gt;&lt;secondary-title&gt;Dalton Transactions&lt;/secondary-title&gt;&lt;/titles&gt;&lt;periodical&gt;&lt;full-title&gt;Dalton Transactions&lt;/full-title&gt;&lt;abbr-1&gt;Dalton Trans.&lt;/abbr-1&gt;&lt;/periodical&gt;&lt;pages&gt;14921-14930&lt;/pages&gt;&lt;volume&gt;49&lt;/volume&gt;&lt;number&gt;42&lt;/number&gt;&lt;dates&gt;&lt;year&gt;2020&lt;/year&gt;&lt;pub-dates&gt;&lt;date&gt;Nov 14&lt;/date&gt;&lt;/pub-dates&gt;&lt;/dates&gt;&lt;isbn&gt;1477-9226&lt;/isbn&gt;&lt;accession-num&gt;WOS:000589506700020&lt;/accession-num&gt;&lt;urls&gt;&lt;related-urls&gt;&lt;url&gt;&lt;style face="underline" font="default" size="100%"&gt;&amp;lt;Go to ISI&amp;gt;://WOS:000589506700020&lt;/style&gt;&lt;/url&gt;&lt;/related-urls&gt;&lt;/urls&gt;&lt;electronic-resource-num&gt;10.1039/d0dt02275f&lt;/electronic-resource-num&gt;&lt;research-notes&gt;S8&lt;/research-notes&gt;&lt;/record&gt;&lt;/Cite&gt;&lt;/EndNote&gt;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[8]</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MF-1.1-20/S</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6</w:t>
            </w:r>
            <w:r>
              <w:rPr>
                <w:sz w:val="21"/>
                <w:szCs w:val="21"/>
              </w:rPr>
              <w:t>7.7%</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1</w:t>
            </w:r>
            <w:r>
              <w:rPr>
                <w:sz w:val="21"/>
                <w:szCs w:val="21"/>
              </w:rPr>
              <w:t>.0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sz w:val="21"/>
                <w:szCs w:val="21"/>
              </w:rPr>
              <w:t>755</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3</w:t>
            </w:r>
            <w:r>
              <w:rPr>
                <w:sz w:val="21"/>
                <w:szCs w:val="21"/>
              </w:rPr>
              <w:t>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0</w:t>
            </w:r>
            <w:r>
              <w:rPr>
                <w:sz w:val="21"/>
                <w:szCs w:val="21"/>
              </w:rPr>
              <w:t>.09%</w:t>
            </w:r>
          </w:p>
        </w:tc>
        <w:tc>
          <w:tcPr>
            <w:tcW w:w="993" w:type="dxa"/>
            <w:vAlign w:val="center"/>
          </w:tcPr>
          <w:p>
            <w:pPr>
              <w:spacing w:line="288" w:lineRule="auto"/>
              <w:jc w:val="center"/>
              <w:rPr>
                <w:rFonts w:ascii="Times New Roman" w:hAnsi="Times New Roman"/>
                <w:szCs w:val="21"/>
              </w:rPr>
            </w:pPr>
            <w:r>
              <w:rPr>
                <w:rFonts w:hint="eastAsia" w:ascii="Times New Roman" w:hAnsi="Times New Roman"/>
                <w:szCs w:val="21"/>
              </w:rPr>
              <w:t>S</w:t>
            </w:r>
            <w:r>
              <w:rPr>
                <w:rFonts w:ascii="Times New Roman" w:hAnsi="Times New Roman"/>
                <w:szCs w:val="21"/>
              </w:rPr>
              <w:t>9</w:t>
            </w:r>
            <w:r>
              <w:rPr>
                <w:rFonts w:ascii="Times New Roman" w:hAnsi="Times New Roman"/>
                <w:szCs w:val="21"/>
                <w:vertAlign w:val="superscript"/>
              </w:rPr>
              <w:fldChar w:fldCharType="begin"/>
            </w:r>
            <w:r>
              <w:rPr>
                <w:rFonts w:ascii="Times New Roman" w:hAnsi="Times New Roman"/>
                <w:szCs w:val="21"/>
                <w:vertAlign w:val="superscript"/>
              </w:rPr>
              <w:instrText xml:space="preserve"> ADDIN EN.CITE &lt;EndNote&gt;&lt;Cite&gt;&lt;Author&gt;Man&lt;/Author&gt;&lt;Year&gt;2021&lt;/Year&gt;&lt;RecNum&gt;1035&lt;/RecNum&gt;&lt;DisplayText&gt;[9]&lt;/DisplayText&gt;&lt;record&gt;&lt;rec-number&gt;1035&lt;/rec-number&gt;&lt;foreign-keys&gt;&lt;key app="EN" db-id="2xvtdp5e0aeazdedsto55ae5zpe9xfwe0rdr" timestamp="1630504455"&gt;1035&lt;/key&gt;&lt;/foreign-keys&gt;&lt;ref-type name="Journal Article"&gt;17&lt;/ref-type&gt;&lt;contributors&gt;&lt;authors&gt;&lt;author&gt;Man, Jin-zhi&lt;/author&gt;&lt;author&gt;Yang, Xiao&lt;/author&gt;&lt;author&gt;Li, Zhao-hui&lt;/author&gt;&lt;author&gt;Liu, Li&lt;/author&gt;&lt;author&gt;Lei, Gang-tie&lt;/author&gt;&lt;author&gt;Ding, Yan-huai&lt;/author&gt;&lt;/authors&gt;&lt;/contributors&gt;&lt;titles&gt;&lt;title&gt;Synthesis of polyaniline nanowires wrapped yolk-shell structured S@RGO composite material and its improved lithium-storage performance&lt;/title&gt;&lt;secondary-title&gt;Ionics&lt;/secondary-title&gt;&lt;/titles&gt;&lt;periodical&gt;&lt;full-title&gt;Ionics&lt;/full-title&gt;&lt;/periodical&gt;&lt;pages&gt;2455-2464&lt;/pages&gt;&lt;volume&gt;27&lt;/volume&gt;&lt;number&gt;6&lt;/number&gt;&lt;dates&gt;&lt;year&gt;2021&lt;/year&gt;&lt;pub-dates&gt;&lt;date&gt;Jun&lt;/date&gt;&lt;/pub-dates&gt;&lt;/dates&gt;&lt;isbn&gt;0947-7047&lt;/isbn&gt;&lt;accession-num&gt;WOS:000636130900002&lt;/accession-num&gt;&lt;urls&gt;&lt;related-urls&gt;&lt;url&gt;&lt;style face="underline" font="default" size="100%"&gt;&amp;lt;Go to ISI&amp;gt;://WOS:000636130900002&lt;/style&gt;&lt;/url&gt;&lt;/related-urls&gt;&lt;/urls&gt;&lt;electronic-resource-num&gt;10.1007/s11581-021-04008-x&lt;/electronic-resource-num&gt;&lt;research-notes&gt;S9&lt;/research-notes&gt;&lt;/record&gt;&lt;/Cite&gt;&lt;/EndNote&gt;</w:instrText>
            </w:r>
            <w:r>
              <w:rPr>
                <w:rFonts w:ascii="Times New Roman" w:hAnsi="Times New Roman"/>
                <w:szCs w:val="21"/>
                <w:vertAlign w:val="superscript"/>
              </w:rPr>
              <w:fldChar w:fldCharType="separate"/>
            </w:r>
            <w:r>
              <w:rPr>
                <w:rFonts w:ascii="Times New Roman" w:hAnsi="Times New Roman"/>
                <w:szCs w:val="21"/>
                <w:vertAlign w:val="superscript"/>
              </w:rPr>
              <w:t>[9]</w:t>
            </w:r>
            <w:r>
              <w:rPr>
                <w:rFonts w:ascii="Times New Roman" w:hAnsi="Times New Roman"/>
                <w:szCs w:val="21"/>
                <w:vertAlign w:val="superscript"/>
              </w:rPr>
              <w:fldChar w:fldCharType="end"/>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26" w:type="dxa"/>
            <w:vAlign w:val="center"/>
          </w:tcPr>
          <w:p>
            <w:pPr>
              <w:pStyle w:val="20"/>
              <w:overflowPunct w:val="0"/>
              <w:spacing w:line="384" w:lineRule="auto"/>
              <w:ind w:firstLine="0" w:firstLineChars="0"/>
              <w:jc w:val="center"/>
              <w:rPr>
                <w:rFonts w:ascii="Times New Roman" w:hAnsi="Times New Roman"/>
                <w:szCs w:val="21"/>
              </w:rPr>
            </w:pPr>
            <w:r>
              <w:rPr>
                <w:rFonts w:ascii="Times New Roman" w:hAnsi="Times New Roman"/>
                <w:sz w:val="21"/>
                <w:szCs w:val="21"/>
              </w:rPr>
              <w:t>S@RGO/PANI</w:t>
            </w:r>
          </w:p>
        </w:tc>
        <w:tc>
          <w:tcPr>
            <w:tcW w:w="1119"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6</w:t>
            </w:r>
            <w:r>
              <w:rPr>
                <w:sz w:val="21"/>
                <w:szCs w:val="21"/>
              </w:rPr>
              <w:t>7%</w:t>
            </w:r>
          </w:p>
        </w:tc>
        <w:tc>
          <w:tcPr>
            <w:tcW w:w="815"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1</w:t>
            </w:r>
            <w:r>
              <w:rPr>
                <w:sz w:val="21"/>
                <w:szCs w:val="21"/>
              </w:rPr>
              <w:t>.0 C</w:t>
            </w:r>
          </w:p>
        </w:tc>
        <w:tc>
          <w:tcPr>
            <w:tcW w:w="1276"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6</w:t>
            </w:r>
            <w:r>
              <w:rPr>
                <w:sz w:val="21"/>
                <w:szCs w:val="21"/>
              </w:rPr>
              <w:t>85</w:t>
            </w:r>
          </w:p>
        </w:tc>
        <w:tc>
          <w:tcPr>
            <w:tcW w:w="1134"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5</w:t>
            </w:r>
            <w:r>
              <w:rPr>
                <w:sz w:val="21"/>
                <w:szCs w:val="21"/>
              </w:rPr>
              <w:t>00</w:t>
            </w:r>
          </w:p>
        </w:tc>
        <w:tc>
          <w:tcPr>
            <w:tcW w:w="1417" w:type="dxa"/>
            <w:vAlign w:val="center"/>
          </w:tcPr>
          <w:p>
            <w:pPr>
              <w:pStyle w:val="20"/>
              <w:overflowPunct w:val="0"/>
              <w:spacing w:line="384" w:lineRule="auto"/>
              <w:ind w:firstLine="0" w:firstLineChars="0"/>
              <w:jc w:val="center"/>
              <w:rPr>
                <w:rFonts w:ascii="Times New Roman" w:hAnsi="Times New Roman"/>
                <w:szCs w:val="21"/>
              </w:rPr>
            </w:pPr>
            <w:r>
              <w:rPr>
                <w:rFonts w:hint="eastAsia"/>
                <w:sz w:val="21"/>
                <w:szCs w:val="21"/>
              </w:rPr>
              <w:t>0</w:t>
            </w:r>
            <w:r>
              <w:rPr>
                <w:sz w:val="21"/>
                <w:szCs w:val="21"/>
              </w:rPr>
              <w:t>.05%</w:t>
            </w:r>
          </w:p>
        </w:tc>
        <w:tc>
          <w:tcPr>
            <w:tcW w:w="993" w:type="dxa"/>
            <w:vAlign w:val="center"/>
          </w:tcPr>
          <w:p>
            <w:pPr>
              <w:spacing w:line="288" w:lineRule="auto"/>
              <w:jc w:val="center"/>
              <w:rPr>
                <w:rFonts w:ascii="Times New Roman" w:hAnsi="Times New Roman"/>
                <w:szCs w:val="21"/>
              </w:rPr>
            </w:pPr>
            <w:r>
              <w:rPr>
                <w:rFonts w:hint="eastAsia" w:ascii="Times New Roman" w:hAnsi="Times New Roman"/>
                <w:szCs w:val="21"/>
              </w:rPr>
              <w:t>S</w:t>
            </w:r>
            <w:r>
              <w:rPr>
                <w:rFonts w:ascii="Times New Roman" w:hAnsi="Times New Roman"/>
                <w:szCs w:val="21"/>
              </w:rPr>
              <w:t>10</w:t>
            </w:r>
            <w:r>
              <w:rPr>
                <w:rFonts w:ascii="Times New Roman" w:hAnsi="Times New Roman"/>
                <w:szCs w:val="21"/>
              </w:rPr>
              <w:fldChar w:fldCharType="begin"/>
            </w:r>
            <w:r>
              <w:rPr>
                <w:rFonts w:ascii="Times New Roman" w:hAnsi="Times New Roman"/>
                <w:szCs w:val="21"/>
              </w:rPr>
              <w:instrText xml:space="preserve"> ADDIN EN.CITE &lt;EndNote&gt;&lt;Cite&gt;&lt;Author&gt;Cheng&lt;/Author&gt;&lt;Year&gt;2019&lt;/Year&gt;&lt;RecNum&gt;1049&lt;/RecNum&gt;&lt;DisplayText&gt;[10]&lt;/DisplayText&gt;&lt;record&gt;&lt;rec-number&gt;1049&lt;/rec-number&gt;&lt;foreign-keys&gt;&lt;key app="EN" db-id="2xvtdp5e0aeazdedsto55ae5zpe9xfwe0rdr" timestamp="1631029246"&gt;1049&lt;/key&gt;&lt;/foreign-keys&gt;&lt;ref-type name="Journal Article"&gt;17&lt;/ref-type&gt;&lt;contributors&gt;&lt;authors&gt;&lt;author&gt;Cheng, Jian&lt;/author&gt;&lt;author&gt;Zhang, Xiangxin&lt;/author&gt;&lt;author&gt;Miao, Xiaofei&lt;/author&gt;&lt;author&gt;Chen, Chengwei&lt;/author&gt;&lt;author&gt;Liu, Yongchuan&lt;/author&gt;&lt;author&gt;Chen, Yuanqiang&lt;/author&gt;&lt;author&gt;Lin, Junhong&lt;/author&gt;&lt;author&gt;Chen, Sujing&lt;/author&gt;&lt;author&gt;Wang, Wei&lt;/author&gt;&lt;author&gt;Zhang, Yining&lt;/author&gt;&lt;/authors&gt;&lt;/contributors&gt;&lt;titles&gt;&lt;title&gt;Interconnected hollow carbon spheres with tunable wall-thickness for improving the high-rate performance of energy storage devices&lt;/title&gt;&lt;secondary-title&gt;Electrochimica Acta&lt;/secondary-title&gt;&lt;/titles&gt;&lt;periodical&gt;&lt;full-title&gt;Electrochimica Acta&lt;/full-title&gt;&lt;abbr-1&gt;Electrochim. Acta&lt;/abbr-1&gt;&lt;abbr-2&gt;Electrochim Acta&lt;/abbr-2&gt;&lt;/periodical&gt;&lt;pages&gt;358-368&lt;/pages&gt;&lt;volume&gt;312&lt;/volume&gt;&lt;dates&gt;&lt;year&gt;2019&lt;/year&gt;&lt;pub-dates&gt;&lt;date&gt;Jul 20&lt;/date&gt;&lt;/pub-dates&gt;&lt;/dates&gt;&lt;isbn&gt;0013-4686&lt;/isbn&gt;&lt;accession-num&gt;WOS:000468595500038&lt;/accession-num&gt;&lt;urls&gt;&lt;related-urls&gt;&lt;url&gt;&amp;lt;Go to ISI&amp;gt;://WOS:000468595500038&lt;/url&gt;&lt;/related-urls&gt;&lt;/urls&gt;&lt;electronic-resource-num&gt;10.1016/j.electacta.2019.04.157&lt;/electronic-resource-num&gt;&lt;/record&gt;&lt;/Cite&gt;&lt;/EndNote&gt;</w:instrText>
            </w:r>
            <w:r>
              <w:rPr>
                <w:rFonts w:ascii="Times New Roman" w:hAnsi="Times New Roman"/>
                <w:szCs w:val="21"/>
              </w:rPr>
              <w:fldChar w:fldCharType="separate"/>
            </w:r>
            <w:r>
              <w:rPr>
                <w:rFonts w:ascii="Times New Roman" w:hAnsi="Times New Roman"/>
                <w:szCs w:val="21"/>
                <w:vertAlign w:val="superscript"/>
              </w:rPr>
              <w:t>[10]</w:t>
            </w:r>
            <w:r>
              <w:rPr>
                <w:rFonts w:ascii="Times New Roman" w:hAnsi="Times New Roman"/>
                <w:szCs w:val="21"/>
              </w:rPr>
              <w:fldChar w:fldCharType="end"/>
            </w:r>
          </w:p>
        </w:tc>
      </w:tr>
    </w:tbl>
    <w:p>
      <w:pPr>
        <w:pStyle w:val="2"/>
        <w:spacing w:before="240"/>
        <w:ind w:firstLine="482"/>
        <w:rPr>
          <w:rFonts w:cs="Times New Roman"/>
          <w:sz w:val="24"/>
          <w:szCs w:val="24"/>
        </w:rPr>
      </w:pPr>
      <w:r>
        <w:rPr>
          <w:rFonts w:cs="Times New Roman"/>
          <w:sz w:val="24"/>
          <w:szCs w:val="24"/>
        </w:rPr>
        <w:t xml:space="preserve">References </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fldChar w:fldCharType="begin"/>
      </w:r>
      <w:r>
        <w:rPr>
          <w:rFonts w:ascii="Times New Roman" w:hAnsi="Times New Roman" w:eastAsia="西文"/>
          <w:sz w:val="24"/>
          <w:szCs w:val="24"/>
        </w:rPr>
        <w:instrText xml:space="preserve"> ADDIN EN.REFLIST </w:instrText>
      </w:r>
      <w:r>
        <w:rPr>
          <w:rFonts w:ascii="Times New Roman" w:hAnsi="Times New Roman" w:eastAsia="西文"/>
          <w:sz w:val="24"/>
          <w:szCs w:val="24"/>
        </w:rPr>
        <w:fldChar w:fldCharType="separate"/>
      </w:r>
      <w:r>
        <w:rPr>
          <w:rFonts w:ascii="Times New Roman" w:hAnsi="Times New Roman" w:eastAsia="西文"/>
          <w:sz w:val="24"/>
          <w:szCs w:val="24"/>
        </w:rPr>
        <w:t>[1] M. Zhang, C. Yu, C. Zhao, X. Song, X. Han, S. Liu, C. Hao, J. Qiu, Cobalt-embedded nitrogen-dopedhollowcarbonnanorods for synergisticallyimmobilizingthedischargeproducts in lithium-sulfur battery, Energy Storage Mater., 5 (2016) 223-229.</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2</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Walle M D, Liu Y-N. Confine sulfur in double-hollow carbon sphere integrated with carbon nanotubes for advanced lithium-sulfur batteries [J]. Materials for Renewable and Sustainable Energy, 2021, 10 (1): 1.</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3</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Wu F, Li J, Su Y, et al. Layer-by-layer assembled architecture of polyelectrolyte multilayers and graphene sheets on hollow carbon spheres/sulfur composite for high-performance lithium-sulfur batteries [J]. Nano Letters, 2016, 16 (9): 5488-5494.</w:t>
      </w:r>
    </w:p>
    <w:p>
      <w:pPr>
        <w:pStyle w:val="16"/>
        <w:ind w:firstLine="480" w:firstLineChars="200"/>
        <w:jc w:val="both"/>
        <w:rPr>
          <w:rFonts w:ascii="Times New Roman" w:hAnsi="Times New Roman" w:eastAsia="西文"/>
          <w:sz w:val="24"/>
          <w:szCs w:val="24"/>
        </w:rPr>
      </w:pPr>
      <w:r>
        <w:rPr>
          <w:rFonts w:hint="eastAsia" w:ascii="Times New Roman" w:hAnsi="Times New Roman" w:eastAsia="西文"/>
          <w:sz w:val="24"/>
          <w:szCs w:val="24"/>
        </w:rPr>
        <w:t>[4]</w:t>
      </w:r>
      <w:r>
        <w:rPr>
          <w:rFonts w:hint="eastAsia" w:ascii="Times New Roman" w:hAnsi="Times New Roman" w:eastAsia="西文"/>
          <w:sz w:val="24"/>
          <w:szCs w:val="24"/>
        </w:rPr>
        <w:tab/>
      </w:r>
      <w:r>
        <w:rPr>
          <w:rFonts w:hint="eastAsia" w:ascii="Times New Roman" w:hAnsi="Times New Roman" w:eastAsia="西文"/>
          <w:sz w:val="24"/>
          <w:szCs w:val="24"/>
        </w:rPr>
        <w:t>Li Y-J, Fan J-M, Zheng M-S, et al. A novel synergistic composite with multi-functional effects for high-performance Li-S batteries [J]. Energy &amp; Environmental Science, 2016, 9 (6): 1998-2004.</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5</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Ji X, Li Q, Yu H, et al. Three-dimensional ordered macroporous ZIF-8 nanoparticle-derived nitrogen-doped hierarchical porous carbons for high-performance lithium-sulfur batteries [J]. RSC Advances, 2020, 10 (69): 41983-41992.</w:t>
      </w:r>
    </w:p>
    <w:p>
      <w:pPr>
        <w:pStyle w:val="16"/>
        <w:ind w:firstLine="480" w:firstLineChars="200"/>
        <w:jc w:val="both"/>
        <w:rPr>
          <w:rFonts w:ascii="Times New Roman" w:hAnsi="Times New Roman" w:eastAsia="西文"/>
          <w:sz w:val="24"/>
          <w:szCs w:val="24"/>
        </w:rPr>
      </w:pPr>
      <w:r>
        <w:rPr>
          <w:rFonts w:hint="eastAsia" w:ascii="Times New Roman" w:hAnsi="Times New Roman" w:eastAsia="西文"/>
          <w:sz w:val="24"/>
          <w:szCs w:val="24"/>
        </w:rPr>
        <w:t>[6]</w:t>
      </w:r>
      <w:r>
        <w:rPr>
          <w:rFonts w:hint="eastAsia" w:ascii="Times New Roman" w:hAnsi="Times New Roman" w:eastAsia="西文"/>
          <w:sz w:val="24"/>
          <w:szCs w:val="24"/>
        </w:rPr>
        <w:tab/>
      </w:r>
      <w:r>
        <w:rPr>
          <w:rFonts w:hint="eastAsia" w:ascii="Times New Roman" w:hAnsi="Times New Roman" w:eastAsia="西文"/>
          <w:sz w:val="24"/>
          <w:szCs w:val="24"/>
        </w:rPr>
        <w:t>Xie D, Mei S, Xu Y, et al. Efficient sulfur host based on yolk-shell iron oxide/sulfide-carbon nanospindles for lithium-sulfur batteries [J]. Chemsuschem, 2021, 14 (5): 1404-1413.</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7</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Song Z, Lu X, Hu Q, et al. Construction of reduced graphene oxide wrapped yolk-shell vanadium dioxide sphere hybrid host for high-performance lithium-sulfur batteries [J]. Dalton Transactions, 2020, 49 (42): 14921-14930.</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8</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Liu Z Z, Zhou L, Ge Q, et al. Atomic iron catalysis of polysulfide conversion in lithium-sulfur batteries [J]. Acs Applied Materials &amp; Interfaces, 2018, 10 (23): 19311-19317.</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9</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Cheng J, Zhang X, Miao X, et al. Interconnected hollow carbon spheres with tunable wall-thickness for improving the high-rate performance of energy storage devices [J]. Electrochimica Acta, 2019, 312: 358-368.</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t>[</w:t>
      </w:r>
      <w:r>
        <w:rPr>
          <w:rFonts w:hint="eastAsia" w:ascii="Times New Roman" w:hAnsi="Times New Roman" w:eastAsia="西文"/>
          <w:sz w:val="24"/>
          <w:szCs w:val="24"/>
        </w:rPr>
        <w:t>10</w:t>
      </w:r>
      <w:r>
        <w:rPr>
          <w:rFonts w:ascii="Times New Roman" w:hAnsi="Times New Roman" w:eastAsia="西文"/>
          <w:sz w:val="24"/>
          <w:szCs w:val="24"/>
        </w:rPr>
        <w:t>]</w:t>
      </w:r>
      <w:r>
        <w:rPr>
          <w:rFonts w:ascii="Times New Roman" w:hAnsi="Times New Roman" w:eastAsia="西文"/>
          <w:sz w:val="24"/>
          <w:szCs w:val="24"/>
        </w:rPr>
        <w:tab/>
      </w:r>
      <w:r>
        <w:rPr>
          <w:rFonts w:ascii="Times New Roman" w:hAnsi="Times New Roman" w:eastAsia="西文"/>
          <w:sz w:val="24"/>
          <w:szCs w:val="24"/>
        </w:rPr>
        <w:t>Man J-z, Yang X, Li Z-h, et al. Synthesis of polyaniline nanowires wrapped yolk-shell structured S@</w:t>
      </w:r>
      <w:r>
        <w:rPr>
          <w:rFonts w:hint="eastAsia" w:ascii="Times New Roman" w:hAnsi="Times New Roman" w:eastAsia="西文"/>
          <w:sz w:val="24"/>
          <w:szCs w:val="24"/>
        </w:rPr>
        <w:t>r</w:t>
      </w:r>
      <w:r>
        <w:rPr>
          <w:rFonts w:ascii="Times New Roman" w:hAnsi="Times New Roman" w:eastAsia="西文"/>
          <w:sz w:val="24"/>
          <w:szCs w:val="24"/>
        </w:rPr>
        <w:t>GO composite material and its improved lithium-storage performance [J]. Ionics, 2021, 27 (6): 2455-2464.</w:t>
      </w:r>
    </w:p>
    <w:p>
      <w:pPr>
        <w:pStyle w:val="16"/>
        <w:ind w:firstLine="480" w:firstLineChars="200"/>
        <w:jc w:val="both"/>
        <w:rPr>
          <w:rFonts w:ascii="Times New Roman" w:hAnsi="Times New Roman" w:eastAsia="西文"/>
          <w:sz w:val="24"/>
          <w:szCs w:val="24"/>
        </w:rPr>
      </w:pPr>
      <w:r>
        <w:rPr>
          <w:rFonts w:ascii="Times New Roman" w:hAnsi="Times New Roman" w:eastAsia="西文"/>
          <w:sz w:val="24"/>
          <w:szCs w:val="24"/>
        </w:rPr>
        <w:fldChar w:fldCharType="end"/>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Mincho">
    <w:altName w:val="Yu Gothic"/>
    <w:panose1 w:val="02020609040205080304"/>
    <w:charset w:val="80"/>
    <w:family w:val="modern"/>
    <w:pitch w:val="default"/>
    <w:sig w:usb0="00000000" w:usb1="00000000" w:usb2="08000012" w:usb3="00000000" w:csb0="0002009F" w:csb1="00000000"/>
  </w:font>
  <w:font w:name="等线 Light">
    <w:panose1 w:val="02010600030101010101"/>
    <w:charset w:val="86"/>
    <w:family w:val="auto"/>
    <w:pitch w:val="default"/>
    <w:sig w:usb0="A00002BF" w:usb1="38CF7CFA" w:usb2="00000016" w:usb3="00000000" w:csb0="0004000F" w:csb1="00000000"/>
  </w:font>
  <w:font w:name="西文">
    <w:altName w:val="宋体"/>
    <w:panose1 w:val="00000000000000000000"/>
    <w:charset w:val="86"/>
    <w:family w:val="roman"/>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JmNjEzYWY4MGQ4N2RmMzBiMzc5MmNkMmNjMjY5ZjMifQ=="/>
    <w:docVar w:name="EN.InstantFormat" w:val="&lt;ENInstantFormat&gt;&lt;Enabled&gt;1&lt;/Enabled&gt;&lt;ScanUnformatted&gt;1&lt;/ScanUnformatted&gt;&lt;ScanChanges&gt;1&lt;/ScanChanges&gt;&lt;Suspended&gt;0&lt;/Suspended&gt;&lt;/ENInstantFormat&gt;"/>
    <w:docVar w:name="EN.Layout" w:val="&lt;ENLayout&gt;&lt;Style&gt;Electrochimica Acta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vtdp5e0aeazdedsto55ae5zpe9xfwe0rdr&quot;&gt;My EndNote Library&lt;record-ids&gt;&lt;item&gt;634&lt;/item&gt;&lt;item&gt;635&lt;/item&gt;&lt;item&gt;636&lt;/item&gt;&lt;item&gt;637&lt;/item&gt;&lt;item&gt;638&lt;/item&gt;&lt;item&gt;1035&lt;/item&gt;&lt;item&gt;1036&lt;/item&gt;&lt;item&gt;1037&lt;/item&gt;&lt;item&gt;1041&lt;/item&gt;&lt;item&gt;1049&lt;/item&gt;&lt;/record-ids&gt;&lt;/item&gt;&lt;/Libraries&gt;"/>
    <w:docVar w:name="KSO_WPS_MARK_KEY" w:val="63cd0efc-6ab1-473f-95f7-442052f95223"/>
  </w:docVars>
  <w:rsids>
    <w:rsidRoot w:val="001B4855"/>
    <w:rsid w:val="00014583"/>
    <w:rsid w:val="0002626D"/>
    <w:rsid w:val="0005219A"/>
    <w:rsid w:val="00061659"/>
    <w:rsid w:val="00062357"/>
    <w:rsid w:val="000B093B"/>
    <w:rsid w:val="000D3E2C"/>
    <w:rsid w:val="00123C09"/>
    <w:rsid w:val="0013625B"/>
    <w:rsid w:val="0015671C"/>
    <w:rsid w:val="0018374F"/>
    <w:rsid w:val="001B4855"/>
    <w:rsid w:val="001C237E"/>
    <w:rsid w:val="001D4A6C"/>
    <w:rsid w:val="001E3287"/>
    <w:rsid w:val="00206DA0"/>
    <w:rsid w:val="00221CF2"/>
    <w:rsid w:val="00225505"/>
    <w:rsid w:val="0029131A"/>
    <w:rsid w:val="002A4F55"/>
    <w:rsid w:val="00304478"/>
    <w:rsid w:val="00334B89"/>
    <w:rsid w:val="00335F98"/>
    <w:rsid w:val="0033678C"/>
    <w:rsid w:val="00341068"/>
    <w:rsid w:val="0034585F"/>
    <w:rsid w:val="00395087"/>
    <w:rsid w:val="003A3047"/>
    <w:rsid w:val="003B23AB"/>
    <w:rsid w:val="003E5469"/>
    <w:rsid w:val="0044455D"/>
    <w:rsid w:val="00446041"/>
    <w:rsid w:val="004545B1"/>
    <w:rsid w:val="00456791"/>
    <w:rsid w:val="00470810"/>
    <w:rsid w:val="00472DD8"/>
    <w:rsid w:val="004735EC"/>
    <w:rsid w:val="0048304A"/>
    <w:rsid w:val="00485340"/>
    <w:rsid w:val="004B7639"/>
    <w:rsid w:val="004D3FD5"/>
    <w:rsid w:val="00515A8C"/>
    <w:rsid w:val="005342E7"/>
    <w:rsid w:val="00561544"/>
    <w:rsid w:val="00570B3A"/>
    <w:rsid w:val="005B24AA"/>
    <w:rsid w:val="005E19DD"/>
    <w:rsid w:val="005F00EF"/>
    <w:rsid w:val="00602022"/>
    <w:rsid w:val="00610EFF"/>
    <w:rsid w:val="00615866"/>
    <w:rsid w:val="00622CD2"/>
    <w:rsid w:val="00626FCA"/>
    <w:rsid w:val="006279E4"/>
    <w:rsid w:val="00640D3E"/>
    <w:rsid w:val="0066671D"/>
    <w:rsid w:val="006936F0"/>
    <w:rsid w:val="00702F3F"/>
    <w:rsid w:val="0070649E"/>
    <w:rsid w:val="0072272E"/>
    <w:rsid w:val="00743B08"/>
    <w:rsid w:val="00790A27"/>
    <w:rsid w:val="007A3463"/>
    <w:rsid w:val="007D20CE"/>
    <w:rsid w:val="007D467E"/>
    <w:rsid w:val="00806775"/>
    <w:rsid w:val="008439B9"/>
    <w:rsid w:val="008712EC"/>
    <w:rsid w:val="008715B5"/>
    <w:rsid w:val="008842B3"/>
    <w:rsid w:val="008A225B"/>
    <w:rsid w:val="008B178F"/>
    <w:rsid w:val="008B4675"/>
    <w:rsid w:val="008E37EA"/>
    <w:rsid w:val="008E5C5B"/>
    <w:rsid w:val="00913E94"/>
    <w:rsid w:val="00956F46"/>
    <w:rsid w:val="0095776A"/>
    <w:rsid w:val="00960043"/>
    <w:rsid w:val="00962877"/>
    <w:rsid w:val="009A29CC"/>
    <w:rsid w:val="009B7169"/>
    <w:rsid w:val="00A10204"/>
    <w:rsid w:val="00A26DD4"/>
    <w:rsid w:val="00A27364"/>
    <w:rsid w:val="00A76CC2"/>
    <w:rsid w:val="00AA2B00"/>
    <w:rsid w:val="00AB6BEC"/>
    <w:rsid w:val="00AF0037"/>
    <w:rsid w:val="00AF1DA4"/>
    <w:rsid w:val="00B76629"/>
    <w:rsid w:val="00B77104"/>
    <w:rsid w:val="00B83AA1"/>
    <w:rsid w:val="00B9738A"/>
    <w:rsid w:val="00C105A9"/>
    <w:rsid w:val="00C26314"/>
    <w:rsid w:val="00C30D70"/>
    <w:rsid w:val="00C32009"/>
    <w:rsid w:val="00C33EBD"/>
    <w:rsid w:val="00C364E5"/>
    <w:rsid w:val="00C51E81"/>
    <w:rsid w:val="00C66BEC"/>
    <w:rsid w:val="00C73691"/>
    <w:rsid w:val="00C7371C"/>
    <w:rsid w:val="00C872AF"/>
    <w:rsid w:val="00C921CC"/>
    <w:rsid w:val="00CA591E"/>
    <w:rsid w:val="00CB1373"/>
    <w:rsid w:val="00CB49B6"/>
    <w:rsid w:val="00CD6D01"/>
    <w:rsid w:val="00CF0838"/>
    <w:rsid w:val="00D03EDB"/>
    <w:rsid w:val="00D41E2B"/>
    <w:rsid w:val="00D67F98"/>
    <w:rsid w:val="00D9603E"/>
    <w:rsid w:val="00DA02F8"/>
    <w:rsid w:val="00DA0CD0"/>
    <w:rsid w:val="00DA70C8"/>
    <w:rsid w:val="00DC32E0"/>
    <w:rsid w:val="00DC3F2D"/>
    <w:rsid w:val="00DD6E4C"/>
    <w:rsid w:val="00DE601C"/>
    <w:rsid w:val="00E76DE5"/>
    <w:rsid w:val="00EB7D92"/>
    <w:rsid w:val="00EE2D1D"/>
    <w:rsid w:val="00F05497"/>
    <w:rsid w:val="00F2222F"/>
    <w:rsid w:val="00F94DFC"/>
    <w:rsid w:val="00FD145C"/>
    <w:rsid w:val="00FE420C"/>
    <w:rsid w:val="01A53138"/>
    <w:rsid w:val="03525F75"/>
    <w:rsid w:val="042173D4"/>
    <w:rsid w:val="09073ACD"/>
    <w:rsid w:val="0BA000E1"/>
    <w:rsid w:val="0E6C17FC"/>
    <w:rsid w:val="1122167C"/>
    <w:rsid w:val="11C6025A"/>
    <w:rsid w:val="1AC14671"/>
    <w:rsid w:val="1FE41DC2"/>
    <w:rsid w:val="349B063F"/>
    <w:rsid w:val="35A70F55"/>
    <w:rsid w:val="3BB05F1A"/>
    <w:rsid w:val="3C7D0D91"/>
    <w:rsid w:val="413E130B"/>
    <w:rsid w:val="47CD3E96"/>
    <w:rsid w:val="4EFA515A"/>
    <w:rsid w:val="5A8F769A"/>
    <w:rsid w:val="5BCB3FDF"/>
    <w:rsid w:val="5DFF1700"/>
    <w:rsid w:val="5F5F785A"/>
    <w:rsid w:val="5FCD68E6"/>
    <w:rsid w:val="63DA4A5D"/>
    <w:rsid w:val="791F0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60" w:after="60" w:line="288" w:lineRule="auto"/>
      <w:ind w:firstLine="200" w:firstLineChars="200"/>
      <w:outlineLvl w:val="0"/>
    </w:pPr>
    <w:rPr>
      <w:rFonts w:ascii="Times New Roman" w:hAnsi="Times New Roman" w:cstheme="minorBidi"/>
      <w:b/>
      <w:bCs/>
      <w:kern w:val="44"/>
      <w:sz w:val="28"/>
      <w:szCs w:val="44"/>
    </w:rPr>
  </w:style>
  <w:style w:type="paragraph" w:styleId="3">
    <w:name w:val="heading 2"/>
    <w:basedOn w:val="1"/>
    <w:next w:val="1"/>
    <w:link w:val="21"/>
    <w:semiHidden/>
    <w:unhideWhenUsed/>
    <w:qFormat/>
    <w:uiPriority w:val="9"/>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unhideWhenUsed/>
    <w:qFormat/>
    <w:uiPriority w:val="99"/>
    <w:pPr>
      <w:spacing w:line="288" w:lineRule="auto"/>
      <w:ind w:firstLine="200" w:firstLineChars="200"/>
      <w:jc w:val="left"/>
    </w:pPr>
    <w:rPr>
      <w:rFonts w:ascii="Times New Roman" w:hAnsi="Times New Roman" w:cstheme="minorBidi"/>
      <w:sz w:val="24"/>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unhideWhenUsed/>
    <w:qFormat/>
    <w:uiPriority w:val="99"/>
    <w:rPr>
      <w:color w:val="0000FF"/>
      <w:u w:val="single"/>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rFonts w:ascii="Calibri" w:hAnsi="Calibri" w:eastAsia="宋体" w:cs="Times New Roman"/>
      <w:sz w:val="18"/>
      <w:szCs w:val="18"/>
    </w:rPr>
  </w:style>
  <w:style w:type="character" w:customStyle="1" w:styleId="13">
    <w:name w:val="页脚 字符"/>
    <w:basedOn w:val="9"/>
    <w:link w:val="5"/>
    <w:qFormat/>
    <w:uiPriority w:val="99"/>
    <w:rPr>
      <w:rFonts w:ascii="Calibri" w:hAnsi="Calibri" w:eastAsia="宋体" w:cs="Times New Roman"/>
      <w:sz w:val="18"/>
      <w:szCs w:val="18"/>
    </w:rPr>
  </w:style>
  <w:style w:type="paragraph" w:customStyle="1" w:styleId="14">
    <w:name w:val="EndNote Bibliography Title"/>
    <w:basedOn w:val="1"/>
    <w:link w:val="15"/>
    <w:qFormat/>
    <w:uiPriority w:val="0"/>
    <w:pPr>
      <w:jc w:val="center"/>
    </w:pPr>
    <w:rPr>
      <w:rFonts w:cs="Calibri"/>
      <w:sz w:val="20"/>
    </w:rPr>
  </w:style>
  <w:style w:type="character" w:customStyle="1" w:styleId="15">
    <w:name w:val="EndNote Bibliography Title 字符"/>
    <w:basedOn w:val="9"/>
    <w:link w:val="14"/>
    <w:qFormat/>
    <w:uiPriority w:val="0"/>
    <w:rPr>
      <w:rFonts w:ascii="Calibri" w:hAnsi="Calibri" w:eastAsia="宋体" w:cs="Calibri"/>
      <w:sz w:val="20"/>
    </w:rPr>
  </w:style>
  <w:style w:type="paragraph" w:customStyle="1" w:styleId="16">
    <w:name w:val="EndNote Bibliography"/>
    <w:basedOn w:val="1"/>
    <w:link w:val="17"/>
    <w:qFormat/>
    <w:uiPriority w:val="0"/>
    <w:pPr>
      <w:jc w:val="center"/>
    </w:pPr>
    <w:rPr>
      <w:rFonts w:cs="Calibri"/>
      <w:sz w:val="20"/>
    </w:rPr>
  </w:style>
  <w:style w:type="character" w:customStyle="1" w:styleId="17">
    <w:name w:val="EndNote Bibliography 字符"/>
    <w:basedOn w:val="9"/>
    <w:link w:val="16"/>
    <w:qFormat/>
    <w:uiPriority w:val="0"/>
    <w:rPr>
      <w:rFonts w:ascii="Calibri" w:hAnsi="Calibri" w:eastAsia="宋体" w:cs="Calibri"/>
      <w:sz w:val="20"/>
    </w:rPr>
  </w:style>
  <w:style w:type="character" w:customStyle="1" w:styleId="18">
    <w:name w:val="批注文字 字符"/>
    <w:basedOn w:val="9"/>
    <w:link w:val="4"/>
    <w:qFormat/>
    <w:uiPriority w:val="99"/>
    <w:rPr>
      <w:rFonts w:ascii="Times New Roman" w:hAnsi="Times New Roman" w:eastAsia="宋体"/>
      <w:sz w:val="24"/>
    </w:rPr>
  </w:style>
  <w:style w:type="character" w:customStyle="1" w:styleId="19">
    <w:name w:val="标题 1 字符"/>
    <w:basedOn w:val="9"/>
    <w:link w:val="2"/>
    <w:qFormat/>
    <w:uiPriority w:val="9"/>
    <w:rPr>
      <w:rFonts w:ascii="Times New Roman" w:hAnsi="Times New Roman" w:eastAsia="宋体"/>
      <w:b/>
      <w:bCs/>
      <w:kern w:val="44"/>
      <w:sz w:val="28"/>
      <w:szCs w:val="44"/>
    </w:rPr>
  </w:style>
  <w:style w:type="paragraph" w:customStyle="1" w:styleId="20">
    <w:name w:val="NUDT正文"/>
    <w:basedOn w:val="1"/>
    <w:qFormat/>
    <w:uiPriority w:val="0"/>
    <w:pPr>
      <w:spacing w:line="300" w:lineRule="auto"/>
      <w:ind w:firstLine="200" w:firstLineChars="200"/>
    </w:pPr>
    <w:rPr>
      <w:sz w:val="24"/>
      <w:szCs w:val="24"/>
    </w:rPr>
  </w:style>
  <w:style w:type="character" w:customStyle="1" w:styleId="21">
    <w:name w:val="标题 2 字符"/>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777</Words>
  <Characters>4562</Characters>
  <Lines>126</Lines>
  <Paragraphs>35</Paragraphs>
  <TotalTime>2</TotalTime>
  <ScaleCrop>false</ScaleCrop>
  <LinksUpToDate>false</LinksUpToDate>
  <CharactersWithSpaces>5264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2021-09-10T16:49:00Z</dcterms:created>
  <dc:creator>孙 欣星</dc:creator>
  <cp:lastModifiedBy>hardy</cp:lastModifiedBy>
  <dcterms:modified xsi:type="dcterms:W3CDTF">2023-02-17T12:35:29Z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2B626E0F126547D0B3A48B5D45F79548</vt:lpwstr>
  </property>
</Properties>
</file>