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91521" w14:textId="77777777" w:rsidR="008A1449" w:rsidRPr="00BF68E7" w:rsidRDefault="008A1449" w:rsidP="008A1449">
      <w:pPr>
        <w:spacing w:after="0"/>
        <w:rPr>
          <w:rFonts w:ascii="Times New Roman" w:hAnsi="Times New Roman" w:cs="Times New Roman"/>
        </w:rPr>
      </w:pPr>
    </w:p>
    <w:p w14:paraId="212C7FC9" w14:textId="77777777" w:rsidR="008A1449" w:rsidRPr="00BF68E7" w:rsidRDefault="008A1449" w:rsidP="008A1449">
      <w:pPr>
        <w:spacing w:after="0"/>
        <w:rPr>
          <w:rFonts w:ascii="Times New Roman" w:hAnsi="Times New Roman" w:cs="Times New Roman"/>
        </w:rPr>
      </w:pPr>
    </w:p>
    <w:p w14:paraId="399E0543" w14:textId="77777777" w:rsidR="007C5551" w:rsidRPr="008A1449" w:rsidRDefault="007C5551" w:rsidP="007C5551">
      <w:pPr>
        <w:spacing w:after="0" w:line="480" w:lineRule="auto"/>
        <w:contextualSpacing/>
        <w:jc w:val="both"/>
        <w:rPr>
          <w:rFonts w:ascii="Times New Roman" w:hAnsi="Times New Roman" w:cs="Times New Roman"/>
          <w:b/>
          <w:bCs/>
          <w:u w:val="single"/>
        </w:rPr>
      </w:pPr>
      <w:r>
        <w:rPr>
          <w:rFonts w:ascii="Times New Roman" w:hAnsi="Times New Roman" w:cs="Times New Roman"/>
          <w:b/>
          <w:bCs/>
          <w:u w:val="single"/>
        </w:rPr>
        <w:t>SUPPLEMENTAL METHODS</w:t>
      </w:r>
    </w:p>
    <w:p w14:paraId="7E3CA5E4" w14:textId="04787CF1" w:rsidR="007C5551" w:rsidRPr="00BF68E7" w:rsidRDefault="007C5551" w:rsidP="007C5551">
      <w:pPr>
        <w:spacing w:after="0" w:line="480" w:lineRule="auto"/>
        <w:ind w:firstLine="720"/>
        <w:rPr>
          <w:rFonts w:ascii="Times New Roman" w:hAnsi="Times New Roman" w:cs="Times New Roman"/>
        </w:rPr>
      </w:pPr>
      <w:r w:rsidRPr="00BF68E7">
        <w:rPr>
          <w:rFonts w:ascii="Times New Roman" w:hAnsi="Times New Roman" w:cs="Times New Roman"/>
          <w:b/>
          <w:bCs/>
        </w:rPr>
        <w:t>Evaluation of Hypersensitivity:</w:t>
      </w:r>
      <w:r w:rsidRPr="00BF68E7">
        <w:rPr>
          <w:rFonts w:ascii="Times New Roman" w:hAnsi="Times New Roman" w:cs="Times New Roman"/>
        </w:rPr>
        <w:t xml:space="preserve"> Mapping participant’s affected extremity for areas of spontaneous pain and thermal hypo/hypersensitivity was done by exposing the area to a 20°C cold stimulus, 40°C warm stimulus (Thermal Roller, </w:t>
      </w:r>
      <w:proofErr w:type="spellStart"/>
      <w:r w:rsidRPr="00BF68E7">
        <w:rPr>
          <w:rFonts w:ascii="Times New Roman" w:hAnsi="Times New Roman" w:cs="Times New Roman"/>
        </w:rPr>
        <w:t>Somedic</w:t>
      </w:r>
      <w:proofErr w:type="spellEnd"/>
      <w:r w:rsidRPr="00BF68E7">
        <w:rPr>
          <w:rFonts w:ascii="Times New Roman" w:hAnsi="Times New Roman" w:cs="Times New Roman"/>
        </w:rPr>
        <w:t>, Sweden), brush (</w:t>
      </w:r>
      <w:proofErr w:type="spellStart"/>
      <w:r w:rsidRPr="00BF68E7">
        <w:rPr>
          <w:rFonts w:ascii="Times New Roman" w:hAnsi="Times New Roman" w:cs="Times New Roman"/>
        </w:rPr>
        <w:t>SENSELab</w:t>
      </w:r>
      <w:proofErr w:type="spellEnd"/>
      <w:r w:rsidRPr="00BF68E7">
        <w:rPr>
          <w:rFonts w:ascii="Times New Roman" w:hAnsi="Times New Roman" w:cs="Times New Roman"/>
        </w:rPr>
        <w:t xml:space="preserve"> Brush-05, </w:t>
      </w:r>
      <w:proofErr w:type="spellStart"/>
      <w:r w:rsidRPr="00BF68E7">
        <w:rPr>
          <w:rFonts w:ascii="Times New Roman" w:hAnsi="Times New Roman" w:cs="Times New Roman"/>
        </w:rPr>
        <w:t>Somedic</w:t>
      </w:r>
      <w:proofErr w:type="spellEnd"/>
      <w:r w:rsidRPr="00BF68E7">
        <w:rPr>
          <w:rFonts w:ascii="Times New Roman" w:hAnsi="Times New Roman" w:cs="Times New Roman"/>
        </w:rPr>
        <w:t>, Sweden), and pinprick (Von Frey filament #6.10, applied pressure 980mN)</w:t>
      </w:r>
      <w:r w:rsidRPr="00BF68E7">
        <w:rPr>
          <w:rFonts w:ascii="Times New Roman" w:hAnsi="Times New Roman" w:cs="Times New Roman"/>
        </w:rPr>
        <w:fldChar w:fldCharType="begin"/>
      </w:r>
      <w:r w:rsidR="00C77AAF">
        <w:rPr>
          <w:rFonts w:ascii="Times New Roman" w:hAnsi="Times New Roman" w:cs="Times New Roman"/>
        </w:rPr>
        <w:instrText xml:space="preserve"> ADDIN ZOTERO_ITEM CSL_CITATION {"citationID":"3mU1XvGD","properties":{"formattedCitation":"\\super 1\\nosupersub{}","plainCitation":"1","noteIndex":0},"citationItems":[{"id":274,"uris":["http://zotero.org/users/7023408/items/GMZGC6ZB"],"itemData":{"id":274,"type":"article-journal","abstract":"The mechanisms underlying central pain following spinal cord injury (SCI) are unsettled. The purpose of the present study was to examine differences in spinothalamic tract function below injury level and evoked pain in incomplete SCI patients with neuropathic pain below injury level (central pain) versus those without such pain. A clinical examination, quantitative sensory testing and magnetic resonance imaging (MRI) were performed in 10 SCI patients with below-level pain and in 11 SCI patients without neuropathic pain. Patients with and without pain had similar reductions of mechanical and thermal detection thresholds below injury level. SCI patients with central pain had sensory hypersensitivity in dermatomes corresponding to the lesion level more frequently than SCI patients without pain, but this may in part be explained by the exclusion of at-level spontaneous pain in the pain-free group. The rostral-caudal extent of the lesion measured by MRI did not differ between the two patient groups, and there were no statistically significant differences in any of the predefined areas of interest on the axial plane images. This study suggests that neuronal hyperexcitability plays a key role in central SCI pain and furthermore - in contrast to previous findings - that loss of spinothalamic functions does not appear to be a predictor for central neuropathic pain in spinal cord injury.","container-title":"Experimental Neurology","DOI":"10.1016/j.expneurol.2007.06.001","ISSN":"0014-4886","issue":"1","journalAbbreviation":"Exp Neurol","language":"eng","note":"PMID: 17628539","page":"139-149","source":"PubMed","title":"Segmental hypersensitivity and spinothalamic function in spinal cord injury pain","volume":"207","author":[{"family":"Finnerup","given":"Nanna B."},{"family":"Sørensen","given":"Leif"},{"family":"Biering-Sørensen","given":"Fin"},{"family":"Johannesen","given":"Inger L."},{"family":"Jensen","given":"Troels S."}],"issued":{"date-parts":[["2007",9]]}}}],"schema":"https://github.com/citation-style-language/schema/raw/master/csl-citation.json"} </w:instrText>
      </w:r>
      <w:r w:rsidRPr="00BF68E7">
        <w:rPr>
          <w:rFonts w:ascii="Times New Roman" w:hAnsi="Times New Roman" w:cs="Times New Roman"/>
        </w:rPr>
        <w:fldChar w:fldCharType="separate"/>
      </w:r>
      <w:r w:rsidR="00C77AAF" w:rsidRPr="00C77AAF">
        <w:rPr>
          <w:rFonts w:ascii="Times New Roman" w:hAnsi="Times New Roman" w:cs="Times New Roman"/>
          <w:szCs w:val="24"/>
          <w:vertAlign w:val="superscript"/>
        </w:rPr>
        <w:t>1</w:t>
      </w:r>
      <w:r w:rsidRPr="00BF68E7">
        <w:rPr>
          <w:rFonts w:ascii="Times New Roman" w:hAnsi="Times New Roman" w:cs="Times New Roman"/>
        </w:rPr>
        <w:fldChar w:fldCharType="end"/>
      </w:r>
      <w:r w:rsidRPr="00BF68E7">
        <w:rPr>
          <w:rFonts w:ascii="Times New Roman" w:hAnsi="Times New Roman" w:cs="Times New Roman"/>
        </w:rPr>
        <w:t>.</w:t>
      </w:r>
    </w:p>
    <w:p w14:paraId="77B511C3" w14:textId="0D9A33A4" w:rsidR="007C5551" w:rsidRPr="00BF68E7" w:rsidRDefault="007C5551" w:rsidP="007C5551">
      <w:pPr>
        <w:spacing w:after="0" w:line="480" w:lineRule="auto"/>
        <w:rPr>
          <w:rFonts w:ascii="Times New Roman" w:hAnsi="Times New Roman" w:cs="Times New Roman"/>
        </w:rPr>
      </w:pPr>
      <w:r w:rsidRPr="00BF68E7">
        <w:rPr>
          <w:rFonts w:ascii="Times New Roman" w:hAnsi="Times New Roman" w:cs="Times New Roman"/>
          <w:b/>
          <w:bCs/>
        </w:rPr>
        <w:tab/>
        <w:t>Quantitative Sensory Testing</w:t>
      </w:r>
      <w:r w:rsidRPr="00BF68E7">
        <w:rPr>
          <w:rFonts w:ascii="Times New Roman" w:hAnsi="Times New Roman" w:cs="Times New Roman"/>
        </w:rPr>
        <w:t xml:space="preserve"> (QST) was performed at baseline using an abbreviated version of the German Research Network on Neuropathic Pain (DFNS) protocol </w:t>
      </w:r>
      <w:bookmarkStart w:id="0" w:name="_Hlk134022965"/>
      <w:r w:rsidRPr="00BF68E7">
        <w:rPr>
          <w:rFonts w:ascii="Times New Roman" w:hAnsi="Times New Roman" w:cs="Times New Roman"/>
        </w:rPr>
        <w:t>to determine differential sensory profiles of each participant’s affected (most painful) and unaffected (non-painful) regions</w:t>
      </w:r>
      <w:r w:rsidRPr="00BF68E7">
        <w:rPr>
          <w:rFonts w:ascii="Times New Roman" w:hAnsi="Times New Roman" w:cs="Times New Roman"/>
        </w:rPr>
        <w:fldChar w:fldCharType="begin"/>
      </w:r>
      <w:r w:rsidR="00C77AAF">
        <w:rPr>
          <w:rFonts w:ascii="Times New Roman" w:hAnsi="Times New Roman" w:cs="Times New Roman"/>
        </w:rPr>
        <w:instrText xml:space="preserve"> ADDIN ZOTERO_ITEM CSL_CITATION {"citationID":"k7JyjSyQ","properties":{"formattedCitation":"\\super 2,3\\nosupersub{}","plainCitation":"2,3","noteIndex":0},"citationItems":[{"id":279,"uris":["http://zotero.org/users/7023408/items/85EJV32M"],"itemData":{"id":279,"type":"article-journal","abstract":"The nationwide multicenter trials of the German Research Network on Neuropathic Pain (DFNS) aim to characterize the somatosensory phenotype of patients with neuropathic pain. For this purpose, we have implemented a standardized quantitative sensory testing (QST) protocol giving a complete profile for one region within 30min. To judge plus or minus signs in patients we have now established age- and gender-matched absolute and relative QST reference values from 180 healthy subjects, assessed bilaterally over face, hand and foot. We determined thermal detection and pain thresholds including a test for paradoxical heat sensations, mechanical detection thresholds to von Frey filaments and a 64Hz tuning fork, mechanical pain thresholds to pinprick stimuli and blunt pressure, stimulus/response-functions for pinprick and dynamic mechanical allodynia, and pain summation (wind-up ratio). QST parameters were region specific and age dependent. Pain thresholds were significantly lower in women than men. Detection thresholds were generally independent of gender. Reference data were normalized to the specific group means and variances (region, age, gender) by calculating z-scores. Due to confidence limits close to the respective limits of the possible data range, heat hypoalgesia, cold hypoalgesia, and mechanical hyperesthesia can hardly be diagnosed. Nevertheless, these parameters can be used for group comparisons. Sensitivity is enhanced by side-to-side comparisons by a factor ranging from 1.1 to 2.5. Relative comparisons across body regions do not offer advantages over absolute reference values. Application of this standardized QST protocol in patients and human surrogate models will allow to infer underlying mechanisms from somatosensory phenotypes.","container-title":"PAIN","DOI":"10.1016/j.pain.2006.01.041","ISSN":"0304-3959","issue":"3","journalAbbreviation":"PAIN","language":"en","page":"231-243","source":"ScienceDirect","title":"Quantitative sensory testing in the German Research Network on Neuropathic Pain (DFNS): Standardized protocol and reference values","title-short":"Quantitative sensory testing in the German Research Network on Neuropathic Pain (DFNS)","volume":"123","author":[{"family":"Rolke","given":"R."},{"family":"Baron","given":"R."},{"family":"Maier","given":"C."},{"family":"Tölle","given":"T. R."},{"family":"Treede","given":"R. -D."},{"family":"Beyer","given":"A."},{"family":"Binder","given":"A."},{"family":"Birbaumer","given":"N."},{"family":"Birklein","given":"F."},{"family":"Bötefür","given":"I. C."},{"family":"Braune","given":"S."},{"family":"Flor","given":"H."},{"family":"Huge","given":"V."},{"family":"Klug","given":"R."},{"family":"Landwehrmeyer","given":"G. B."},{"family":"Magerl","given":"W."},{"family":"Maihöfner","given":"C."},{"family":"Rolko","given":"C."},{"family":"Schaub","given":"C."},{"family":"Scherens","given":"A."},{"family":"Sprenger","given":"T."},{"family":"Valet","given":"M."},{"family":"Wasserka","given":"B."}],"issued":{"date-parts":[["2006",8,1]]}}},{"id":278,"uris":["http://zotero.org/users/7023408/items/G5EDPKBS"],"itemData":{"id":278,"type":"article-journal","abstract":"Patients with sensory disturbances of painful and non-painful character show distinct changes in touch and/or pain sensitivity. The patterns of sensory changes were compared to those of human surrogate models of neuropathic pain to assess the underlying mechanisms. We investigated 30 consecutive in-patients with dysaesthesia of various origins (peripheral, spinal, and brainstem lesions) and 15 healthy subjects. Tactile thresholds were determined with calibrated von Frey hairs (1.1mm). Thresholds and stimulus-response functions for pricking pain were determined with a series of calibrated punctate mechanical stimulators (0.2mm). Allodynia was tested by light stroking with a brush, Q-tip, and cotton wisp. Perceptual wind-up was tested by trains of punctate stimuli at 0.2 or 1Hz. Intradermal injection of capsaicin (n=7) and A-fiber conduction blockade (n=8) served as human surrogate models for neurogenic hyperalgesia and partial nociceptive deafferentation, respectively. Patients without pain (18/30) showed a continuous distribution of threshold shifts in the dysaesthetic skin area with a low to moderate increase in pain threshold (by 1.52+/-0.45 log2 units). Patients with painful dysaesthesia presented as two separate groups (six patients each): one showing lowered pain thresholds (by -1.94+/-0.46 log2 units, hyperalgesia) and the other elevated pain thresholds (by 3.02+/-0.48 log2 units, hypoalgesia). The human surrogate model of neurogenic hyperalgesia revealed nearly identical leftward shifts in stimulus-response function for pricking pain as patients with spontaneous pain and hyperalgesia (by a factor of about 5 each). The sensory changes in the human surrogate model of deafferentation were similar to patients with hypoalgesia and spontaneous pain (rightward shift of the stimulus-response function with a decrease in slope). Perceptual wind-up did not differ between symptomatic and control areas. There was no exclusive association of any parameter obtained by quantitative sensory testing with a particular disease (of either peripheral or central origin). Our findings suggest that neuropathic pain is based on two distinct mechanisms: (I) central sensitization (neurogenic hyperalgesia; in patients with minor sensory impairment) and (II) partial nociceptive deafferentation (painful hypoalgesia; in patients with major sensory deficit). This distinction as previously postulated for postherpetic neuralgia, is obviously valid also for other conditions. Our findings emphasize the significance of a mechanism-based classification of neuropathic pain.","container-title":"Pain","DOI":"10.1016/s0304-3959(01)00438-9","ISSN":"0304-3959","issue":"1-2","journalAbbreviation":"Pain","language":"eng","note":"PMID: 11932070","page":"141-151","source":"PubMed","title":"Neurogenic hyperalgesia versus painful hypoalgesia: two distinct mechanisms of neuropathic pain","title-short":"Neurogenic hyperalgesia versus painful hypoalgesia","volume":"96","author":[{"family":"Baumgärtner","given":"Ulf"},{"family":"Magerl","given":"Walter"},{"family":"Klein","given":"Thomas"},{"family":"Hopf","given":"Hanns Christian"},{"family":"Treede","given":"Rolf Detlef"}],"issued":{"date-parts":[["2002",3]]}}}],"schema":"https://github.com/citation-style-language/schema/raw/master/csl-citation.json"} </w:instrText>
      </w:r>
      <w:r w:rsidRPr="00BF68E7">
        <w:rPr>
          <w:rFonts w:ascii="Times New Roman" w:hAnsi="Times New Roman" w:cs="Times New Roman"/>
        </w:rPr>
        <w:fldChar w:fldCharType="separate"/>
      </w:r>
      <w:r w:rsidR="00C77AAF" w:rsidRPr="00C77AAF">
        <w:rPr>
          <w:rFonts w:ascii="Times New Roman" w:hAnsi="Times New Roman" w:cs="Times New Roman"/>
          <w:szCs w:val="24"/>
          <w:vertAlign w:val="superscript"/>
        </w:rPr>
        <w:t>2,3</w:t>
      </w:r>
      <w:r w:rsidRPr="00BF68E7">
        <w:rPr>
          <w:rFonts w:ascii="Times New Roman" w:hAnsi="Times New Roman" w:cs="Times New Roman"/>
        </w:rPr>
        <w:fldChar w:fldCharType="end"/>
      </w:r>
      <w:r w:rsidRPr="00BF68E7">
        <w:rPr>
          <w:rFonts w:ascii="Times New Roman" w:hAnsi="Times New Roman" w:cs="Times New Roman"/>
        </w:rPr>
        <w:t>. This was used to assess</w:t>
      </w:r>
      <w:r w:rsidRPr="00BF68E7">
        <w:rPr>
          <w:rFonts w:ascii="Times New Roman" w:eastAsia="Times New Roman" w:hAnsi="Times New Roman" w:cs="Times New Roman"/>
        </w:rPr>
        <w:t xml:space="preserve"> </w:t>
      </w:r>
      <w:r w:rsidRPr="00BF68E7">
        <w:rPr>
          <w:rFonts w:ascii="Times New Roman" w:hAnsi="Times New Roman" w:cs="Times New Roman"/>
        </w:rPr>
        <w:t>warm and cold detection (WDT and CDT) thresholds, heat and cold pain thresholds (HPT and CPT), mechanical detection and pain thresholds (MDT and MPT), presence of wind-up (enhanced temporal summation) to pinprick, vibration detection thresholds (VDT), and pressure pain threshold (PPT), and conditioned pain modulation (CPM). The Thermal Sensory Analyzer (TSA-II or PATHWAY platform; Medoc, Ramat Yishai, Israel) was used to determine WDT, CDT,</w:t>
      </w:r>
      <w:r>
        <w:rPr>
          <w:rFonts w:ascii="Times New Roman" w:hAnsi="Times New Roman" w:cs="Times New Roman"/>
        </w:rPr>
        <w:t xml:space="preserve"> </w:t>
      </w:r>
      <w:r w:rsidRPr="00BF68E7">
        <w:rPr>
          <w:rFonts w:ascii="Times New Roman" w:hAnsi="Times New Roman" w:cs="Times New Roman"/>
        </w:rPr>
        <w:t xml:space="preserve">HPT, and CP </w:t>
      </w:r>
      <w:r w:rsidRPr="00BF68E7">
        <w:rPr>
          <w:rFonts w:ascii="Times New Roman" w:hAnsi="Times New Roman" w:cs="Times New Roman"/>
        </w:rPr>
        <w:fldChar w:fldCharType="begin"/>
      </w:r>
      <w:r w:rsidR="00C77AAF">
        <w:rPr>
          <w:rFonts w:ascii="Times New Roman" w:hAnsi="Times New Roman" w:cs="Times New Roman"/>
        </w:rPr>
        <w:instrText xml:space="preserve"> ADDIN ZOTERO_ITEM CSL_CITATION {"citationID":"2fOQWcGi","properties":{"formattedCitation":"\\super 4,5\\nosupersub{}","plainCitation":"4,5","noteIndex":0},"citationItems":[{"id":281,"uris":["http://zotero.org/users/7023408/items/CSMA3K7M"],"itemData":{"id":281,"type":"article-journal","abstract":"Measurement of thresholds for heat-induced pain was performed on 106 normal subjects, at thenar eminence and foot dorsum, using the reaction time-inclusive method of limits. Tests were repeated 2 weeks following the first test for most of the subjects. After determination that there were no outlying data points and that there was no systematic relationship between magnitude and variability of test scores, data from between 72 and 76 subjects were used to define normal upper and lower ranges by age, as well as repeatability coefficients. This was done through ANOVA-based procedures that extend standard repeatability assessment methods. Normative data tables are presented, with measures of repeatability for the various sites and modalities. For the conventional test range, reaching 55 degrees C, measurement of heat pain thresholds can define both hyper- and hypoalgesia. Application of repeatability coefficients allows for intra-individual inter-session comparison in longitudinal studies.","container-title":"Pain","DOI":"10.1016/0304-3959(94)00132-x","ISSN":"0304-3959","issue":"3","journalAbbreviation":"Pain","language":"eng","note":"PMID: 7596629","page":"329-332","source":"PubMed","title":"Heat pain thresholds: normative data and repeatability","title-short":"Heat pain thresholds","volume":"60","author":[{"family":"Yarnitsky","given":"D."},{"family":"Sprecher","given":"E."},{"family":"Zaslansky","given":"R."},{"family":"Hemli","given":"J. A."}],"issued":{"date-parts":[["1995",3]]}}},{"id":280,"uris":["http://zotero.org/users/7023408/items/7Z7BUM65"],"itemData":{"id":280,"type":"article-journal","abstract":"A quantitative method for the examination of thermal sensibility was applied in 26 normal subjects and in patients with various neurological disorders. The stimulation technique resembled Békésy audiometry: the patient reversed the direction of the temperature change of a thermode whenever warm, cold, or thermal pain thresholds were reached. The resulting temperature curve enables a quantitative description of the subject's thermal sensibility and of the degree of impairment displayed by neurological patients.","container-title":"Journal of Neurology, Neurosurgery, and Psychiatry","ISSN":"0022-3050","issue":"11","journalAbbreviation":"J Neurol Neurosurg Psychiatry","note":"PMID: 188989\nPMCID: PMC1083305","page":"1071-1075","source":"PubMed Central","title":"Method for quantitative estimation of thermal thresholds in patients.","volume":"39","author":[{"family":"Fruhstorfer","given":"H"},{"family":"Lindblom","given":"U"},{"family":"Schmidt","given":"W C"}],"issued":{"date-parts":[["1976",11]]}}}],"schema":"https://github.com/citation-style-language/schema/raw/master/csl-citation.json"} </w:instrText>
      </w:r>
      <w:r w:rsidRPr="00BF68E7">
        <w:rPr>
          <w:rFonts w:ascii="Times New Roman" w:hAnsi="Times New Roman" w:cs="Times New Roman"/>
        </w:rPr>
        <w:fldChar w:fldCharType="separate"/>
      </w:r>
      <w:r w:rsidR="00C77AAF" w:rsidRPr="00C77AAF">
        <w:rPr>
          <w:rFonts w:ascii="Times New Roman" w:hAnsi="Times New Roman" w:cs="Times New Roman"/>
          <w:szCs w:val="24"/>
          <w:vertAlign w:val="superscript"/>
        </w:rPr>
        <w:t>4,5</w:t>
      </w:r>
      <w:r w:rsidRPr="00BF68E7">
        <w:rPr>
          <w:rFonts w:ascii="Times New Roman" w:hAnsi="Times New Roman" w:cs="Times New Roman"/>
        </w:rPr>
        <w:fldChar w:fldCharType="end"/>
      </w:r>
      <w:r w:rsidRPr="00BF68E7">
        <w:rPr>
          <w:rFonts w:ascii="Times New Roman" w:hAnsi="Times New Roman" w:cs="Times New Roman"/>
        </w:rPr>
        <w:t xml:space="preserve">. A set of standardized Semmes-Weinstein monofilaments (0.25, 0.5, 1, 2, 4, 8, 16, 32, 64, 128, and 256mN; North Coast, USA) was used to assess MDT for each participant’s affected and unaffected area. A set of calibrated blunt metal probes with applied force 8-512mN (MRC systems, Germany) was used to determine the MPT. </w:t>
      </w:r>
      <w:r w:rsidRPr="00F935B9">
        <w:rPr>
          <w:rFonts w:ascii="Times New Roman" w:hAnsi="Times New Roman" w:cs="Times New Roman"/>
        </w:rPr>
        <w:t>Wind-up ratio (WUR)</w:t>
      </w:r>
      <w:r w:rsidRPr="00BF68E7">
        <w:rPr>
          <w:rFonts w:ascii="Times New Roman" w:hAnsi="Times New Roman" w:cs="Times New Roman"/>
          <w:b/>
          <w:bCs/>
        </w:rPr>
        <w:t xml:space="preserve"> </w:t>
      </w:r>
      <w:r w:rsidRPr="00BF68E7">
        <w:rPr>
          <w:rFonts w:ascii="Times New Roman" w:hAnsi="Times New Roman" w:cs="Times New Roman"/>
        </w:rPr>
        <w:t>was assessed using a #6.10 von Frey filament (. 980mN) and calculated as the ratio between pain intensity elicited by a train of ten 1Hz stimuli versus a single stimulus value was calculated</w:t>
      </w:r>
      <w:r w:rsidRPr="00BF68E7">
        <w:rPr>
          <w:rFonts w:ascii="Times New Roman" w:hAnsi="Times New Roman" w:cs="Times New Roman"/>
        </w:rPr>
        <w:fldChar w:fldCharType="begin"/>
      </w:r>
      <w:r w:rsidR="00C77AAF">
        <w:rPr>
          <w:rFonts w:ascii="Times New Roman" w:hAnsi="Times New Roman" w:cs="Times New Roman"/>
        </w:rPr>
        <w:instrText xml:space="preserve"> ADDIN ZOTERO_ITEM CSL_CITATION {"citationID":"ap7OzdQW","properties":{"formattedCitation":"\\super 6\\nosupersub{}","plainCitation":"6","noteIndex":0},"citationItems":[{"id":275,"uris":["http://zotero.org/users/7023408/items/TTCVNR2M"],"itemData":{"id":275,"type":"article-journal","abstract":"Wind-up and secondary hyperalgesia both are related to central sensitization, but whereas the former is explained by homosynaptic facilitation, the latter is due to heterosynaptic facilitation. To investigate possible interactions between both types of facilitation, we tested for alterations of perceptual wind-up in the secondary hyperalgesic skin zone adjacent to a capsaicin injection with light touch (by a cotton wisp) and punctate stimuli (calibrated von Frey hairs and pin pricks). Temporal summation of pain sensation (perceptual wind-up) was only observed with a clearly noxious stimulus (pin prick) presented at a repetition frequency of 0.6 s(-1), but not 0.2 s(-1). Pain ratings to trains of pin pricks reached a plateau after 3-4 repetitions, which was 1.65 times the initial rating ('wind-up ratio'). Injection of capsaicin induced a tenderness to mechanical stimuli in adjacent uninjured skin (secondary hyperalgesia), including hyperalgesia to light touch (allodynia) and hyperalgesia to punctate stimuli. Hyperalgesia to punctate stimuli was characterized by a leftward shift of the stimulus response function, corresponding to a decrease in pain threshold and an increase of painfulness of suprathreshold stimuli by a factor of 3-4. After capsaicin, the difference between the ratings of the first and last stimuli of trains of pin pricks was increased, but the ratio was unchanged. This behavior is equivalent to an increase in effective stimulus intensity, and could be mimicked by increasing the pin prick force from 20 mN to 40 and 80 mN in normal skin. Thus, the leftward shift of the stimulus response function fully accounts for all alterations of pain sensitivity to punctate stimuli in the zone of secondary hyperalgesia. We conclude that when the gain of spinal transmission was changed in secondary hyperalgesia, the gain of wind-up remained unchanged. These findings indicate that secondary hyperalgesia (heterotopic facilitation) and wind-up of pain sensation (homotopic facilitation) are independent phenomena.","container-title":"Pain","DOI":"10.1016/s0304-3959(97)00177-2","ISSN":"0304-3959","issue":"2-3","journalAbbreviation":"Pain","language":"eng","note":"PMID: 9520240","page":"257-268","source":"PubMed","title":"Secondary hyperalgesia and perceptual wind-up following intradermal injection of capsaicin in humans","volume":"74","author":[{"family":"Magerl","given":"W."},{"family":"Wilk","given":"S. H."},{"family":"Treede","given":"R. D."}],"issued":{"date-parts":[["1998",2]]}}}],"schema":"https://github.com/citation-style-language/schema/raw/master/csl-citation.json"} </w:instrText>
      </w:r>
      <w:r w:rsidRPr="00BF68E7">
        <w:rPr>
          <w:rFonts w:ascii="Times New Roman" w:hAnsi="Times New Roman" w:cs="Times New Roman"/>
        </w:rPr>
        <w:fldChar w:fldCharType="separate"/>
      </w:r>
      <w:r w:rsidR="00C77AAF" w:rsidRPr="00C77AAF">
        <w:rPr>
          <w:rFonts w:ascii="Times New Roman" w:hAnsi="Times New Roman" w:cs="Times New Roman"/>
          <w:szCs w:val="24"/>
          <w:vertAlign w:val="superscript"/>
        </w:rPr>
        <w:t>6</w:t>
      </w:r>
      <w:r w:rsidRPr="00BF68E7">
        <w:rPr>
          <w:rFonts w:ascii="Times New Roman" w:hAnsi="Times New Roman" w:cs="Times New Roman"/>
        </w:rPr>
        <w:fldChar w:fldCharType="end"/>
      </w:r>
      <w:r w:rsidRPr="00BF68E7">
        <w:rPr>
          <w:rFonts w:ascii="Times New Roman" w:hAnsi="Times New Roman" w:cs="Times New Roman"/>
        </w:rPr>
        <w:t>. Each participant’s frequency of vibration detection threshold was determined using a clinical tuning fork (64Hz, 8/8 scale)</w:t>
      </w:r>
      <w:r w:rsidRPr="00BF68E7">
        <w:rPr>
          <w:rFonts w:ascii="Times New Roman" w:hAnsi="Times New Roman" w:cs="Times New Roman"/>
        </w:rPr>
        <w:fldChar w:fldCharType="begin"/>
      </w:r>
      <w:r w:rsidR="00C77AAF">
        <w:rPr>
          <w:rFonts w:ascii="Times New Roman" w:hAnsi="Times New Roman" w:cs="Times New Roman"/>
        </w:rPr>
        <w:instrText xml:space="preserve"> ADDIN ZOTERO_ITEM CSL_CITATION {"citationID":"Memx7d4v","properties":{"formattedCitation":"\\super 7,8\\nosupersub{}","plainCitation":"7,8","noteIndex":0},"citationItems":[{"id":272,"uris":["http://zotero.org/users/7023408/items/JXAZKTBW"],"itemData":{"id":272,"type":"article-journal","abstract":"Vibration threshold determinations were made by means of an electromagnetic vibrator at three sites (carpal, tibial, and tarsal), which were primarily selected for examining patients with polyneuropathy. Because of the vast variation demonstrated for both vibrator output and tissue damping, the thresholds were expressed in terms of amplitude of stimulator movement measured by means of an accelerometer, instead of applied voltage which is commonly used. Statistical analysis revealed a higher power of discimination for amplitude measurements at all three stimulus sites. Digital read-out gave the best statistical result and was also most practical. Reference values obtained from 110 healthy males, 10 to 74 years of age, were highly correlated with age for both upper and lower extremities. The variance of the vibration perception threshold was less than that of the disappearance threshold, and determination of the perception threshold alone may be sufficient in most cases.","container-title":"Journal of Neurology, Neurosurgery, and Psychiatry","ISSN":"0022-3050","issue":"9","journalAbbreviation":"J Neurol Neurosurg Psychiatry","note":"PMID: 501379\nPMCID: PMC1082967","page":"793-803","source":"PubMed Central","title":"Standardised method of determining vibratory perception thresholds for diagnosis and screening in neurological investigation.","volume":"42","author":[{"family":"Goldberg","given":"J M"},{"family":"Lindblom","given":"U"}],"issued":{"date-parts":[["1979",9]]}}},{"id":273,"uris":["http://zotero.org/users/7023408/items/WDP39U3B"],"itemData":{"id":273,"type":"article-journal","abstract":"The variability of perception threshold determination for vibration, tactile stimuli and thermal stimuli, with instruments intended for clinical use, was studied in 13 healthy subjects and 27 patients with chronic polyneuropathy. Normal thresholds for tactile and thermal stimuli were determined in 51 healthy subjects. Determinations were made for vibration on hand, lower leg and foot, for touch on pulp of forefinger and great toe and for temperature on hand and foot. Normal thresholds for both tactile and thermal stimuli were age-dependent. Short-term variation, with intervals of some minutes between determinations, remained within 8-18% change from first value. Long-term variation, with intervals of days to some weeks, was pronounced for all types of threshold, with extremes of -90% and +256% change from first determination in 3 or 4 subsequent determinations. Variation was most marked for tactile stimuli and smallest for vibration, but magnitude and pattern of variation was similar for all sensory modalities and for both patients and healthy subjects. Confidence intervals, derived from analysis of variance, showed than as an average a change of less than -60% or greater than +150% from the initial value was needed to ascertain with 95% probability that a subsequent value will reflect a true change of sensory threshold. Basing every threshold value on 2 or more measurements per occasion will reduce the confidence interval. The main cause of variability seems to be central processing mechanisms, i.e. the psychological variability. With proper attention to the variability, sensory threshold determinations should still be a valuable aid in clinical practice and clinical research.","container-title":"Journal of the Neurological Sciences","DOI":"10.1016/0022-510x(81)90056-3","ISSN":"0022-510X","issue":"1","journalAbbreviation":"J Neurol Sci","language":"eng","note":"PMID: 7252516","page":"11-27","source":"PubMed","title":"Variability of sensory threshold determination in clinical use","volume":"51","author":[{"family":"Fagius","given":"J."},{"family":"Wahren","given":"L. K."}],"issued":{"date-parts":[["1981",7]]}}}],"schema":"https://github.com/citation-style-language/schema/raw/master/csl-citation.json"} </w:instrText>
      </w:r>
      <w:r w:rsidRPr="00BF68E7">
        <w:rPr>
          <w:rFonts w:ascii="Times New Roman" w:hAnsi="Times New Roman" w:cs="Times New Roman"/>
        </w:rPr>
        <w:fldChar w:fldCharType="separate"/>
      </w:r>
      <w:r w:rsidR="00C77AAF" w:rsidRPr="00C77AAF">
        <w:rPr>
          <w:rFonts w:ascii="Times New Roman" w:hAnsi="Times New Roman" w:cs="Times New Roman"/>
          <w:szCs w:val="24"/>
          <w:vertAlign w:val="superscript"/>
        </w:rPr>
        <w:t>7,8</w:t>
      </w:r>
      <w:r w:rsidRPr="00BF68E7">
        <w:rPr>
          <w:rFonts w:ascii="Times New Roman" w:hAnsi="Times New Roman" w:cs="Times New Roman"/>
        </w:rPr>
        <w:fldChar w:fldCharType="end"/>
      </w:r>
      <w:r w:rsidRPr="00BF68E7">
        <w:rPr>
          <w:rFonts w:ascii="Times New Roman" w:hAnsi="Times New Roman" w:cs="Times New Roman"/>
        </w:rPr>
        <w:t>. A handheld algometer (Wagner Instruments) was used to determine each participant’s PPT following continuous pressure application at a 0.5kg/sec rate. The test sites used for affected and control sites were along the same muscle.</w:t>
      </w:r>
      <w:bookmarkEnd w:id="0"/>
      <w:r w:rsidRPr="00BF68E7">
        <w:rPr>
          <w:rFonts w:ascii="Times New Roman" w:hAnsi="Times New Roman" w:cs="Times New Roman"/>
        </w:rPr>
        <w:t xml:space="preserve"> A cold-water bath and the Thermal Sensory Analyzer were used to assess each participant’s CPM. CPM was evaluated by determining the change in elicited thermal pain rating before versus during exposure to a conditioning stimulus (cold water bath maintained at 12°C). The test stimulus was determined as the probe temperature, which elicited a pain intensity of 50 on a 0-100 NRS in each participant. First, the Pain-50 stimulus was applied, and the subject-reported pain intensity (NRS) evoked by the stimulus was documented. This procedure was repeated twice. Next, the Pain-50 stimulus was applied during the last 30 seconds of a 60-second contralateral cold conditioning, and the participant was asked to report the pain intensity elicited by the thermal probe. </w:t>
      </w:r>
      <w:r w:rsidRPr="00BF68E7">
        <w:rPr>
          <w:rFonts w:ascii="Times New Roman" w:hAnsi="Times New Roman" w:cs="Times New Roman"/>
        </w:rPr>
        <w:lastRenderedPageBreak/>
        <w:t xml:space="preserve">This was repeated twice. The difference between the reported pain intensity of the stimulus before and during conditioning was the CPM magnitude. A CPM &lt;0 implies efficient descending pain modulation. </w:t>
      </w:r>
    </w:p>
    <w:p w14:paraId="78776271" w14:textId="28D29FEA" w:rsidR="007C5551" w:rsidRDefault="007C5551" w:rsidP="007C5551">
      <w:pPr>
        <w:spacing w:line="480" w:lineRule="auto"/>
        <w:ind w:firstLine="720"/>
        <w:rPr>
          <w:rFonts w:ascii="Times New Roman" w:hAnsi="Times New Roman" w:cs="Times New Roman"/>
        </w:rPr>
      </w:pPr>
      <w:r w:rsidRPr="00BF68E7">
        <w:rPr>
          <w:rFonts w:ascii="Times New Roman" w:hAnsi="Times New Roman" w:cs="Times New Roman"/>
          <w:b/>
          <w:bCs/>
        </w:rPr>
        <w:t>Description of Pre-Screening Session (Task-Specific θ Modulation):</w:t>
      </w:r>
      <w:r w:rsidRPr="00BF68E7">
        <w:rPr>
          <w:rFonts w:ascii="Times New Roman" w:hAnsi="Times New Roman" w:cs="Times New Roman"/>
        </w:rPr>
        <w:t xml:space="preserve"> To train subjects to control a BCI using frontal-θ power, a task was provided to initiate modulation of this pattern. We collected EEG during a serial subtraction mental arithmetic task to assess each participant's characteristic θ modulation profile. It has been previously shown that mental arithmetic, calculations, and mental tasks increase frontal midline θ activity. We used this observation to pre-screen participants for task-specific modulation </w:t>
      </w:r>
      <w:bookmarkStart w:id="1" w:name="_Hlk134010843"/>
      <w:r w:rsidRPr="00BF68E7">
        <w:rPr>
          <w:rFonts w:ascii="Times New Roman" w:hAnsi="Times New Roman" w:cs="Times New Roman"/>
        </w:rPr>
        <w:fldChar w:fldCharType="begin"/>
      </w:r>
      <w:r w:rsidR="00C77AAF">
        <w:rPr>
          <w:rFonts w:ascii="Times New Roman" w:hAnsi="Times New Roman" w:cs="Times New Roman"/>
        </w:rPr>
        <w:instrText xml:space="preserve"> ADDIN ZOTERO_ITEM CSL_CITATION {"citationID":"HW0OvzXI","properties":{"formattedCitation":"\\super 9\\uc0\\u8211{}11\\nosupersub{}","plainCitation":"9–11","noteIndex":0},"citationItems":[{"id":192,"uris":["http://zotero.org/users/7023408/items/GJT55TGJ"],"itemData":{"id":192,"type":"article-journal","abstract":"In this paper, studies which have explored the relation between EEG theta waves and psychological phenomena in normal human subjects are reviewed. It is noted that increases in theta activity occur in conjunction with several kinds of psychological processes. The importance of ocnsidering properties of theta activity, such as amplitude, rhythmicity and scalp topography when analyzing the relation between theta and psychological processes is emphasized. Although there is some evidence for a relationship between theta and psychological processes, it is concluded that the degree to which properties of theta activity are systematically related to specific psychological processes is not yet known.","container-title":"Biological Psychology","DOI":"10.1016/0301-0511(77)90028-x","ISSN":"0301-0511","issue":"1","journalAbbreviation":"Biol Psychol","language":"eng","note":"PMID: 193587","page":"47-82","source":"PubMed","title":"EEG theta waves and psychological phenomena: a review and analysis","title-short":"EEG theta waves and psychological phenomena","volume":"5","author":[{"family":"Schacter","given":"D. L."}],"issued":{"date-parts":[["1977",3]]}}},{"id":191,"uris":["http://zotero.org/users/7023408/items/AK7CD9KJ"],"itemData":{"id":191,"type":"article-journal","abstract":"Theta rhythm at the midline of the frontal area can be observed in normal subjects, during mental task performance, rest and sleep. Frontal midline theta rhythm (Fm θ) is a train of rhythmic waves at the frequency of 6–7 Hz and can be induced by various mental tasks. Fm θ is induced not only during mental tasks but also during nocturnal sleep in which it was most frequent during rapid eye movement (REM) and second most frequent during stage 1 of non-REM (NREM) sleep, and the relationship of Fm θ to dream images during sleep was found. It is concluded, therefore, that the appearance of Fm θ is related to mental activity even during sleep. Fm θ shows individual differences and is related to certain personality traits. High Fm θ groups showed the lowest anxiety score in the Manifest Anxiety Scale (MAS), the highest score in the extrovertive scale of the Maudsley Personality Inventory (MPI) and the lowest score in the neurotic scale of MPI. Low Fm θ groups showed the opposite correlation. Significant negative correlation was found between the amount of Fm θ and platelet monoamine oxidase (MAO) activity. Summarizing the above-mentioned results, it may be concluded that the appearance of Fm θ is related to mental activity, personality traits and platelet MAO activity. Furthermore, the correlation of such markers as platelet MAO activity and Fm θ with personality traits as measured by various psychological tests may prove to be of great importance in the exploration of the biological bases of personality.","container-title":"Psychiatry and Clinical Neurosciences","DOI":"https://doi.org/10.1046/j.1440-1819.1998.00452.x","ISSN":"1440-1819","issue":"6","language":"en","page":"555-566","source":"Wiley Online Library","title":"Frontal midline theta rhythm and mental activity","volume":"52","author":[{"family":"Inanaga","given":"Kazutoyo"}],"issued":{"date-parts":[["1998"]]}}},{"id":184,"uris":["http://zotero.org/users/7023408/items/2SJPIAH2"],"itemData":{"id":184,"type":"article-journal","abstract":"Complex cognitive tasks such as mental arithmetic heavily rely on intact, well-coordinated prefrontal cortex (PFC) function. Converging evidence suggests that frontal midline theta (FMT) oscillations play an important role during the execution of such PFC-dependent tasks. Additionally, it is well-established that acute stress impairs PFC function, and recent evidence suggests that FMT is decreased under stress. In this EEG study, we investigated FMT oscillations during a mental arithmetic task that was carried out in a stressful and a neutral control condition. Our results show late-onset, sustained FMT increases during mental arithmetic. In the neutral condition FMT started to increase earlier than in the stress condition. Direct comparison of the conditions quantified this difference by showing stronger FMT increases in the neutral condition in an early time window. Between-subject correlation analysis showed that attenuated FMT under stress was related to slowed reaction times. Our results suggest that FMT is associated with stimulus independent mental processes during the natural and complex PFC-dependent task of mental arithmetic, and is a possible marker for intact PFC function that is disrupted under stress.","container-title":"Frontiers in Behavioral Neuroscience","DOI":"10.3389/fnbeh.2015.00096","ISSN":"1662-5153","journalAbbreviation":"Front Behav Neurosci","note":"PMID: 25941479\nPMCID: PMC4403551","page":"96","source":"PubMed Central","title":"Frontal midline theta oscillations during mental arithmetic: effects of stress","title-short":"Frontal midline theta oscillations during mental arithmetic","volume":"9","author":[{"family":"Gärtner","given":"Matti"},{"family":"Grimm","given":"Simone"},{"family":"Bajbouj","given":"Malek"}],"issued":{"date-parts":[["2015",4,20]]}}}],"schema":"https://github.com/citation-style-language/schema/raw/master/csl-citation.json"} </w:instrText>
      </w:r>
      <w:r w:rsidRPr="00BF68E7">
        <w:rPr>
          <w:rFonts w:ascii="Times New Roman" w:hAnsi="Times New Roman" w:cs="Times New Roman"/>
        </w:rPr>
        <w:fldChar w:fldCharType="separate"/>
      </w:r>
      <w:r w:rsidR="00C77AAF" w:rsidRPr="00C77AAF">
        <w:rPr>
          <w:rFonts w:ascii="Times New Roman" w:hAnsi="Times New Roman" w:cs="Times New Roman"/>
          <w:szCs w:val="24"/>
          <w:vertAlign w:val="superscript"/>
        </w:rPr>
        <w:t>9–11</w:t>
      </w:r>
      <w:r w:rsidRPr="00BF68E7">
        <w:rPr>
          <w:rFonts w:ascii="Times New Roman" w:hAnsi="Times New Roman" w:cs="Times New Roman"/>
        </w:rPr>
        <w:fldChar w:fldCharType="end"/>
      </w:r>
      <w:bookmarkEnd w:id="1"/>
      <w:r w:rsidRPr="00BF68E7">
        <w:rPr>
          <w:rFonts w:ascii="Times New Roman" w:hAnsi="Times New Roman" w:cs="Times New Roman"/>
        </w:rPr>
        <w:t>. This strategy was used for all participants to induce initial θ modulation, which could be used to exert BCI control. Baseline EEG data were collected for five minutes before the experiment. The task design consisted of two 25-trial blocks. Before assessment recording, the subjects were given randomly generated three-digit multiple of 50. This number would be used for the serial subtraction task. Each trial consisted of a five-second task period where participants were asked to engage in serial subtraction and a five-second baseline period where subjects were asked to fix their gaze on a fixation cross presented at the center of the display without performing any mental tasks. During the task period, a pseudorandom prime number between 3 and 19 was selected and presented to the participant in the middle of the screen. The participants were asked to serially subtract that prime number from the three-digit multiple of 50 until that number disappeared and the baseline fixation cross was presented. Offline analysis was conducted to quantify the degree of θ modulation and quantify the spectral properties of their activity modulation.</w:t>
      </w:r>
    </w:p>
    <w:p w14:paraId="76335BE1" w14:textId="77777777" w:rsidR="00DB264C" w:rsidRDefault="00DB264C" w:rsidP="007C5551">
      <w:pPr>
        <w:rPr>
          <w:rFonts w:ascii="Times New Roman" w:hAnsi="Times New Roman" w:cs="Times New Roman"/>
        </w:rPr>
      </w:pPr>
    </w:p>
    <w:p w14:paraId="3DEDCFB4" w14:textId="77777777" w:rsidR="007C5551" w:rsidRDefault="007C5551" w:rsidP="007C5551">
      <w:pPr>
        <w:rPr>
          <w:rFonts w:ascii="Times New Roman" w:hAnsi="Times New Roman" w:cs="Times New Roman"/>
        </w:rPr>
      </w:pPr>
    </w:p>
    <w:p w14:paraId="06276310" w14:textId="77777777" w:rsidR="007C5551" w:rsidRDefault="007C5551" w:rsidP="007C5551">
      <w:pPr>
        <w:rPr>
          <w:rFonts w:ascii="Times New Roman" w:hAnsi="Times New Roman" w:cs="Times New Roman"/>
        </w:rPr>
      </w:pPr>
    </w:p>
    <w:p w14:paraId="753F022E" w14:textId="77777777" w:rsidR="007C5551" w:rsidRDefault="007C5551" w:rsidP="007C5551">
      <w:pPr>
        <w:rPr>
          <w:rFonts w:ascii="Times New Roman" w:hAnsi="Times New Roman" w:cs="Times New Roman"/>
        </w:rPr>
      </w:pPr>
    </w:p>
    <w:p w14:paraId="72C79045" w14:textId="77777777" w:rsidR="007C5551" w:rsidRDefault="007C5551" w:rsidP="007C5551">
      <w:pPr>
        <w:rPr>
          <w:rFonts w:ascii="Times New Roman" w:hAnsi="Times New Roman" w:cs="Times New Roman"/>
        </w:rPr>
      </w:pPr>
    </w:p>
    <w:p w14:paraId="4E256C42" w14:textId="77777777" w:rsidR="007C5551" w:rsidRDefault="007C5551" w:rsidP="007C5551">
      <w:pPr>
        <w:rPr>
          <w:rFonts w:ascii="Times New Roman" w:hAnsi="Times New Roman" w:cs="Times New Roman"/>
        </w:rPr>
      </w:pPr>
    </w:p>
    <w:p w14:paraId="62B19790" w14:textId="77777777" w:rsidR="007C5551" w:rsidRDefault="007C5551" w:rsidP="007C5551">
      <w:pPr>
        <w:rPr>
          <w:rFonts w:ascii="Times New Roman" w:hAnsi="Times New Roman" w:cs="Times New Roman"/>
        </w:rPr>
      </w:pPr>
    </w:p>
    <w:p w14:paraId="5690E64E" w14:textId="77777777" w:rsidR="007C5551" w:rsidRDefault="007C5551" w:rsidP="007C5551">
      <w:pPr>
        <w:rPr>
          <w:rFonts w:ascii="Times New Roman" w:hAnsi="Times New Roman" w:cs="Times New Roman"/>
        </w:rPr>
      </w:pPr>
    </w:p>
    <w:p w14:paraId="69158C11" w14:textId="140BEC9C" w:rsidR="00DB264C" w:rsidRDefault="007C5551" w:rsidP="007C5551">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B6F545B" wp14:editId="1ED68EFD">
            <wp:extent cx="5495925" cy="5762625"/>
            <wp:effectExtent l="0" t="0" r="9525" b="9525"/>
            <wp:docPr id="508850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95925" cy="5762625"/>
                    </a:xfrm>
                    <a:prstGeom prst="rect">
                      <a:avLst/>
                    </a:prstGeom>
                    <a:noFill/>
                    <a:ln>
                      <a:noFill/>
                    </a:ln>
                  </pic:spPr>
                </pic:pic>
              </a:graphicData>
            </a:graphic>
          </wp:inline>
        </w:drawing>
      </w:r>
    </w:p>
    <w:p w14:paraId="19DC24ED" w14:textId="77777777" w:rsidR="00DB264C" w:rsidRDefault="00DB264C" w:rsidP="008A1449">
      <w:pPr>
        <w:ind w:firstLine="720"/>
        <w:rPr>
          <w:rFonts w:ascii="Times New Roman" w:hAnsi="Times New Roman" w:cs="Times New Roman"/>
        </w:rPr>
      </w:pPr>
    </w:p>
    <w:p w14:paraId="6DE0F5E5" w14:textId="77777777" w:rsidR="00DB264C" w:rsidRPr="003B2CF4" w:rsidRDefault="00DB264C" w:rsidP="00DB264C">
      <w:pPr>
        <w:spacing w:after="0" w:line="480" w:lineRule="auto"/>
        <w:rPr>
          <w:rFonts w:ascii="Times New Roman" w:hAnsi="Times New Roman" w:cs="Times New Roman"/>
          <w:b/>
          <w:bCs/>
        </w:rPr>
      </w:pPr>
      <w:r w:rsidRPr="003B2CF4">
        <w:rPr>
          <w:rFonts w:ascii="Times New Roman" w:hAnsi="Times New Roman" w:cs="Times New Roman"/>
          <w:b/>
          <w:bCs/>
        </w:rPr>
        <w:t xml:space="preserve">Supplemental Figure 1. Schematic of handedness, location, and hypersensitivity type of each patient’s affected area. </w:t>
      </w:r>
    </w:p>
    <w:p w14:paraId="6A464C9F" w14:textId="77777777" w:rsidR="00DB264C" w:rsidRDefault="00DB264C" w:rsidP="00DB264C">
      <w:pPr>
        <w:spacing w:after="0" w:line="480" w:lineRule="auto"/>
        <w:rPr>
          <w:rFonts w:ascii="Times New Roman" w:hAnsi="Times New Roman" w:cs="Times New Roman"/>
        </w:rPr>
      </w:pPr>
      <w:r w:rsidRPr="003B2CF4">
        <w:rPr>
          <w:rFonts w:ascii="Times New Roman" w:hAnsi="Times New Roman" w:cs="Times New Roman"/>
        </w:rPr>
        <w:t>The affected region is shown in red. Heat sensitivity is shown in red shading. Brush sensitivity is shown in green shading. Pinprick sensitivity is shown in blue shading.</w:t>
      </w:r>
    </w:p>
    <w:p w14:paraId="25F66879" w14:textId="77777777" w:rsidR="00DB264C" w:rsidRDefault="00DB264C" w:rsidP="00DB264C">
      <w:pPr>
        <w:spacing w:after="0" w:line="480" w:lineRule="auto"/>
        <w:rPr>
          <w:rFonts w:ascii="Times New Roman" w:hAnsi="Times New Roman" w:cs="Times New Roman"/>
        </w:rPr>
      </w:pPr>
    </w:p>
    <w:p w14:paraId="72EBBA62" w14:textId="77777777" w:rsidR="007C5551" w:rsidRDefault="007C5551" w:rsidP="00DB264C">
      <w:pPr>
        <w:spacing w:after="0" w:line="480" w:lineRule="auto"/>
        <w:rPr>
          <w:rFonts w:ascii="Times New Roman" w:hAnsi="Times New Roman" w:cs="Times New Roman"/>
        </w:rPr>
      </w:pPr>
    </w:p>
    <w:p w14:paraId="1A75C3C2" w14:textId="77777777" w:rsidR="007C5551" w:rsidRDefault="007C5551" w:rsidP="00DB264C">
      <w:pPr>
        <w:spacing w:after="0" w:line="480" w:lineRule="auto"/>
        <w:rPr>
          <w:rFonts w:ascii="Times New Roman" w:hAnsi="Times New Roman" w:cs="Times New Roman"/>
        </w:rPr>
      </w:pPr>
    </w:p>
    <w:p w14:paraId="6111ADEC" w14:textId="77777777" w:rsidR="007C5551" w:rsidRDefault="007C5551" w:rsidP="00DB264C">
      <w:pPr>
        <w:spacing w:after="0" w:line="480" w:lineRule="auto"/>
        <w:rPr>
          <w:rFonts w:ascii="Times New Roman" w:hAnsi="Times New Roman" w:cs="Times New Roman"/>
        </w:rPr>
      </w:pPr>
    </w:p>
    <w:p w14:paraId="7E3EDCF8" w14:textId="77777777" w:rsidR="007C5551" w:rsidRDefault="007C5551" w:rsidP="00DB264C">
      <w:pPr>
        <w:spacing w:after="0" w:line="480" w:lineRule="auto"/>
        <w:rPr>
          <w:rFonts w:ascii="Times New Roman" w:hAnsi="Times New Roman" w:cs="Times New Roman"/>
        </w:rPr>
      </w:pPr>
    </w:p>
    <w:p w14:paraId="1C651B90" w14:textId="2C900CB5" w:rsidR="007C5551" w:rsidRDefault="000D4931" w:rsidP="00DB264C">
      <w:pPr>
        <w:spacing w:after="0"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5CF52FC9" wp14:editId="542E6FCB">
            <wp:extent cx="6994576" cy="3648075"/>
            <wp:effectExtent l="0" t="0" r="0" b="0"/>
            <wp:docPr id="5775761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05189" cy="3653610"/>
                    </a:xfrm>
                    <a:prstGeom prst="rect">
                      <a:avLst/>
                    </a:prstGeom>
                    <a:noFill/>
                    <a:ln>
                      <a:noFill/>
                    </a:ln>
                  </pic:spPr>
                </pic:pic>
              </a:graphicData>
            </a:graphic>
          </wp:inline>
        </w:drawing>
      </w:r>
    </w:p>
    <w:p w14:paraId="7912B555" w14:textId="77777777" w:rsidR="00DB264C" w:rsidRPr="007E5739" w:rsidRDefault="00DB264C" w:rsidP="00DB264C">
      <w:pPr>
        <w:spacing w:after="0" w:line="480" w:lineRule="auto"/>
        <w:rPr>
          <w:rFonts w:ascii="Times New Roman" w:hAnsi="Times New Roman" w:cs="Times New Roman"/>
          <w:b/>
          <w:bCs/>
        </w:rPr>
      </w:pPr>
      <w:r w:rsidRPr="007E5739">
        <w:rPr>
          <w:rFonts w:ascii="Times New Roman" w:hAnsi="Times New Roman" w:cs="Times New Roman"/>
          <w:b/>
          <w:bCs/>
        </w:rPr>
        <w:t>Supplemental Figure 2.</w:t>
      </w:r>
      <w:r>
        <w:rPr>
          <w:rFonts w:ascii="Times New Roman" w:hAnsi="Times New Roman" w:cs="Times New Roman"/>
          <w:b/>
          <w:bCs/>
        </w:rPr>
        <w:t xml:space="preserve"> Visualization of theta modulation.</w:t>
      </w:r>
    </w:p>
    <w:p w14:paraId="5DC373BD" w14:textId="77777777" w:rsidR="00DB264C" w:rsidRDefault="00DB264C" w:rsidP="00DB264C">
      <w:pPr>
        <w:spacing w:after="0" w:line="480" w:lineRule="auto"/>
        <w:rPr>
          <w:rFonts w:ascii="Times New Roman" w:hAnsi="Times New Roman" w:cs="Times New Roman"/>
        </w:rPr>
      </w:pPr>
      <w:r w:rsidRPr="007E5739">
        <w:rPr>
          <w:rFonts w:ascii="Times New Roman" w:hAnsi="Times New Roman" w:cs="Times New Roman"/>
        </w:rPr>
        <w:t>(From top to bottom) Power spectral density plots showing differences in frontal theta modulation during a serial subtraction mental arithmetic task (shading represents standard error). Normalized theta power across BCI sessions over time. Theta modulation strength over time across BCI sessions. Total session time for each BCI training day. The blue line shows the overall trend by a line of best fit.</w:t>
      </w:r>
    </w:p>
    <w:p w14:paraId="2E3C0F39" w14:textId="77777777" w:rsidR="00DB264C" w:rsidRDefault="00DB264C" w:rsidP="00DB264C">
      <w:pPr>
        <w:spacing w:after="0" w:line="480" w:lineRule="auto"/>
        <w:rPr>
          <w:rFonts w:ascii="Times New Roman" w:hAnsi="Times New Roman" w:cs="Times New Roman"/>
        </w:rPr>
      </w:pPr>
    </w:p>
    <w:p w14:paraId="07180819" w14:textId="77777777" w:rsidR="000D4931" w:rsidRDefault="000D4931" w:rsidP="00DB264C">
      <w:pPr>
        <w:spacing w:after="0" w:line="480" w:lineRule="auto"/>
        <w:rPr>
          <w:rFonts w:ascii="Times New Roman" w:hAnsi="Times New Roman" w:cs="Times New Roman"/>
        </w:rPr>
      </w:pPr>
    </w:p>
    <w:p w14:paraId="2B74531A" w14:textId="77777777" w:rsidR="000D4931" w:rsidRDefault="000D4931" w:rsidP="00DB264C">
      <w:pPr>
        <w:spacing w:after="0" w:line="480" w:lineRule="auto"/>
        <w:rPr>
          <w:rFonts w:ascii="Times New Roman" w:hAnsi="Times New Roman" w:cs="Times New Roman"/>
        </w:rPr>
      </w:pPr>
    </w:p>
    <w:p w14:paraId="570CA83F" w14:textId="77777777" w:rsidR="000D4931" w:rsidRDefault="000D4931" w:rsidP="00DB264C">
      <w:pPr>
        <w:spacing w:after="0" w:line="480" w:lineRule="auto"/>
        <w:rPr>
          <w:rFonts w:ascii="Times New Roman" w:hAnsi="Times New Roman" w:cs="Times New Roman"/>
        </w:rPr>
      </w:pPr>
    </w:p>
    <w:p w14:paraId="4A077D50" w14:textId="77777777" w:rsidR="000D4931" w:rsidRDefault="000D4931" w:rsidP="00DB264C">
      <w:pPr>
        <w:spacing w:after="0" w:line="480" w:lineRule="auto"/>
        <w:rPr>
          <w:rFonts w:ascii="Times New Roman" w:hAnsi="Times New Roman" w:cs="Times New Roman"/>
        </w:rPr>
      </w:pPr>
    </w:p>
    <w:p w14:paraId="0B7425FE" w14:textId="77777777" w:rsidR="000D4931" w:rsidRDefault="000D4931" w:rsidP="00DB264C">
      <w:pPr>
        <w:spacing w:after="0" w:line="480" w:lineRule="auto"/>
        <w:rPr>
          <w:rFonts w:ascii="Times New Roman" w:hAnsi="Times New Roman" w:cs="Times New Roman"/>
        </w:rPr>
      </w:pPr>
    </w:p>
    <w:p w14:paraId="5EA3F4B2" w14:textId="77777777" w:rsidR="000D4931" w:rsidRDefault="000D4931" w:rsidP="00DB264C">
      <w:pPr>
        <w:spacing w:after="0" w:line="480" w:lineRule="auto"/>
        <w:rPr>
          <w:rFonts w:ascii="Times New Roman" w:hAnsi="Times New Roman" w:cs="Times New Roman"/>
        </w:rPr>
      </w:pPr>
    </w:p>
    <w:p w14:paraId="3E8EA4E6" w14:textId="77777777" w:rsidR="000D4931" w:rsidRDefault="000D4931" w:rsidP="00DB264C">
      <w:pPr>
        <w:spacing w:after="0" w:line="480" w:lineRule="auto"/>
        <w:rPr>
          <w:rFonts w:ascii="Times New Roman" w:hAnsi="Times New Roman" w:cs="Times New Roman"/>
        </w:rPr>
      </w:pPr>
    </w:p>
    <w:p w14:paraId="483A5E53" w14:textId="77777777" w:rsidR="000D4931" w:rsidRDefault="000D4931" w:rsidP="00DB264C">
      <w:pPr>
        <w:spacing w:after="0" w:line="480" w:lineRule="auto"/>
        <w:rPr>
          <w:rFonts w:ascii="Times New Roman" w:hAnsi="Times New Roman" w:cs="Times New Roman"/>
        </w:rPr>
      </w:pPr>
    </w:p>
    <w:p w14:paraId="21D732E8" w14:textId="77777777" w:rsidR="000D4931" w:rsidRDefault="000D4931" w:rsidP="00DB264C">
      <w:pPr>
        <w:spacing w:after="0" w:line="480" w:lineRule="auto"/>
        <w:rPr>
          <w:rFonts w:ascii="Times New Roman" w:hAnsi="Times New Roman" w:cs="Times New Roman"/>
        </w:rPr>
      </w:pPr>
    </w:p>
    <w:p w14:paraId="47C16ED7" w14:textId="77777777" w:rsidR="000D4931" w:rsidRDefault="000D4931" w:rsidP="00DB264C">
      <w:pPr>
        <w:spacing w:after="0" w:line="480" w:lineRule="auto"/>
        <w:rPr>
          <w:rFonts w:ascii="Times New Roman" w:hAnsi="Times New Roman" w:cs="Times New Roman"/>
        </w:rPr>
      </w:pPr>
    </w:p>
    <w:p w14:paraId="62457F6C" w14:textId="77777777" w:rsidR="000D4931" w:rsidRDefault="000D4931" w:rsidP="00DB264C">
      <w:pPr>
        <w:spacing w:after="0" w:line="480" w:lineRule="auto"/>
        <w:rPr>
          <w:rFonts w:ascii="Times New Roman" w:hAnsi="Times New Roman" w:cs="Times New Roman"/>
        </w:rPr>
      </w:pPr>
    </w:p>
    <w:p w14:paraId="7C654526" w14:textId="111A7F19" w:rsidR="000D4931" w:rsidRDefault="000D4931" w:rsidP="00DB264C">
      <w:pPr>
        <w:spacing w:after="0"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6F2F9690" wp14:editId="361E5D3D">
            <wp:extent cx="6845935" cy="3740785"/>
            <wp:effectExtent l="0" t="0" r="0" b="0"/>
            <wp:docPr id="1569543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45935" cy="3740785"/>
                    </a:xfrm>
                    <a:prstGeom prst="rect">
                      <a:avLst/>
                    </a:prstGeom>
                    <a:noFill/>
                    <a:ln>
                      <a:noFill/>
                    </a:ln>
                  </pic:spPr>
                </pic:pic>
              </a:graphicData>
            </a:graphic>
          </wp:inline>
        </w:drawing>
      </w:r>
    </w:p>
    <w:p w14:paraId="5120D752" w14:textId="77777777" w:rsidR="00DB264C" w:rsidRPr="007E5739" w:rsidRDefault="00DB264C" w:rsidP="00DB264C">
      <w:pPr>
        <w:spacing w:after="0" w:line="480" w:lineRule="auto"/>
        <w:rPr>
          <w:rFonts w:ascii="Times New Roman" w:hAnsi="Times New Roman" w:cs="Times New Roman"/>
          <w:b/>
          <w:bCs/>
        </w:rPr>
      </w:pPr>
      <w:r w:rsidRPr="007E5739">
        <w:rPr>
          <w:rFonts w:ascii="Times New Roman" w:hAnsi="Times New Roman" w:cs="Times New Roman"/>
          <w:b/>
          <w:bCs/>
        </w:rPr>
        <w:t>Supplemental Figure 3. Individual patient BCI performance and pain over BCI intervention.</w:t>
      </w:r>
    </w:p>
    <w:p w14:paraId="73F147EB" w14:textId="77777777" w:rsidR="00DB264C" w:rsidRDefault="00DB264C" w:rsidP="00DB264C">
      <w:pPr>
        <w:spacing w:after="0" w:line="480" w:lineRule="auto"/>
        <w:rPr>
          <w:rFonts w:ascii="Times New Roman" w:hAnsi="Times New Roman" w:cs="Times New Roman"/>
        </w:rPr>
      </w:pPr>
      <w:r w:rsidRPr="007E5739">
        <w:rPr>
          <w:rFonts w:ascii="Times New Roman" w:hAnsi="Times New Roman" w:cs="Times New Roman"/>
        </w:rPr>
        <w:t>(From top to bottom) Each BCI session performance, pre-session VAS, and post-session VAS on each day for each patient. Significant changes over time are shown by red data points (Spearman correlation). The blue line shows the overall trend by a line of best fit.</w:t>
      </w:r>
    </w:p>
    <w:p w14:paraId="1D3B1CCE" w14:textId="33D3C0EC" w:rsidR="00897352" w:rsidRDefault="00897352" w:rsidP="00DB264C">
      <w:pPr>
        <w:spacing w:after="0" w:line="480" w:lineRule="auto"/>
        <w:rPr>
          <w:rFonts w:ascii="Times New Roman" w:hAnsi="Times New Roman" w:cs="Times New Roman"/>
        </w:rPr>
      </w:pPr>
    </w:p>
    <w:p w14:paraId="0A60E821" w14:textId="45D3FBD9" w:rsidR="00DB264C" w:rsidRDefault="00334FCD" w:rsidP="00DB264C">
      <w:pPr>
        <w:spacing w:after="0"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7EEEAD46" wp14:editId="277B7213">
            <wp:extent cx="6858000" cy="3705225"/>
            <wp:effectExtent l="0" t="0" r="0" b="9525"/>
            <wp:docPr id="589800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0" cy="3705225"/>
                    </a:xfrm>
                    <a:prstGeom prst="rect">
                      <a:avLst/>
                    </a:prstGeom>
                    <a:noFill/>
                    <a:ln>
                      <a:noFill/>
                    </a:ln>
                  </pic:spPr>
                </pic:pic>
              </a:graphicData>
            </a:graphic>
          </wp:inline>
        </w:drawing>
      </w:r>
    </w:p>
    <w:p w14:paraId="42B5E0E0" w14:textId="688C5D33" w:rsidR="00DB264C" w:rsidRPr="007E5739" w:rsidRDefault="00DB264C" w:rsidP="00DB264C">
      <w:pPr>
        <w:spacing w:after="0" w:line="480" w:lineRule="auto"/>
        <w:rPr>
          <w:rFonts w:ascii="Times New Roman" w:hAnsi="Times New Roman" w:cs="Times New Roman"/>
          <w:b/>
          <w:bCs/>
        </w:rPr>
      </w:pPr>
      <w:r w:rsidRPr="007E5739">
        <w:rPr>
          <w:rFonts w:ascii="Times New Roman" w:hAnsi="Times New Roman" w:cs="Times New Roman"/>
          <w:b/>
          <w:bCs/>
        </w:rPr>
        <w:t xml:space="preserve">Supplemental Figure 4. Weekly </w:t>
      </w:r>
      <w:r w:rsidR="00334FCD">
        <w:rPr>
          <w:rFonts w:ascii="Times New Roman" w:hAnsi="Times New Roman" w:cs="Times New Roman"/>
          <w:b/>
          <w:bCs/>
        </w:rPr>
        <w:t>BPI and NPSI</w:t>
      </w:r>
      <w:r w:rsidRPr="007E5739">
        <w:rPr>
          <w:rFonts w:ascii="Times New Roman" w:hAnsi="Times New Roman" w:cs="Times New Roman"/>
          <w:b/>
          <w:bCs/>
        </w:rPr>
        <w:t xml:space="preserve"> scores over the intervention period for individual patients.</w:t>
      </w:r>
    </w:p>
    <w:p w14:paraId="5680D5A1" w14:textId="1D923B36" w:rsidR="00DB264C" w:rsidRDefault="00DB264C" w:rsidP="00DB264C">
      <w:pPr>
        <w:spacing w:after="0" w:line="480" w:lineRule="auto"/>
        <w:rPr>
          <w:rFonts w:ascii="Times New Roman" w:hAnsi="Times New Roman" w:cs="Times New Roman"/>
        </w:rPr>
      </w:pPr>
      <w:r>
        <w:rPr>
          <w:rFonts w:ascii="Times New Roman" w:hAnsi="Times New Roman" w:cs="Times New Roman"/>
        </w:rPr>
        <w:t>Clinical</w:t>
      </w:r>
      <w:r w:rsidRPr="007E5739">
        <w:rPr>
          <w:rFonts w:ascii="Times New Roman" w:hAnsi="Times New Roman" w:cs="Times New Roman"/>
        </w:rPr>
        <w:t xml:space="preserve"> outcomes (NPSI, PSS, and PIS) over BCI therapy for each patient. Measures were taken via a patient-reported survey given at the end of each week.</w:t>
      </w:r>
      <w:r w:rsidR="00334FCD" w:rsidRPr="00334FCD">
        <w:rPr>
          <w:rFonts w:ascii="Times New Roman" w:hAnsi="Times New Roman" w:cs="Times New Roman"/>
        </w:rPr>
        <w:t xml:space="preserve"> </w:t>
      </w:r>
      <w:r w:rsidR="00334FCD" w:rsidRPr="007E5739">
        <w:rPr>
          <w:rFonts w:ascii="Times New Roman" w:hAnsi="Times New Roman" w:cs="Times New Roman"/>
        </w:rPr>
        <w:t xml:space="preserve">The </w:t>
      </w:r>
      <w:r w:rsidR="00334FCD">
        <w:rPr>
          <w:rFonts w:ascii="Times New Roman" w:hAnsi="Times New Roman" w:cs="Times New Roman"/>
        </w:rPr>
        <w:t>first</w:t>
      </w:r>
      <w:r w:rsidR="00334FCD" w:rsidRPr="007E5739">
        <w:rPr>
          <w:rFonts w:ascii="Times New Roman" w:hAnsi="Times New Roman" w:cs="Times New Roman"/>
        </w:rPr>
        <w:t xml:space="preserve"> three graphs show </w:t>
      </w:r>
      <w:r w:rsidR="00334FCD">
        <w:rPr>
          <w:rFonts w:ascii="Times New Roman" w:hAnsi="Times New Roman" w:cs="Times New Roman"/>
        </w:rPr>
        <w:t>PSS, PIS, and NPSI</w:t>
      </w:r>
      <w:r w:rsidR="00334FCD" w:rsidRPr="007E5739">
        <w:rPr>
          <w:rFonts w:ascii="Times New Roman" w:hAnsi="Times New Roman" w:cs="Times New Roman"/>
        </w:rPr>
        <w:t>.</w:t>
      </w:r>
      <w:r w:rsidRPr="007E5739">
        <w:rPr>
          <w:rFonts w:ascii="Times New Roman" w:hAnsi="Times New Roman" w:cs="Times New Roman"/>
        </w:rPr>
        <w:t xml:space="preserve"> The </w:t>
      </w:r>
      <w:r w:rsidR="00334FCD">
        <w:rPr>
          <w:rFonts w:ascii="Times New Roman" w:hAnsi="Times New Roman" w:cs="Times New Roman"/>
        </w:rPr>
        <w:t>last</w:t>
      </w:r>
      <w:r w:rsidRPr="007E5739">
        <w:rPr>
          <w:rFonts w:ascii="Times New Roman" w:hAnsi="Times New Roman" w:cs="Times New Roman"/>
        </w:rPr>
        <w:t xml:space="preserve"> five graphs show symptom scores for NPSI. </w:t>
      </w:r>
    </w:p>
    <w:p w14:paraId="11627A01" w14:textId="77777777" w:rsidR="00897352" w:rsidRDefault="00897352" w:rsidP="00DB264C">
      <w:pPr>
        <w:spacing w:after="0" w:line="480" w:lineRule="auto"/>
        <w:rPr>
          <w:rFonts w:ascii="Times New Roman" w:hAnsi="Times New Roman" w:cs="Times New Roman"/>
        </w:rPr>
      </w:pPr>
    </w:p>
    <w:p w14:paraId="39DBACF9" w14:textId="77777777" w:rsidR="00897352" w:rsidRDefault="00897352" w:rsidP="00DB264C">
      <w:pPr>
        <w:spacing w:after="0" w:line="480" w:lineRule="auto"/>
        <w:rPr>
          <w:rFonts w:ascii="Times New Roman" w:hAnsi="Times New Roman" w:cs="Times New Roman"/>
        </w:rPr>
      </w:pPr>
    </w:p>
    <w:p w14:paraId="5D656A65" w14:textId="77777777" w:rsidR="00897352" w:rsidRDefault="00897352" w:rsidP="00DB264C">
      <w:pPr>
        <w:spacing w:after="0" w:line="480" w:lineRule="auto"/>
        <w:rPr>
          <w:rFonts w:ascii="Times New Roman" w:hAnsi="Times New Roman" w:cs="Times New Roman"/>
        </w:rPr>
      </w:pPr>
    </w:p>
    <w:p w14:paraId="64FD9FEE" w14:textId="58709FA8" w:rsidR="00897352" w:rsidRDefault="00897352" w:rsidP="00DB264C">
      <w:pPr>
        <w:spacing w:after="0" w:line="480" w:lineRule="auto"/>
        <w:rPr>
          <w:rFonts w:ascii="Times New Roman" w:hAnsi="Times New Roman" w:cs="Times New Roman"/>
        </w:rPr>
      </w:pPr>
    </w:p>
    <w:p w14:paraId="27905CAE" w14:textId="1D479933" w:rsidR="00DB264C" w:rsidRDefault="00897352" w:rsidP="00DB264C">
      <w:pPr>
        <w:spacing w:after="0"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5ECD0B7F" wp14:editId="6B7D2725">
            <wp:extent cx="6845935" cy="2773045"/>
            <wp:effectExtent l="0" t="0" r="0" b="8255"/>
            <wp:docPr id="717001897" name="Picture 5" descr="A picture containing circle, astronom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01897" name="Picture 5" descr="A picture containing circle, astronomy&#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45935" cy="2773045"/>
                    </a:xfrm>
                    <a:prstGeom prst="rect">
                      <a:avLst/>
                    </a:prstGeom>
                    <a:noFill/>
                    <a:ln>
                      <a:noFill/>
                    </a:ln>
                  </pic:spPr>
                </pic:pic>
              </a:graphicData>
            </a:graphic>
          </wp:inline>
        </w:drawing>
      </w:r>
    </w:p>
    <w:p w14:paraId="684034DC" w14:textId="10D2F93B" w:rsidR="00DB264C" w:rsidRPr="007E5739" w:rsidRDefault="00DB264C" w:rsidP="00DB264C">
      <w:pPr>
        <w:spacing w:after="0" w:line="480" w:lineRule="auto"/>
        <w:rPr>
          <w:rFonts w:ascii="Times New Roman" w:hAnsi="Times New Roman" w:cs="Times New Roman"/>
          <w:b/>
          <w:bCs/>
        </w:rPr>
      </w:pPr>
      <w:r w:rsidRPr="007E5739">
        <w:rPr>
          <w:rFonts w:ascii="Times New Roman" w:hAnsi="Times New Roman" w:cs="Times New Roman"/>
          <w:b/>
          <w:bCs/>
        </w:rPr>
        <w:t xml:space="preserve">Supplemental Figure 5. Topography plots of </w:t>
      </w:r>
      <w:r>
        <w:rPr>
          <w:rFonts w:ascii="Times New Roman" w:hAnsi="Times New Roman" w:cs="Times New Roman"/>
          <w:b/>
          <w:bCs/>
        </w:rPr>
        <w:t xml:space="preserve">brain </w:t>
      </w:r>
      <w:r w:rsidR="00897352">
        <w:rPr>
          <w:rFonts w:ascii="Times New Roman" w:hAnsi="Times New Roman" w:cs="Times New Roman"/>
          <w:b/>
          <w:bCs/>
        </w:rPr>
        <w:t>activity</w:t>
      </w:r>
      <w:r w:rsidRPr="007E5739">
        <w:rPr>
          <w:rFonts w:ascii="Times New Roman" w:hAnsi="Times New Roman" w:cs="Times New Roman"/>
          <w:b/>
          <w:bCs/>
        </w:rPr>
        <w:t xml:space="preserve"> across patients before and after BCI intervention.</w:t>
      </w:r>
    </w:p>
    <w:p w14:paraId="0238B7DD" w14:textId="60567B8A" w:rsidR="00DB264C" w:rsidRDefault="00DB264C" w:rsidP="00DB264C">
      <w:pPr>
        <w:spacing w:after="0" w:line="480" w:lineRule="auto"/>
        <w:rPr>
          <w:rFonts w:ascii="Times New Roman" w:hAnsi="Times New Roman" w:cs="Times New Roman"/>
        </w:rPr>
      </w:pPr>
      <w:r w:rsidRPr="007E5739">
        <w:rPr>
          <w:rFonts w:ascii="Times New Roman" w:hAnsi="Times New Roman" w:cs="Times New Roman"/>
        </w:rPr>
        <w:t xml:space="preserve">Topography plots of baseline EEG activity for all frequency bands after BCI therapy for all subjects (Top) and for performers and </w:t>
      </w:r>
      <w:r w:rsidR="00CD1A36">
        <w:rPr>
          <w:rFonts w:ascii="Times New Roman" w:hAnsi="Times New Roman" w:cs="Times New Roman"/>
        </w:rPr>
        <w:t xml:space="preserve">VAS pain </w:t>
      </w:r>
      <w:r w:rsidRPr="007E5739">
        <w:rPr>
          <w:rFonts w:ascii="Times New Roman" w:hAnsi="Times New Roman" w:cs="Times New Roman"/>
        </w:rPr>
        <w:t xml:space="preserve">responders (Bottom) z-scored to pre-intervention baseline. </w:t>
      </w:r>
    </w:p>
    <w:p w14:paraId="00F6BF24" w14:textId="77777777" w:rsidR="00897352" w:rsidRDefault="00897352" w:rsidP="00DB264C">
      <w:pPr>
        <w:spacing w:after="0" w:line="480" w:lineRule="auto"/>
        <w:rPr>
          <w:rFonts w:ascii="Times New Roman" w:hAnsi="Times New Roman" w:cs="Times New Roman"/>
        </w:rPr>
      </w:pPr>
    </w:p>
    <w:p w14:paraId="0EBE9FDB" w14:textId="77777777" w:rsidR="00897352" w:rsidRDefault="00897352" w:rsidP="00DB264C">
      <w:pPr>
        <w:spacing w:after="0" w:line="480" w:lineRule="auto"/>
        <w:rPr>
          <w:rFonts w:ascii="Times New Roman" w:hAnsi="Times New Roman" w:cs="Times New Roman"/>
        </w:rPr>
      </w:pPr>
    </w:p>
    <w:p w14:paraId="33A3CEAC" w14:textId="77777777" w:rsidR="00CD1A36" w:rsidRDefault="00CD1A36" w:rsidP="00DB264C">
      <w:pPr>
        <w:spacing w:after="0" w:line="480" w:lineRule="auto"/>
        <w:rPr>
          <w:rFonts w:ascii="Times New Roman" w:hAnsi="Times New Roman" w:cs="Times New Roman"/>
        </w:rPr>
      </w:pPr>
    </w:p>
    <w:p w14:paraId="2E252EB4" w14:textId="77777777" w:rsidR="00897352" w:rsidRDefault="00897352" w:rsidP="00DB264C">
      <w:pPr>
        <w:spacing w:after="0" w:line="480" w:lineRule="auto"/>
        <w:rPr>
          <w:rFonts w:ascii="Times New Roman" w:hAnsi="Times New Roman" w:cs="Times New Roman"/>
        </w:rPr>
      </w:pPr>
    </w:p>
    <w:p w14:paraId="54F247E4" w14:textId="01D2EA13" w:rsidR="00DB264C" w:rsidRDefault="00897352" w:rsidP="00DB264C">
      <w:pPr>
        <w:spacing w:after="0"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136A83D1" wp14:editId="0EDB1748">
            <wp:extent cx="6845935" cy="4025900"/>
            <wp:effectExtent l="0" t="0" r="0" b="0"/>
            <wp:docPr id="702613497" name="Picture 6" descr="A picture containing text, diagram, font,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613497" name="Picture 6" descr="A picture containing text, diagram, font, parallel&#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45935" cy="4025900"/>
                    </a:xfrm>
                    <a:prstGeom prst="rect">
                      <a:avLst/>
                    </a:prstGeom>
                    <a:noFill/>
                    <a:ln>
                      <a:noFill/>
                    </a:ln>
                  </pic:spPr>
                </pic:pic>
              </a:graphicData>
            </a:graphic>
          </wp:inline>
        </w:drawing>
      </w:r>
    </w:p>
    <w:p w14:paraId="6DBCCEEB" w14:textId="77777777" w:rsidR="00DB264C" w:rsidRPr="001538B0" w:rsidRDefault="00DB264C" w:rsidP="00DB264C">
      <w:pPr>
        <w:spacing w:after="0" w:line="480" w:lineRule="auto"/>
        <w:rPr>
          <w:rFonts w:ascii="Times New Roman" w:hAnsi="Times New Roman" w:cs="Times New Roman"/>
          <w:b/>
          <w:bCs/>
        </w:rPr>
      </w:pPr>
      <w:r w:rsidRPr="001538B0">
        <w:rPr>
          <w:rFonts w:ascii="Times New Roman" w:hAnsi="Times New Roman" w:cs="Times New Roman"/>
          <w:b/>
          <w:bCs/>
        </w:rPr>
        <w:t>Supplemental Figure 6. Correlation analysis of non-theta frequencies with pain relief.</w:t>
      </w:r>
    </w:p>
    <w:p w14:paraId="7F5AFD16" w14:textId="77777777" w:rsidR="00DB264C" w:rsidRDefault="00DB264C" w:rsidP="00DB264C">
      <w:pPr>
        <w:spacing w:after="0" w:line="480" w:lineRule="auto"/>
        <w:rPr>
          <w:rFonts w:ascii="Times New Roman" w:hAnsi="Times New Roman" w:cs="Times New Roman"/>
        </w:rPr>
      </w:pPr>
      <w:r w:rsidRPr="007E5739">
        <w:rPr>
          <w:rFonts w:ascii="Times New Roman" w:hAnsi="Times New Roman" w:cs="Times New Roman"/>
        </w:rPr>
        <w:t>Secondary analysis of the relationship between (from left to right) delta, alpha, beta, and gamma modulation strength with BCI performance and pain relief. (First row) Distribution of all BCI sessions across all patients with and without significant modulation of respective frequency bands. The dotted line represents the optimal classification threshold calculated by ROC analysis. The shaded bars represent sessions with significant power modulation relative to the pre-intervention baseline (Spearman correlation, p &lt; 0.05). (Second row) ROC curves demonstrating the true and false positive rates of correct classification of respective frequency modulation by performance value. (Third row) Relationship between respective frequency band modulation strength and pain relief using VAS obtained after each day’s BCI session (Spearman correlation). (Fourth row) Relationship between respective frequency band modulation strength and pain relief using VAS obtained before each day’s BCI session (Spearman correlation).</w:t>
      </w:r>
    </w:p>
    <w:p w14:paraId="55A18809" w14:textId="77777777" w:rsidR="00DB264C" w:rsidRDefault="00DB264C" w:rsidP="008A1449">
      <w:pPr>
        <w:ind w:firstLine="720"/>
      </w:pPr>
    </w:p>
    <w:p w14:paraId="344D12C3" w14:textId="77777777" w:rsidR="00897352" w:rsidRDefault="00897352" w:rsidP="008A1449">
      <w:pPr>
        <w:ind w:firstLine="720"/>
      </w:pPr>
    </w:p>
    <w:p w14:paraId="1AA6CAE1" w14:textId="77777777" w:rsidR="00897352" w:rsidRDefault="00897352" w:rsidP="008A1449">
      <w:pPr>
        <w:ind w:firstLine="720"/>
      </w:pPr>
    </w:p>
    <w:p w14:paraId="2840423F" w14:textId="77777777" w:rsidR="00897352" w:rsidRDefault="00897352" w:rsidP="008A1449">
      <w:pPr>
        <w:ind w:firstLine="720"/>
      </w:pPr>
    </w:p>
    <w:p w14:paraId="052741E6" w14:textId="77777777" w:rsidR="00897352" w:rsidRDefault="00897352" w:rsidP="008A1449">
      <w:pPr>
        <w:ind w:firstLine="720"/>
      </w:pPr>
    </w:p>
    <w:p w14:paraId="0380F424" w14:textId="77777777" w:rsidR="00897352" w:rsidRDefault="00897352" w:rsidP="008A1449">
      <w:pPr>
        <w:ind w:firstLine="720"/>
      </w:pPr>
    </w:p>
    <w:p w14:paraId="1CF8D5F9" w14:textId="77777777" w:rsidR="00897352" w:rsidRPr="006A465C" w:rsidRDefault="00897352" w:rsidP="00897352">
      <w:pPr>
        <w:spacing w:after="0" w:line="480" w:lineRule="auto"/>
        <w:rPr>
          <w:rFonts w:ascii="Times New Roman" w:hAnsi="Times New Roman" w:cs="Times New Roman"/>
          <w:sz w:val="16"/>
          <w:szCs w:val="16"/>
        </w:rPr>
      </w:pPr>
      <w:r>
        <w:rPr>
          <w:rFonts w:ascii="Times New Roman" w:hAnsi="Times New Roman" w:cs="Times New Roman"/>
        </w:rPr>
        <w:lastRenderedPageBreak/>
        <w:t>S</w:t>
      </w:r>
      <w:r w:rsidRPr="00F935B9">
        <w:rPr>
          <w:rFonts w:ascii="Times New Roman" w:hAnsi="Times New Roman" w:cs="Times New Roman"/>
        </w:rPr>
        <w:t>upplementary</w:t>
      </w:r>
      <w:r>
        <w:rPr>
          <w:rFonts w:ascii="Times New Roman" w:hAnsi="Times New Roman" w:cs="Times New Roman"/>
        </w:rPr>
        <w:t xml:space="preserve"> Table 1. Patient primary and secondary outcome measures. Bottom set contains scores for all sub-scores of NPSI.</w:t>
      </w:r>
    </w:p>
    <w:p w14:paraId="113569BB" w14:textId="77777777" w:rsidR="00897352" w:rsidRPr="006A465C" w:rsidRDefault="00897352" w:rsidP="00897352">
      <w:pPr>
        <w:spacing w:after="0"/>
        <w:rPr>
          <w:rFonts w:ascii="Times New Roman" w:hAnsi="Times New Roman" w:cs="Times New Roman"/>
          <w:sz w:val="16"/>
          <w:szCs w:val="16"/>
        </w:rPr>
      </w:pPr>
    </w:p>
    <w:tbl>
      <w:tblPr>
        <w:tblW w:w="13866" w:type="dxa"/>
        <w:tblLook w:val="04A0" w:firstRow="1" w:lastRow="0" w:firstColumn="1" w:lastColumn="0" w:noHBand="0" w:noVBand="1"/>
      </w:tblPr>
      <w:tblGrid>
        <w:gridCol w:w="1060"/>
        <w:gridCol w:w="830"/>
        <w:gridCol w:w="756"/>
        <w:gridCol w:w="636"/>
        <w:gridCol w:w="720"/>
        <w:gridCol w:w="759"/>
        <w:gridCol w:w="671"/>
        <w:gridCol w:w="756"/>
        <w:gridCol w:w="756"/>
        <w:gridCol w:w="1225"/>
        <w:gridCol w:w="1378"/>
        <w:gridCol w:w="5676"/>
      </w:tblGrid>
      <w:tr w:rsidR="00897352" w:rsidRPr="006A465C" w14:paraId="65BCD8C0" w14:textId="77777777" w:rsidTr="004E6736">
        <w:trPr>
          <w:trHeight w:val="340"/>
        </w:trPr>
        <w:tc>
          <w:tcPr>
            <w:tcW w:w="1060" w:type="dxa"/>
            <w:tcBorders>
              <w:top w:val="nil"/>
              <w:left w:val="nil"/>
              <w:bottom w:val="nil"/>
              <w:right w:val="nil"/>
            </w:tcBorders>
            <w:shd w:val="clear" w:color="auto" w:fill="auto"/>
            <w:noWrap/>
            <w:vAlign w:val="bottom"/>
            <w:hideMark/>
          </w:tcPr>
          <w:p w14:paraId="4925EE38" w14:textId="77777777" w:rsidR="00897352" w:rsidRPr="006A465C" w:rsidRDefault="00897352" w:rsidP="004E6736">
            <w:pPr>
              <w:spacing w:after="0" w:line="240" w:lineRule="auto"/>
              <w:rPr>
                <w:rFonts w:ascii="Times New Roman" w:eastAsia="Times New Roman" w:hAnsi="Times New Roman" w:cs="Times New Roman"/>
                <w:sz w:val="24"/>
                <w:szCs w:val="24"/>
              </w:rPr>
            </w:pPr>
          </w:p>
        </w:tc>
        <w:tc>
          <w:tcPr>
            <w:tcW w:w="1550"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F30B887" w14:textId="77777777" w:rsidR="00897352" w:rsidRPr="006A465C" w:rsidRDefault="00897352" w:rsidP="004E6736">
            <w:pPr>
              <w:spacing w:after="0" w:line="240" w:lineRule="auto"/>
              <w:jc w:val="center"/>
              <w:rPr>
                <w:rFonts w:ascii="Times New Roman" w:eastAsia="Times New Roman" w:hAnsi="Times New Roman" w:cs="Times New Roman"/>
                <w:b/>
                <w:bCs/>
                <w:color w:val="000000"/>
                <w:sz w:val="24"/>
                <w:szCs w:val="24"/>
              </w:rPr>
            </w:pPr>
            <w:r w:rsidRPr="006A465C">
              <w:rPr>
                <w:rFonts w:ascii="Times New Roman" w:eastAsia="Times New Roman" w:hAnsi="Times New Roman" w:cs="Times New Roman"/>
                <w:b/>
                <w:bCs/>
                <w:color w:val="000000"/>
                <w:sz w:val="24"/>
                <w:szCs w:val="24"/>
              </w:rPr>
              <w:t>V</w:t>
            </w:r>
            <w:r>
              <w:rPr>
                <w:rFonts w:ascii="Times New Roman" w:eastAsia="Times New Roman" w:hAnsi="Times New Roman" w:cs="Times New Roman"/>
                <w:b/>
                <w:bCs/>
                <w:color w:val="000000"/>
                <w:sz w:val="24"/>
                <w:szCs w:val="24"/>
              </w:rPr>
              <w:t>AS</w:t>
            </w:r>
          </w:p>
          <w:p w14:paraId="1B23F93F" w14:textId="77777777" w:rsidR="00897352" w:rsidRPr="006A465C" w:rsidRDefault="00897352" w:rsidP="004E6736">
            <w:pPr>
              <w:spacing w:after="0" w:line="240" w:lineRule="auto"/>
              <w:jc w:val="center"/>
              <w:rPr>
                <w:rFonts w:ascii="Times New Roman" w:eastAsia="Times New Roman" w:hAnsi="Times New Roman" w:cs="Times New Roman"/>
                <w:b/>
                <w:bCs/>
                <w:color w:val="000000"/>
                <w:sz w:val="24"/>
                <w:szCs w:val="24"/>
              </w:rPr>
            </w:pPr>
            <w:r w:rsidRPr="006A465C">
              <w:rPr>
                <w:rFonts w:ascii="Times New Roman" w:eastAsia="Times New Roman" w:hAnsi="Times New Roman" w:cs="Times New Roman"/>
                <w:b/>
                <w:bCs/>
                <w:color w:val="000000"/>
                <w:sz w:val="24"/>
                <w:szCs w:val="24"/>
              </w:rPr>
              <w:t> </w:t>
            </w:r>
          </w:p>
        </w:tc>
        <w:tc>
          <w:tcPr>
            <w:tcW w:w="1350" w:type="dxa"/>
            <w:gridSpan w:val="2"/>
            <w:tcBorders>
              <w:top w:val="single" w:sz="8" w:space="0" w:color="auto"/>
              <w:left w:val="nil"/>
              <w:bottom w:val="single" w:sz="8" w:space="0" w:color="auto"/>
              <w:right w:val="single" w:sz="8" w:space="0" w:color="auto"/>
            </w:tcBorders>
            <w:shd w:val="clear" w:color="auto" w:fill="auto"/>
            <w:noWrap/>
            <w:vAlign w:val="bottom"/>
            <w:hideMark/>
          </w:tcPr>
          <w:p w14:paraId="4E1DB66F" w14:textId="77777777" w:rsidR="00897352" w:rsidRPr="006A465C" w:rsidRDefault="00897352" w:rsidP="004E6736">
            <w:pPr>
              <w:spacing w:after="0" w:line="240" w:lineRule="auto"/>
              <w:jc w:val="center"/>
              <w:rPr>
                <w:rFonts w:ascii="Times New Roman" w:eastAsia="Times New Roman" w:hAnsi="Times New Roman" w:cs="Times New Roman"/>
                <w:b/>
                <w:bCs/>
                <w:color w:val="000000"/>
                <w:sz w:val="24"/>
                <w:szCs w:val="24"/>
              </w:rPr>
            </w:pPr>
            <w:r w:rsidRPr="006A465C">
              <w:rPr>
                <w:rFonts w:ascii="Times New Roman" w:eastAsia="Times New Roman" w:hAnsi="Times New Roman" w:cs="Times New Roman"/>
                <w:b/>
                <w:bCs/>
                <w:color w:val="000000"/>
                <w:sz w:val="24"/>
                <w:szCs w:val="24"/>
              </w:rPr>
              <w:t>PSS</w:t>
            </w:r>
          </w:p>
          <w:p w14:paraId="64ECA447" w14:textId="77777777" w:rsidR="00897352" w:rsidRPr="006A465C" w:rsidRDefault="00897352" w:rsidP="004E6736">
            <w:pPr>
              <w:spacing w:after="0" w:line="240" w:lineRule="auto"/>
              <w:jc w:val="center"/>
              <w:rPr>
                <w:rFonts w:ascii="Times New Roman" w:eastAsia="Times New Roman" w:hAnsi="Times New Roman" w:cs="Times New Roman"/>
                <w:b/>
                <w:bCs/>
                <w:color w:val="000000"/>
                <w:sz w:val="24"/>
                <w:szCs w:val="24"/>
              </w:rPr>
            </w:pPr>
            <w:r w:rsidRPr="006A465C">
              <w:rPr>
                <w:rFonts w:ascii="Times New Roman" w:eastAsia="Times New Roman" w:hAnsi="Times New Roman" w:cs="Times New Roman"/>
                <w:b/>
                <w:bCs/>
                <w:color w:val="000000"/>
                <w:sz w:val="24"/>
                <w:szCs w:val="24"/>
              </w:rPr>
              <w:t> </w:t>
            </w:r>
          </w:p>
        </w:tc>
        <w:tc>
          <w:tcPr>
            <w:tcW w:w="1260" w:type="dxa"/>
            <w:gridSpan w:val="2"/>
            <w:tcBorders>
              <w:top w:val="single" w:sz="8" w:space="0" w:color="auto"/>
              <w:left w:val="nil"/>
              <w:bottom w:val="single" w:sz="8" w:space="0" w:color="auto"/>
              <w:right w:val="single" w:sz="8" w:space="0" w:color="auto"/>
            </w:tcBorders>
            <w:shd w:val="clear" w:color="auto" w:fill="auto"/>
            <w:noWrap/>
            <w:vAlign w:val="bottom"/>
            <w:hideMark/>
          </w:tcPr>
          <w:p w14:paraId="65671D78" w14:textId="77777777" w:rsidR="00897352" w:rsidRPr="006A465C" w:rsidRDefault="00897352" w:rsidP="004E6736">
            <w:pPr>
              <w:spacing w:after="0" w:line="240" w:lineRule="auto"/>
              <w:jc w:val="center"/>
              <w:rPr>
                <w:rFonts w:ascii="Times New Roman" w:eastAsia="Times New Roman" w:hAnsi="Times New Roman" w:cs="Times New Roman"/>
                <w:b/>
                <w:bCs/>
                <w:color w:val="000000"/>
                <w:sz w:val="24"/>
                <w:szCs w:val="24"/>
              </w:rPr>
            </w:pPr>
            <w:r w:rsidRPr="006A465C">
              <w:rPr>
                <w:rFonts w:ascii="Times New Roman" w:eastAsia="Times New Roman" w:hAnsi="Times New Roman" w:cs="Times New Roman"/>
                <w:b/>
                <w:bCs/>
                <w:color w:val="000000"/>
                <w:sz w:val="24"/>
                <w:szCs w:val="24"/>
              </w:rPr>
              <w:t>PIS</w:t>
            </w:r>
          </w:p>
          <w:p w14:paraId="3FE27117" w14:textId="77777777" w:rsidR="00897352" w:rsidRPr="006A465C" w:rsidRDefault="00897352" w:rsidP="004E6736">
            <w:pPr>
              <w:spacing w:after="0" w:line="240" w:lineRule="auto"/>
              <w:jc w:val="center"/>
              <w:rPr>
                <w:rFonts w:ascii="Times New Roman" w:eastAsia="Times New Roman" w:hAnsi="Times New Roman" w:cs="Times New Roman"/>
                <w:b/>
                <w:bCs/>
                <w:color w:val="000000"/>
                <w:sz w:val="24"/>
                <w:szCs w:val="24"/>
              </w:rPr>
            </w:pPr>
            <w:r w:rsidRPr="006A465C">
              <w:rPr>
                <w:rFonts w:ascii="Times New Roman" w:eastAsia="Times New Roman" w:hAnsi="Times New Roman" w:cs="Times New Roman"/>
                <w:b/>
                <w:bCs/>
                <w:color w:val="000000"/>
                <w:sz w:val="24"/>
                <w:szCs w:val="24"/>
              </w:rPr>
              <w:t> </w:t>
            </w:r>
          </w:p>
        </w:tc>
        <w:tc>
          <w:tcPr>
            <w:tcW w:w="1440" w:type="dxa"/>
            <w:gridSpan w:val="2"/>
            <w:tcBorders>
              <w:top w:val="single" w:sz="8" w:space="0" w:color="auto"/>
              <w:left w:val="nil"/>
              <w:bottom w:val="single" w:sz="8" w:space="0" w:color="auto"/>
              <w:right w:val="single" w:sz="8" w:space="0" w:color="auto"/>
            </w:tcBorders>
            <w:shd w:val="clear" w:color="auto" w:fill="auto"/>
            <w:noWrap/>
            <w:vAlign w:val="bottom"/>
            <w:hideMark/>
          </w:tcPr>
          <w:p w14:paraId="6D1959CB" w14:textId="77777777" w:rsidR="00897352" w:rsidRPr="006A465C" w:rsidRDefault="00897352" w:rsidP="004E6736">
            <w:pPr>
              <w:spacing w:after="0" w:line="240" w:lineRule="auto"/>
              <w:jc w:val="center"/>
              <w:rPr>
                <w:rFonts w:ascii="Times New Roman" w:eastAsia="Times New Roman" w:hAnsi="Times New Roman" w:cs="Times New Roman"/>
                <w:b/>
                <w:bCs/>
                <w:color w:val="000000"/>
                <w:sz w:val="24"/>
                <w:szCs w:val="24"/>
              </w:rPr>
            </w:pPr>
            <w:r w:rsidRPr="006A465C">
              <w:rPr>
                <w:rFonts w:ascii="Times New Roman" w:eastAsia="Times New Roman" w:hAnsi="Times New Roman" w:cs="Times New Roman"/>
                <w:b/>
                <w:bCs/>
                <w:color w:val="000000"/>
                <w:sz w:val="24"/>
                <w:szCs w:val="24"/>
              </w:rPr>
              <w:t>NPSI</w:t>
            </w:r>
          </w:p>
          <w:p w14:paraId="0096A3CE" w14:textId="77777777" w:rsidR="00897352" w:rsidRPr="006A465C" w:rsidRDefault="00897352" w:rsidP="004E6736">
            <w:pPr>
              <w:spacing w:after="0" w:line="240" w:lineRule="auto"/>
              <w:jc w:val="center"/>
              <w:rPr>
                <w:rFonts w:ascii="Times New Roman" w:eastAsia="Times New Roman" w:hAnsi="Times New Roman" w:cs="Times New Roman"/>
                <w:b/>
                <w:bCs/>
                <w:color w:val="000000"/>
                <w:sz w:val="24"/>
                <w:szCs w:val="24"/>
              </w:rPr>
            </w:pPr>
            <w:r w:rsidRPr="006A465C">
              <w:rPr>
                <w:rFonts w:ascii="Times New Roman" w:eastAsia="Times New Roman" w:hAnsi="Times New Roman" w:cs="Times New Roman"/>
                <w:b/>
                <w:bCs/>
                <w:color w:val="000000"/>
                <w:sz w:val="24"/>
                <w:szCs w:val="24"/>
              </w:rPr>
              <w:t> </w:t>
            </w:r>
          </w:p>
        </w:tc>
        <w:tc>
          <w:tcPr>
            <w:tcW w:w="1530" w:type="dxa"/>
            <w:gridSpan w:val="2"/>
            <w:tcBorders>
              <w:top w:val="nil"/>
              <w:left w:val="nil"/>
              <w:bottom w:val="nil"/>
              <w:right w:val="nil"/>
            </w:tcBorders>
            <w:shd w:val="clear" w:color="auto" w:fill="auto"/>
            <w:noWrap/>
            <w:vAlign w:val="bottom"/>
            <w:hideMark/>
          </w:tcPr>
          <w:p w14:paraId="2E16CE69" w14:textId="77777777" w:rsidR="00897352" w:rsidRPr="006A465C" w:rsidRDefault="00897352" w:rsidP="004E6736">
            <w:pPr>
              <w:spacing w:after="0" w:line="240" w:lineRule="auto"/>
              <w:jc w:val="center"/>
              <w:rPr>
                <w:rFonts w:ascii="Times New Roman" w:eastAsia="Times New Roman" w:hAnsi="Times New Roman" w:cs="Times New Roman"/>
                <w:b/>
                <w:bCs/>
                <w:color w:val="000000"/>
                <w:sz w:val="24"/>
                <w:szCs w:val="24"/>
              </w:rPr>
            </w:pPr>
          </w:p>
        </w:tc>
        <w:tc>
          <w:tcPr>
            <w:tcW w:w="5676" w:type="dxa"/>
            <w:tcBorders>
              <w:top w:val="nil"/>
              <w:left w:val="nil"/>
              <w:bottom w:val="nil"/>
              <w:right w:val="nil"/>
            </w:tcBorders>
            <w:shd w:val="clear" w:color="auto" w:fill="auto"/>
            <w:noWrap/>
            <w:vAlign w:val="bottom"/>
            <w:hideMark/>
          </w:tcPr>
          <w:p w14:paraId="3BF94AF1" w14:textId="77777777" w:rsidR="00897352" w:rsidRPr="006A465C" w:rsidRDefault="00897352" w:rsidP="004E6736">
            <w:pPr>
              <w:spacing w:after="0" w:line="240" w:lineRule="auto"/>
              <w:rPr>
                <w:rFonts w:ascii="Times New Roman" w:eastAsia="Times New Roman" w:hAnsi="Times New Roman" w:cs="Times New Roman"/>
                <w:sz w:val="24"/>
                <w:szCs w:val="24"/>
              </w:rPr>
            </w:pPr>
          </w:p>
        </w:tc>
      </w:tr>
      <w:tr w:rsidR="00897352" w:rsidRPr="006A465C" w14:paraId="218E8A0A" w14:textId="77777777" w:rsidTr="004E6736">
        <w:trPr>
          <w:trHeight w:val="340"/>
        </w:trPr>
        <w:tc>
          <w:tcPr>
            <w:tcW w:w="1060" w:type="dxa"/>
            <w:tcBorders>
              <w:top w:val="single" w:sz="8" w:space="0" w:color="auto"/>
              <w:left w:val="single" w:sz="8" w:space="0" w:color="auto"/>
              <w:bottom w:val="single" w:sz="8" w:space="0" w:color="auto"/>
              <w:right w:val="nil"/>
            </w:tcBorders>
            <w:shd w:val="clear" w:color="auto" w:fill="auto"/>
            <w:noWrap/>
            <w:vAlign w:val="bottom"/>
            <w:hideMark/>
          </w:tcPr>
          <w:p w14:paraId="18D43424" w14:textId="77777777" w:rsidR="00897352" w:rsidRPr="006A465C" w:rsidRDefault="00897352" w:rsidP="004E6736">
            <w:pPr>
              <w:spacing w:after="0" w:line="240" w:lineRule="auto"/>
              <w:jc w:val="center"/>
              <w:rPr>
                <w:rFonts w:ascii="Times New Roman" w:eastAsia="Times New Roman" w:hAnsi="Times New Roman" w:cs="Times New Roman"/>
                <w:b/>
                <w:bCs/>
                <w:color w:val="000000"/>
                <w:sz w:val="24"/>
                <w:szCs w:val="24"/>
              </w:rPr>
            </w:pPr>
            <w:r w:rsidRPr="006A465C">
              <w:rPr>
                <w:rFonts w:ascii="Times New Roman" w:eastAsia="Times New Roman" w:hAnsi="Times New Roman" w:cs="Times New Roman"/>
                <w:b/>
                <w:bCs/>
                <w:color w:val="000000"/>
                <w:sz w:val="24"/>
                <w:szCs w:val="24"/>
              </w:rPr>
              <w:t>Patient</w:t>
            </w:r>
          </w:p>
        </w:tc>
        <w:tc>
          <w:tcPr>
            <w:tcW w:w="830" w:type="dxa"/>
            <w:tcBorders>
              <w:top w:val="nil"/>
              <w:left w:val="single" w:sz="8" w:space="0" w:color="auto"/>
              <w:bottom w:val="nil"/>
              <w:right w:val="nil"/>
            </w:tcBorders>
            <w:shd w:val="clear" w:color="000000" w:fill="D0CECE"/>
            <w:noWrap/>
            <w:vAlign w:val="bottom"/>
            <w:hideMark/>
          </w:tcPr>
          <w:p w14:paraId="1FE0FC42" w14:textId="77777777" w:rsidR="00897352" w:rsidRPr="006A465C" w:rsidRDefault="00897352" w:rsidP="004E6736">
            <w:pPr>
              <w:spacing w:after="0" w:line="240" w:lineRule="auto"/>
              <w:jc w:val="center"/>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Pre</w:t>
            </w:r>
          </w:p>
        </w:tc>
        <w:tc>
          <w:tcPr>
            <w:tcW w:w="720" w:type="dxa"/>
            <w:tcBorders>
              <w:top w:val="nil"/>
              <w:left w:val="nil"/>
              <w:bottom w:val="nil"/>
              <w:right w:val="single" w:sz="8" w:space="0" w:color="auto"/>
            </w:tcBorders>
            <w:shd w:val="clear" w:color="auto" w:fill="auto"/>
            <w:noWrap/>
            <w:vAlign w:val="bottom"/>
            <w:hideMark/>
          </w:tcPr>
          <w:p w14:paraId="153A25C7" w14:textId="77777777" w:rsidR="00897352" w:rsidRPr="006A465C" w:rsidRDefault="00897352" w:rsidP="004E6736">
            <w:pPr>
              <w:spacing w:after="0" w:line="240" w:lineRule="auto"/>
              <w:jc w:val="center"/>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Post</w:t>
            </w:r>
          </w:p>
        </w:tc>
        <w:tc>
          <w:tcPr>
            <w:tcW w:w="630" w:type="dxa"/>
            <w:tcBorders>
              <w:top w:val="nil"/>
              <w:left w:val="nil"/>
              <w:bottom w:val="single" w:sz="8" w:space="0" w:color="auto"/>
              <w:right w:val="nil"/>
            </w:tcBorders>
            <w:shd w:val="clear" w:color="000000" w:fill="D0CECE"/>
            <w:noWrap/>
            <w:vAlign w:val="bottom"/>
            <w:hideMark/>
          </w:tcPr>
          <w:p w14:paraId="72C806CD" w14:textId="77777777" w:rsidR="00897352" w:rsidRPr="006A465C" w:rsidRDefault="00897352" w:rsidP="004E6736">
            <w:pPr>
              <w:spacing w:after="0" w:line="240" w:lineRule="auto"/>
              <w:jc w:val="center"/>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Pre</w:t>
            </w:r>
          </w:p>
        </w:tc>
        <w:tc>
          <w:tcPr>
            <w:tcW w:w="720" w:type="dxa"/>
            <w:tcBorders>
              <w:top w:val="nil"/>
              <w:left w:val="nil"/>
              <w:bottom w:val="single" w:sz="8" w:space="0" w:color="auto"/>
              <w:right w:val="single" w:sz="8" w:space="0" w:color="auto"/>
            </w:tcBorders>
            <w:shd w:val="clear" w:color="auto" w:fill="auto"/>
            <w:noWrap/>
            <w:vAlign w:val="bottom"/>
            <w:hideMark/>
          </w:tcPr>
          <w:p w14:paraId="7EB9D98F" w14:textId="77777777" w:rsidR="00897352" w:rsidRPr="006A465C" w:rsidRDefault="00897352" w:rsidP="004E6736">
            <w:pPr>
              <w:spacing w:after="0" w:line="240" w:lineRule="auto"/>
              <w:jc w:val="center"/>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Post</w:t>
            </w:r>
          </w:p>
        </w:tc>
        <w:tc>
          <w:tcPr>
            <w:tcW w:w="720" w:type="dxa"/>
            <w:tcBorders>
              <w:top w:val="nil"/>
              <w:left w:val="nil"/>
              <w:bottom w:val="single" w:sz="8" w:space="0" w:color="auto"/>
              <w:right w:val="nil"/>
            </w:tcBorders>
            <w:shd w:val="clear" w:color="000000" w:fill="D0CECE"/>
            <w:noWrap/>
            <w:vAlign w:val="bottom"/>
            <w:hideMark/>
          </w:tcPr>
          <w:p w14:paraId="3ADC4327" w14:textId="77777777" w:rsidR="00897352" w:rsidRPr="006A465C" w:rsidRDefault="00897352" w:rsidP="004E6736">
            <w:pPr>
              <w:spacing w:after="0" w:line="240" w:lineRule="auto"/>
              <w:jc w:val="center"/>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Pre</w:t>
            </w:r>
          </w:p>
        </w:tc>
        <w:tc>
          <w:tcPr>
            <w:tcW w:w="540" w:type="dxa"/>
            <w:tcBorders>
              <w:top w:val="nil"/>
              <w:left w:val="nil"/>
              <w:bottom w:val="single" w:sz="8" w:space="0" w:color="auto"/>
              <w:right w:val="single" w:sz="8" w:space="0" w:color="auto"/>
            </w:tcBorders>
            <w:shd w:val="clear" w:color="auto" w:fill="auto"/>
            <w:noWrap/>
            <w:vAlign w:val="bottom"/>
            <w:hideMark/>
          </w:tcPr>
          <w:p w14:paraId="2F0900EB" w14:textId="77777777" w:rsidR="00897352" w:rsidRPr="006A465C" w:rsidRDefault="00897352" w:rsidP="004E6736">
            <w:pPr>
              <w:spacing w:after="0" w:line="240" w:lineRule="auto"/>
              <w:jc w:val="center"/>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Post</w:t>
            </w:r>
          </w:p>
        </w:tc>
        <w:tc>
          <w:tcPr>
            <w:tcW w:w="720" w:type="dxa"/>
            <w:tcBorders>
              <w:top w:val="nil"/>
              <w:left w:val="nil"/>
              <w:bottom w:val="single" w:sz="8" w:space="0" w:color="auto"/>
              <w:right w:val="nil"/>
            </w:tcBorders>
            <w:shd w:val="clear" w:color="000000" w:fill="D0CECE"/>
            <w:noWrap/>
            <w:vAlign w:val="bottom"/>
            <w:hideMark/>
          </w:tcPr>
          <w:p w14:paraId="0774F15F" w14:textId="77777777" w:rsidR="00897352" w:rsidRPr="006A465C" w:rsidRDefault="00897352" w:rsidP="004E6736">
            <w:pPr>
              <w:spacing w:after="0" w:line="240" w:lineRule="auto"/>
              <w:jc w:val="center"/>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Pre</w:t>
            </w:r>
          </w:p>
        </w:tc>
        <w:tc>
          <w:tcPr>
            <w:tcW w:w="720" w:type="dxa"/>
            <w:tcBorders>
              <w:top w:val="nil"/>
              <w:left w:val="nil"/>
              <w:bottom w:val="single" w:sz="8" w:space="0" w:color="auto"/>
              <w:right w:val="single" w:sz="8" w:space="0" w:color="auto"/>
            </w:tcBorders>
            <w:shd w:val="clear" w:color="auto" w:fill="auto"/>
            <w:noWrap/>
            <w:vAlign w:val="bottom"/>
            <w:hideMark/>
          </w:tcPr>
          <w:p w14:paraId="2C5C6D41" w14:textId="77777777" w:rsidR="00897352" w:rsidRPr="006A465C" w:rsidRDefault="00897352" w:rsidP="004E6736">
            <w:pPr>
              <w:spacing w:after="0" w:line="240" w:lineRule="auto"/>
              <w:jc w:val="center"/>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Post</w:t>
            </w:r>
          </w:p>
        </w:tc>
        <w:tc>
          <w:tcPr>
            <w:tcW w:w="1530" w:type="dxa"/>
            <w:gridSpan w:val="2"/>
            <w:tcBorders>
              <w:top w:val="nil"/>
              <w:left w:val="nil"/>
              <w:bottom w:val="nil"/>
              <w:right w:val="nil"/>
            </w:tcBorders>
            <w:shd w:val="clear" w:color="auto" w:fill="auto"/>
            <w:noWrap/>
            <w:vAlign w:val="bottom"/>
            <w:hideMark/>
          </w:tcPr>
          <w:p w14:paraId="70D822BD" w14:textId="77777777" w:rsidR="00897352" w:rsidRPr="006A465C" w:rsidRDefault="00897352" w:rsidP="004E6736">
            <w:pPr>
              <w:spacing w:after="0" w:line="240" w:lineRule="auto"/>
              <w:jc w:val="center"/>
              <w:rPr>
                <w:rFonts w:ascii="Times New Roman" w:eastAsia="Times New Roman" w:hAnsi="Times New Roman" w:cs="Times New Roman"/>
                <w:color w:val="000000"/>
                <w:sz w:val="24"/>
                <w:szCs w:val="24"/>
              </w:rPr>
            </w:pPr>
          </w:p>
        </w:tc>
        <w:tc>
          <w:tcPr>
            <w:tcW w:w="5676" w:type="dxa"/>
            <w:tcBorders>
              <w:top w:val="nil"/>
              <w:left w:val="nil"/>
              <w:bottom w:val="nil"/>
              <w:right w:val="nil"/>
            </w:tcBorders>
            <w:shd w:val="clear" w:color="auto" w:fill="auto"/>
            <w:noWrap/>
            <w:vAlign w:val="bottom"/>
            <w:hideMark/>
          </w:tcPr>
          <w:p w14:paraId="2EB99B7B" w14:textId="77777777" w:rsidR="00897352" w:rsidRPr="006A465C" w:rsidRDefault="00897352" w:rsidP="004E6736">
            <w:pPr>
              <w:spacing w:after="0" w:line="240" w:lineRule="auto"/>
              <w:rPr>
                <w:rFonts w:ascii="Times New Roman" w:eastAsia="Times New Roman" w:hAnsi="Times New Roman" w:cs="Times New Roman"/>
                <w:sz w:val="24"/>
                <w:szCs w:val="24"/>
              </w:rPr>
            </w:pPr>
          </w:p>
        </w:tc>
      </w:tr>
      <w:tr w:rsidR="00897352" w:rsidRPr="006A465C" w14:paraId="47798EE2" w14:textId="77777777" w:rsidTr="004E6736">
        <w:trPr>
          <w:trHeight w:val="320"/>
        </w:trPr>
        <w:tc>
          <w:tcPr>
            <w:tcW w:w="1060" w:type="dxa"/>
            <w:tcBorders>
              <w:top w:val="nil"/>
              <w:left w:val="single" w:sz="8" w:space="0" w:color="auto"/>
              <w:bottom w:val="nil"/>
              <w:right w:val="nil"/>
            </w:tcBorders>
            <w:shd w:val="clear" w:color="auto" w:fill="auto"/>
            <w:noWrap/>
            <w:vAlign w:val="bottom"/>
            <w:hideMark/>
          </w:tcPr>
          <w:p w14:paraId="745258A1"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1</w:t>
            </w:r>
          </w:p>
        </w:tc>
        <w:tc>
          <w:tcPr>
            <w:tcW w:w="830" w:type="dxa"/>
            <w:tcBorders>
              <w:top w:val="single" w:sz="8" w:space="0" w:color="auto"/>
              <w:left w:val="single" w:sz="8" w:space="0" w:color="auto"/>
              <w:bottom w:val="nil"/>
              <w:right w:val="nil"/>
            </w:tcBorders>
            <w:shd w:val="clear" w:color="000000" w:fill="D0CECE"/>
            <w:noWrap/>
            <w:vAlign w:val="bottom"/>
            <w:hideMark/>
          </w:tcPr>
          <w:p w14:paraId="161EFEC5"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72.00</w:t>
            </w:r>
          </w:p>
        </w:tc>
        <w:tc>
          <w:tcPr>
            <w:tcW w:w="720" w:type="dxa"/>
            <w:tcBorders>
              <w:top w:val="single" w:sz="8" w:space="0" w:color="auto"/>
              <w:left w:val="nil"/>
              <w:bottom w:val="nil"/>
              <w:right w:val="single" w:sz="8" w:space="0" w:color="auto"/>
            </w:tcBorders>
            <w:shd w:val="clear" w:color="auto" w:fill="auto"/>
            <w:noWrap/>
            <w:vAlign w:val="bottom"/>
            <w:hideMark/>
          </w:tcPr>
          <w:p w14:paraId="3E207CCB"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61.00</w:t>
            </w:r>
          </w:p>
        </w:tc>
        <w:tc>
          <w:tcPr>
            <w:tcW w:w="630" w:type="dxa"/>
            <w:tcBorders>
              <w:top w:val="nil"/>
              <w:left w:val="nil"/>
              <w:bottom w:val="nil"/>
              <w:right w:val="nil"/>
            </w:tcBorders>
            <w:shd w:val="clear" w:color="000000" w:fill="D0CECE"/>
            <w:noWrap/>
            <w:vAlign w:val="bottom"/>
            <w:hideMark/>
          </w:tcPr>
          <w:p w14:paraId="7F605E8B"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7.00</w:t>
            </w:r>
          </w:p>
        </w:tc>
        <w:tc>
          <w:tcPr>
            <w:tcW w:w="720" w:type="dxa"/>
            <w:tcBorders>
              <w:top w:val="nil"/>
              <w:left w:val="nil"/>
              <w:bottom w:val="nil"/>
              <w:right w:val="single" w:sz="8" w:space="0" w:color="auto"/>
            </w:tcBorders>
            <w:shd w:val="clear" w:color="auto" w:fill="auto"/>
            <w:noWrap/>
            <w:vAlign w:val="bottom"/>
            <w:hideMark/>
          </w:tcPr>
          <w:p w14:paraId="2F1802CB"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5.67</w:t>
            </w:r>
          </w:p>
        </w:tc>
        <w:tc>
          <w:tcPr>
            <w:tcW w:w="720" w:type="dxa"/>
            <w:tcBorders>
              <w:top w:val="nil"/>
              <w:left w:val="nil"/>
              <w:bottom w:val="nil"/>
              <w:right w:val="nil"/>
            </w:tcBorders>
            <w:shd w:val="clear" w:color="000000" w:fill="D0CECE"/>
            <w:noWrap/>
            <w:vAlign w:val="bottom"/>
            <w:hideMark/>
          </w:tcPr>
          <w:p w14:paraId="472FE8CF"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7.00</w:t>
            </w:r>
          </w:p>
        </w:tc>
        <w:tc>
          <w:tcPr>
            <w:tcW w:w="540" w:type="dxa"/>
            <w:tcBorders>
              <w:top w:val="nil"/>
              <w:left w:val="nil"/>
              <w:bottom w:val="nil"/>
              <w:right w:val="single" w:sz="8" w:space="0" w:color="auto"/>
            </w:tcBorders>
            <w:shd w:val="clear" w:color="auto" w:fill="auto"/>
            <w:noWrap/>
            <w:vAlign w:val="bottom"/>
            <w:hideMark/>
          </w:tcPr>
          <w:p w14:paraId="1403167B"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5.29</w:t>
            </w:r>
          </w:p>
        </w:tc>
        <w:tc>
          <w:tcPr>
            <w:tcW w:w="720" w:type="dxa"/>
            <w:tcBorders>
              <w:top w:val="nil"/>
              <w:left w:val="nil"/>
              <w:bottom w:val="nil"/>
              <w:right w:val="nil"/>
            </w:tcBorders>
            <w:shd w:val="clear" w:color="000000" w:fill="D0CECE"/>
            <w:noWrap/>
            <w:vAlign w:val="bottom"/>
            <w:hideMark/>
          </w:tcPr>
          <w:p w14:paraId="558238E2"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33.50</w:t>
            </w:r>
          </w:p>
        </w:tc>
        <w:tc>
          <w:tcPr>
            <w:tcW w:w="720" w:type="dxa"/>
            <w:tcBorders>
              <w:top w:val="nil"/>
              <w:left w:val="nil"/>
              <w:bottom w:val="nil"/>
              <w:right w:val="single" w:sz="8" w:space="0" w:color="auto"/>
            </w:tcBorders>
            <w:shd w:val="clear" w:color="auto" w:fill="auto"/>
            <w:noWrap/>
            <w:vAlign w:val="bottom"/>
            <w:hideMark/>
          </w:tcPr>
          <w:p w14:paraId="7FCD2BE3"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37.00</w:t>
            </w:r>
          </w:p>
        </w:tc>
        <w:tc>
          <w:tcPr>
            <w:tcW w:w="1530" w:type="dxa"/>
            <w:gridSpan w:val="2"/>
            <w:tcBorders>
              <w:top w:val="nil"/>
              <w:left w:val="nil"/>
              <w:bottom w:val="nil"/>
              <w:right w:val="nil"/>
            </w:tcBorders>
            <w:shd w:val="clear" w:color="auto" w:fill="auto"/>
            <w:noWrap/>
            <w:vAlign w:val="bottom"/>
            <w:hideMark/>
          </w:tcPr>
          <w:p w14:paraId="7D1991FB"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p>
        </w:tc>
        <w:tc>
          <w:tcPr>
            <w:tcW w:w="5676" w:type="dxa"/>
            <w:tcBorders>
              <w:top w:val="nil"/>
              <w:left w:val="nil"/>
              <w:bottom w:val="nil"/>
              <w:right w:val="nil"/>
            </w:tcBorders>
            <w:shd w:val="clear" w:color="auto" w:fill="auto"/>
            <w:noWrap/>
            <w:vAlign w:val="bottom"/>
            <w:hideMark/>
          </w:tcPr>
          <w:p w14:paraId="59024763" w14:textId="77777777" w:rsidR="00897352" w:rsidRPr="006A465C" w:rsidRDefault="00897352" w:rsidP="004E6736">
            <w:pPr>
              <w:spacing w:after="0" w:line="240" w:lineRule="auto"/>
              <w:rPr>
                <w:rFonts w:ascii="Times New Roman" w:eastAsia="Times New Roman" w:hAnsi="Times New Roman" w:cs="Times New Roman"/>
                <w:sz w:val="24"/>
                <w:szCs w:val="24"/>
              </w:rPr>
            </w:pPr>
          </w:p>
        </w:tc>
      </w:tr>
      <w:tr w:rsidR="00897352" w:rsidRPr="006A465C" w14:paraId="37634202" w14:textId="77777777" w:rsidTr="004E6736">
        <w:trPr>
          <w:trHeight w:val="320"/>
        </w:trPr>
        <w:tc>
          <w:tcPr>
            <w:tcW w:w="1060" w:type="dxa"/>
            <w:tcBorders>
              <w:top w:val="nil"/>
              <w:left w:val="single" w:sz="8" w:space="0" w:color="auto"/>
              <w:bottom w:val="nil"/>
              <w:right w:val="nil"/>
            </w:tcBorders>
            <w:shd w:val="clear" w:color="auto" w:fill="auto"/>
            <w:noWrap/>
            <w:vAlign w:val="bottom"/>
            <w:hideMark/>
          </w:tcPr>
          <w:p w14:paraId="1D6B5FDA"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2</w:t>
            </w:r>
          </w:p>
        </w:tc>
        <w:tc>
          <w:tcPr>
            <w:tcW w:w="830" w:type="dxa"/>
            <w:tcBorders>
              <w:top w:val="nil"/>
              <w:left w:val="single" w:sz="8" w:space="0" w:color="auto"/>
              <w:bottom w:val="nil"/>
              <w:right w:val="nil"/>
            </w:tcBorders>
            <w:shd w:val="clear" w:color="000000" w:fill="D0CECE"/>
            <w:noWrap/>
            <w:vAlign w:val="bottom"/>
            <w:hideMark/>
          </w:tcPr>
          <w:p w14:paraId="3B48E950"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56.00</w:t>
            </w:r>
          </w:p>
        </w:tc>
        <w:tc>
          <w:tcPr>
            <w:tcW w:w="720" w:type="dxa"/>
            <w:tcBorders>
              <w:top w:val="nil"/>
              <w:left w:val="nil"/>
              <w:bottom w:val="nil"/>
              <w:right w:val="single" w:sz="8" w:space="0" w:color="auto"/>
            </w:tcBorders>
            <w:shd w:val="clear" w:color="auto" w:fill="auto"/>
            <w:noWrap/>
            <w:vAlign w:val="bottom"/>
            <w:hideMark/>
          </w:tcPr>
          <w:p w14:paraId="772B87F6"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38.00</w:t>
            </w:r>
          </w:p>
        </w:tc>
        <w:tc>
          <w:tcPr>
            <w:tcW w:w="630" w:type="dxa"/>
            <w:tcBorders>
              <w:top w:val="nil"/>
              <w:left w:val="nil"/>
              <w:bottom w:val="nil"/>
              <w:right w:val="nil"/>
            </w:tcBorders>
            <w:shd w:val="clear" w:color="000000" w:fill="D0CECE"/>
            <w:noWrap/>
            <w:vAlign w:val="bottom"/>
            <w:hideMark/>
          </w:tcPr>
          <w:p w14:paraId="5C0BE9C4"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9.00</w:t>
            </w:r>
          </w:p>
        </w:tc>
        <w:tc>
          <w:tcPr>
            <w:tcW w:w="720" w:type="dxa"/>
            <w:tcBorders>
              <w:top w:val="nil"/>
              <w:left w:val="nil"/>
              <w:bottom w:val="nil"/>
              <w:right w:val="single" w:sz="8" w:space="0" w:color="auto"/>
            </w:tcBorders>
            <w:shd w:val="clear" w:color="auto" w:fill="auto"/>
            <w:noWrap/>
            <w:vAlign w:val="bottom"/>
            <w:hideMark/>
          </w:tcPr>
          <w:p w14:paraId="5013F8B7"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7.50</w:t>
            </w:r>
          </w:p>
        </w:tc>
        <w:tc>
          <w:tcPr>
            <w:tcW w:w="720" w:type="dxa"/>
            <w:tcBorders>
              <w:top w:val="nil"/>
              <w:left w:val="nil"/>
              <w:bottom w:val="nil"/>
              <w:right w:val="nil"/>
            </w:tcBorders>
            <w:shd w:val="clear" w:color="000000" w:fill="D0CECE"/>
            <w:noWrap/>
            <w:vAlign w:val="bottom"/>
            <w:hideMark/>
          </w:tcPr>
          <w:p w14:paraId="29396FA1"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8.67</w:t>
            </w:r>
          </w:p>
        </w:tc>
        <w:tc>
          <w:tcPr>
            <w:tcW w:w="540" w:type="dxa"/>
            <w:tcBorders>
              <w:top w:val="nil"/>
              <w:left w:val="nil"/>
              <w:bottom w:val="nil"/>
              <w:right w:val="single" w:sz="8" w:space="0" w:color="auto"/>
            </w:tcBorders>
            <w:shd w:val="clear" w:color="auto" w:fill="auto"/>
            <w:noWrap/>
            <w:vAlign w:val="bottom"/>
            <w:hideMark/>
          </w:tcPr>
          <w:p w14:paraId="1B7C4397"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8.00</w:t>
            </w:r>
          </w:p>
        </w:tc>
        <w:tc>
          <w:tcPr>
            <w:tcW w:w="720" w:type="dxa"/>
            <w:tcBorders>
              <w:top w:val="nil"/>
              <w:left w:val="nil"/>
              <w:bottom w:val="nil"/>
              <w:right w:val="nil"/>
            </w:tcBorders>
            <w:shd w:val="clear" w:color="000000" w:fill="D0CECE"/>
            <w:noWrap/>
            <w:vAlign w:val="bottom"/>
            <w:hideMark/>
          </w:tcPr>
          <w:p w14:paraId="0939B201"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41.50</w:t>
            </w:r>
          </w:p>
        </w:tc>
        <w:tc>
          <w:tcPr>
            <w:tcW w:w="720" w:type="dxa"/>
            <w:tcBorders>
              <w:top w:val="nil"/>
              <w:left w:val="nil"/>
              <w:bottom w:val="nil"/>
              <w:right w:val="single" w:sz="8" w:space="0" w:color="auto"/>
            </w:tcBorders>
            <w:shd w:val="clear" w:color="auto" w:fill="auto"/>
            <w:noWrap/>
            <w:vAlign w:val="bottom"/>
            <w:hideMark/>
          </w:tcPr>
          <w:p w14:paraId="056E820B"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37.83</w:t>
            </w:r>
          </w:p>
        </w:tc>
        <w:tc>
          <w:tcPr>
            <w:tcW w:w="1530" w:type="dxa"/>
            <w:gridSpan w:val="2"/>
            <w:tcBorders>
              <w:top w:val="nil"/>
              <w:left w:val="nil"/>
              <w:bottom w:val="nil"/>
              <w:right w:val="nil"/>
            </w:tcBorders>
            <w:shd w:val="clear" w:color="auto" w:fill="auto"/>
            <w:noWrap/>
            <w:vAlign w:val="bottom"/>
            <w:hideMark/>
          </w:tcPr>
          <w:p w14:paraId="7B7FA3E1"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p>
        </w:tc>
        <w:tc>
          <w:tcPr>
            <w:tcW w:w="5676" w:type="dxa"/>
            <w:tcBorders>
              <w:top w:val="nil"/>
              <w:left w:val="nil"/>
              <w:bottom w:val="nil"/>
              <w:right w:val="nil"/>
            </w:tcBorders>
            <w:shd w:val="clear" w:color="auto" w:fill="auto"/>
            <w:noWrap/>
            <w:vAlign w:val="bottom"/>
            <w:hideMark/>
          </w:tcPr>
          <w:p w14:paraId="6ABEDE4E" w14:textId="77777777" w:rsidR="00897352" w:rsidRPr="006A465C" w:rsidRDefault="00897352" w:rsidP="004E6736">
            <w:pPr>
              <w:spacing w:after="0" w:line="240" w:lineRule="auto"/>
              <w:rPr>
                <w:rFonts w:ascii="Times New Roman" w:eastAsia="Times New Roman" w:hAnsi="Times New Roman" w:cs="Times New Roman"/>
                <w:sz w:val="24"/>
                <w:szCs w:val="24"/>
              </w:rPr>
            </w:pPr>
          </w:p>
        </w:tc>
      </w:tr>
      <w:tr w:rsidR="00897352" w:rsidRPr="006A465C" w14:paraId="1B81FB03" w14:textId="77777777" w:rsidTr="004E6736">
        <w:trPr>
          <w:trHeight w:val="320"/>
        </w:trPr>
        <w:tc>
          <w:tcPr>
            <w:tcW w:w="1060" w:type="dxa"/>
            <w:tcBorders>
              <w:top w:val="nil"/>
              <w:left w:val="single" w:sz="8" w:space="0" w:color="auto"/>
              <w:bottom w:val="nil"/>
              <w:right w:val="nil"/>
            </w:tcBorders>
            <w:shd w:val="clear" w:color="auto" w:fill="auto"/>
            <w:noWrap/>
            <w:vAlign w:val="bottom"/>
            <w:hideMark/>
          </w:tcPr>
          <w:p w14:paraId="75E8213D"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3</w:t>
            </w:r>
          </w:p>
        </w:tc>
        <w:tc>
          <w:tcPr>
            <w:tcW w:w="830" w:type="dxa"/>
            <w:tcBorders>
              <w:top w:val="nil"/>
              <w:left w:val="single" w:sz="8" w:space="0" w:color="auto"/>
              <w:bottom w:val="nil"/>
              <w:right w:val="nil"/>
            </w:tcBorders>
            <w:shd w:val="clear" w:color="000000" w:fill="D0CECE"/>
            <w:noWrap/>
            <w:vAlign w:val="bottom"/>
            <w:hideMark/>
          </w:tcPr>
          <w:p w14:paraId="65500B2F"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69.00</w:t>
            </w:r>
          </w:p>
        </w:tc>
        <w:tc>
          <w:tcPr>
            <w:tcW w:w="720" w:type="dxa"/>
            <w:tcBorders>
              <w:top w:val="nil"/>
              <w:left w:val="nil"/>
              <w:bottom w:val="nil"/>
              <w:right w:val="single" w:sz="8" w:space="0" w:color="auto"/>
            </w:tcBorders>
            <w:shd w:val="clear" w:color="auto" w:fill="auto"/>
            <w:noWrap/>
            <w:vAlign w:val="bottom"/>
            <w:hideMark/>
          </w:tcPr>
          <w:p w14:paraId="4AC9E4D0"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28.00</w:t>
            </w:r>
          </w:p>
        </w:tc>
        <w:tc>
          <w:tcPr>
            <w:tcW w:w="630" w:type="dxa"/>
            <w:tcBorders>
              <w:top w:val="nil"/>
              <w:left w:val="nil"/>
              <w:bottom w:val="nil"/>
              <w:right w:val="nil"/>
            </w:tcBorders>
            <w:shd w:val="clear" w:color="000000" w:fill="D0CECE"/>
            <w:noWrap/>
            <w:vAlign w:val="bottom"/>
            <w:hideMark/>
          </w:tcPr>
          <w:p w14:paraId="3E5BD821"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6.35</w:t>
            </w:r>
          </w:p>
        </w:tc>
        <w:tc>
          <w:tcPr>
            <w:tcW w:w="720" w:type="dxa"/>
            <w:tcBorders>
              <w:top w:val="nil"/>
              <w:left w:val="nil"/>
              <w:bottom w:val="nil"/>
              <w:right w:val="single" w:sz="8" w:space="0" w:color="auto"/>
            </w:tcBorders>
            <w:shd w:val="clear" w:color="auto" w:fill="auto"/>
            <w:noWrap/>
            <w:vAlign w:val="bottom"/>
            <w:hideMark/>
          </w:tcPr>
          <w:p w14:paraId="647F3849"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2.50</w:t>
            </w:r>
          </w:p>
        </w:tc>
        <w:tc>
          <w:tcPr>
            <w:tcW w:w="720" w:type="dxa"/>
            <w:tcBorders>
              <w:top w:val="nil"/>
              <w:left w:val="nil"/>
              <w:bottom w:val="nil"/>
              <w:right w:val="nil"/>
            </w:tcBorders>
            <w:shd w:val="clear" w:color="000000" w:fill="D0CECE"/>
            <w:noWrap/>
            <w:vAlign w:val="bottom"/>
            <w:hideMark/>
          </w:tcPr>
          <w:p w14:paraId="7F9F419A"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4.29</w:t>
            </w:r>
          </w:p>
        </w:tc>
        <w:tc>
          <w:tcPr>
            <w:tcW w:w="540" w:type="dxa"/>
            <w:tcBorders>
              <w:top w:val="nil"/>
              <w:left w:val="nil"/>
              <w:bottom w:val="nil"/>
              <w:right w:val="single" w:sz="8" w:space="0" w:color="auto"/>
            </w:tcBorders>
            <w:shd w:val="clear" w:color="auto" w:fill="auto"/>
            <w:noWrap/>
            <w:vAlign w:val="bottom"/>
            <w:hideMark/>
          </w:tcPr>
          <w:p w14:paraId="1BA49F2B"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1.43</w:t>
            </w:r>
          </w:p>
        </w:tc>
        <w:tc>
          <w:tcPr>
            <w:tcW w:w="720" w:type="dxa"/>
            <w:tcBorders>
              <w:top w:val="nil"/>
              <w:left w:val="nil"/>
              <w:bottom w:val="nil"/>
              <w:right w:val="nil"/>
            </w:tcBorders>
            <w:shd w:val="clear" w:color="000000" w:fill="D0CECE"/>
            <w:noWrap/>
            <w:vAlign w:val="bottom"/>
            <w:hideMark/>
          </w:tcPr>
          <w:p w14:paraId="157AEF98"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14.33</w:t>
            </w:r>
          </w:p>
        </w:tc>
        <w:tc>
          <w:tcPr>
            <w:tcW w:w="720" w:type="dxa"/>
            <w:tcBorders>
              <w:top w:val="nil"/>
              <w:left w:val="nil"/>
              <w:bottom w:val="nil"/>
              <w:right w:val="single" w:sz="8" w:space="0" w:color="auto"/>
            </w:tcBorders>
            <w:shd w:val="clear" w:color="auto" w:fill="auto"/>
            <w:noWrap/>
            <w:vAlign w:val="bottom"/>
            <w:hideMark/>
          </w:tcPr>
          <w:p w14:paraId="28464BD3"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3.00</w:t>
            </w:r>
          </w:p>
        </w:tc>
        <w:tc>
          <w:tcPr>
            <w:tcW w:w="1530" w:type="dxa"/>
            <w:gridSpan w:val="2"/>
            <w:tcBorders>
              <w:top w:val="nil"/>
              <w:left w:val="nil"/>
              <w:bottom w:val="nil"/>
              <w:right w:val="nil"/>
            </w:tcBorders>
            <w:shd w:val="clear" w:color="auto" w:fill="auto"/>
            <w:noWrap/>
            <w:vAlign w:val="bottom"/>
            <w:hideMark/>
          </w:tcPr>
          <w:p w14:paraId="2BD79A92"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p>
        </w:tc>
        <w:tc>
          <w:tcPr>
            <w:tcW w:w="5676" w:type="dxa"/>
            <w:tcBorders>
              <w:top w:val="nil"/>
              <w:left w:val="nil"/>
              <w:bottom w:val="nil"/>
              <w:right w:val="nil"/>
            </w:tcBorders>
            <w:shd w:val="clear" w:color="auto" w:fill="auto"/>
            <w:noWrap/>
            <w:vAlign w:val="bottom"/>
            <w:hideMark/>
          </w:tcPr>
          <w:p w14:paraId="0951A05E" w14:textId="77777777" w:rsidR="00897352" w:rsidRPr="006A465C" w:rsidRDefault="00897352" w:rsidP="004E6736">
            <w:pPr>
              <w:spacing w:after="0" w:line="240" w:lineRule="auto"/>
              <w:rPr>
                <w:rFonts w:ascii="Times New Roman" w:eastAsia="Times New Roman" w:hAnsi="Times New Roman" w:cs="Times New Roman"/>
                <w:sz w:val="24"/>
                <w:szCs w:val="24"/>
              </w:rPr>
            </w:pPr>
          </w:p>
        </w:tc>
      </w:tr>
      <w:tr w:rsidR="00897352" w:rsidRPr="006A465C" w14:paraId="75D6E391" w14:textId="77777777" w:rsidTr="004E6736">
        <w:trPr>
          <w:trHeight w:val="320"/>
        </w:trPr>
        <w:tc>
          <w:tcPr>
            <w:tcW w:w="1060" w:type="dxa"/>
            <w:tcBorders>
              <w:top w:val="nil"/>
              <w:left w:val="single" w:sz="8" w:space="0" w:color="auto"/>
              <w:bottom w:val="nil"/>
              <w:right w:val="nil"/>
            </w:tcBorders>
            <w:shd w:val="clear" w:color="auto" w:fill="auto"/>
            <w:noWrap/>
            <w:vAlign w:val="bottom"/>
            <w:hideMark/>
          </w:tcPr>
          <w:p w14:paraId="648752CB"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4</w:t>
            </w:r>
          </w:p>
        </w:tc>
        <w:tc>
          <w:tcPr>
            <w:tcW w:w="830" w:type="dxa"/>
            <w:tcBorders>
              <w:top w:val="nil"/>
              <w:left w:val="single" w:sz="8" w:space="0" w:color="auto"/>
              <w:bottom w:val="nil"/>
              <w:right w:val="nil"/>
            </w:tcBorders>
            <w:shd w:val="clear" w:color="000000" w:fill="D0CECE"/>
            <w:noWrap/>
            <w:vAlign w:val="bottom"/>
            <w:hideMark/>
          </w:tcPr>
          <w:p w14:paraId="36801222"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32.00</w:t>
            </w:r>
          </w:p>
        </w:tc>
        <w:tc>
          <w:tcPr>
            <w:tcW w:w="720" w:type="dxa"/>
            <w:tcBorders>
              <w:top w:val="nil"/>
              <w:left w:val="nil"/>
              <w:bottom w:val="nil"/>
              <w:right w:val="single" w:sz="8" w:space="0" w:color="auto"/>
            </w:tcBorders>
            <w:shd w:val="clear" w:color="auto" w:fill="auto"/>
            <w:noWrap/>
            <w:vAlign w:val="bottom"/>
            <w:hideMark/>
          </w:tcPr>
          <w:p w14:paraId="6A447AC4"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41.00</w:t>
            </w:r>
          </w:p>
        </w:tc>
        <w:tc>
          <w:tcPr>
            <w:tcW w:w="630" w:type="dxa"/>
            <w:tcBorders>
              <w:top w:val="nil"/>
              <w:left w:val="nil"/>
              <w:bottom w:val="nil"/>
              <w:right w:val="nil"/>
            </w:tcBorders>
            <w:shd w:val="clear" w:color="000000" w:fill="D0CECE"/>
            <w:noWrap/>
            <w:vAlign w:val="bottom"/>
            <w:hideMark/>
          </w:tcPr>
          <w:p w14:paraId="602697EE"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3.25</w:t>
            </w:r>
          </w:p>
        </w:tc>
        <w:tc>
          <w:tcPr>
            <w:tcW w:w="720" w:type="dxa"/>
            <w:tcBorders>
              <w:top w:val="nil"/>
              <w:left w:val="nil"/>
              <w:bottom w:val="nil"/>
              <w:right w:val="single" w:sz="8" w:space="0" w:color="auto"/>
            </w:tcBorders>
            <w:shd w:val="clear" w:color="auto" w:fill="auto"/>
            <w:noWrap/>
            <w:vAlign w:val="bottom"/>
            <w:hideMark/>
          </w:tcPr>
          <w:p w14:paraId="439F606D"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2.25</w:t>
            </w:r>
          </w:p>
        </w:tc>
        <w:tc>
          <w:tcPr>
            <w:tcW w:w="720" w:type="dxa"/>
            <w:tcBorders>
              <w:top w:val="nil"/>
              <w:left w:val="nil"/>
              <w:bottom w:val="nil"/>
              <w:right w:val="nil"/>
            </w:tcBorders>
            <w:shd w:val="clear" w:color="000000" w:fill="D0CECE"/>
            <w:noWrap/>
            <w:vAlign w:val="bottom"/>
            <w:hideMark/>
          </w:tcPr>
          <w:p w14:paraId="5442FCB4"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2.43</w:t>
            </w:r>
          </w:p>
        </w:tc>
        <w:tc>
          <w:tcPr>
            <w:tcW w:w="540" w:type="dxa"/>
            <w:tcBorders>
              <w:top w:val="nil"/>
              <w:left w:val="nil"/>
              <w:bottom w:val="nil"/>
              <w:right w:val="single" w:sz="8" w:space="0" w:color="auto"/>
            </w:tcBorders>
            <w:shd w:val="clear" w:color="auto" w:fill="auto"/>
            <w:noWrap/>
            <w:vAlign w:val="bottom"/>
            <w:hideMark/>
          </w:tcPr>
          <w:p w14:paraId="28E56DB1"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0.57</w:t>
            </w:r>
          </w:p>
        </w:tc>
        <w:tc>
          <w:tcPr>
            <w:tcW w:w="720" w:type="dxa"/>
            <w:tcBorders>
              <w:top w:val="nil"/>
              <w:left w:val="nil"/>
              <w:bottom w:val="nil"/>
              <w:right w:val="nil"/>
            </w:tcBorders>
            <w:shd w:val="clear" w:color="000000" w:fill="D0CECE"/>
            <w:noWrap/>
            <w:vAlign w:val="bottom"/>
            <w:hideMark/>
          </w:tcPr>
          <w:p w14:paraId="04ADF326"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2.33</w:t>
            </w:r>
          </w:p>
        </w:tc>
        <w:tc>
          <w:tcPr>
            <w:tcW w:w="720" w:type="dxa"/>
            <w:tcBorders>
              <w:top w:val="nil"/>
              <w:left w:val="nil"/>
              <w:bottom w:val="nil"/>
              <w:right w:val="single" w:sz="8" w:space="0" w:color="auto"/>
            </w:tcBorders>
            <w:shd w:val="clear" w:color="auto" w:fill="auto"/>
            <w:noWrap/>
            <w:vAlign w:val="bottom"/>
            <w:hideMark/>
          </w:tcPr>
          <w:p w14:paraId="2055B619"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1.00</w:t>
            </w:r>
          </w:p>
        </w:tc>
        <w:tc>
          <w:tcPr>
            <w:tcW w:w="1530" w:type="dxa"/>
            <w:gridSpan w:val="2"/>
            <w:tcBorders>
              <w:top w:val="nil"/>
              <w:left w:val="nil"/>
              <w:bottom w:val="nil"/>
              <w:right w:val="nil"/>
            </w:tcBorders>
            <w:shd w:val="clear" w:color="auto" w:fill="auto"/>
            <w:noWrap/>
            <w:vAlign w:val="bottom"/>
            <w:hideMark/>
          </w:tcPr>
          <w:p w14:paraId="1337A6E4"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p>
        </w:tc>
        <w:tc>
          <w:tcPr>
            <w:tcW w:w="5676" w:type="dxa"/>
            <w:tcBorders>
              <w:top w:val="nil"/>
              <w:left w:val="nil"/>
              <w:bottom w:val="nil"/>
              <w:right w:val="nil"/>
            </w:tcBorders>
            <w:shd w:val="clear" w:color="auto" w:fill="auto"/>
            <w:noWrap/>
            <w:vAlign w:val="bottom"/>
            <w:hideMark/>
          </w:tcPr>
          <w:p w14:paraId="590A2915" w14:textId="77777777" w:rsidR="00897352" w:rsidRPr="006A465C" w:rsidRDefault="00897352" w:rsidP="004E6736">
            <w:pPr>
              <w:spacing w:after="0" w:line="240" w:lineRule="auto"/>
              <w:rPr>
                <w:rFonts w:ascii="Times New Roman" w:eastAsia="Times New Roman" w:hAnsi="Times New Roman" w:cs="Times New Roman"/>
                <w:sz w:val="24"/>
                <w:szCs w:val="24"/>
              </w:rPr>
            </w:pPr>
          </w:p>
        </w:tc>
      </w:tr>
      <w:tr w:rsidR="00897352" w:rsidRPr="006A465C" w14:paraId="74124542" w14:textId="77777777" w:rsidTr="004E6736">
        <w:trPr>
          <w:trHeight w:val="340"/>
        </w:trPr>
        <w:tc>
          <w:tcPr>
            <w:tcW w:w="1060" w:type="dxa"/>
            <w:tcBorders>
              <w:top w:val="nil"/>
              <w:left w:val="single" w:sz="8" w:space="0" w:color="auto"/>
              <w:bottom w:val="nil"/>
              <w:right w:val="nil"/>
            </w:tcBorders>
            <w:shd w:val="clear" w:color="auto" w:fill="auto"/>
            <w:noWrap/>
            <w:vAlign w:val="bottom"/>
            <w:hideMark/>
          </w:tcPr>
          <w:p w14:paraId="4FE522D1"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5</w:t>
            </w:r>
          </w:p>
        </w:tc>
        <w:tc>
          <w:tcPr>
            <w:tcW w:w="830" w:type="dxa"/>
            <w:tcBorders>
              <w:top w:val="nil"/>
              <w:left w:val="single" w:sz="8" w:space="0" w:color="auto"/>
              <w:bottom w:val="nil"/>
              <w:right w:val="nil"/>
            </w:tcBorders>
            <w:shd w:val="clear" w:color="000000" w:fill="D0CECE"/>
            <w:noWrap/>
            <w:vAlign w:val="bottom"/>
            <w:hideMark/>
          </w:tcPr>
          <w:p w14:paraId="2475908E"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25.00</w:t>
            </w:r>
          </w:p>
        </w:tc>
        <w:tc>
          <w:tcPr>
            <w:tcW w:w="720" w:type="dxa"/>
            <w:tcBorders>
              <w:top w:val="nil"/>
              <w:left w:val="nil"/>
              <w:bottom w:val="nil"/>
              <w:right w:val="single" w:sz="8" w:space="0" w:color="auto"/>
            </w:tcBorders>
            <w:shd w:val="clear" w:color="auto" w:fill="auto"/>
            <w:noWrap/>
            <w:vAlign w:val="bottom"/>
            <w:hideMark/>
          </w:tcPr>
          <w:p w14:paraId="4D376F40"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15.00</w:t>
            </w:r>
          </w:p>
        </w:tc>
        <w:tc>
          <w:tcPr>
            <w:tcW w:w="630" w:type="dxa"/>
            <w:tcBorders>
              <w:top w:val="nil"/>
              <w:left w:val="nil"/>
              <w:bottom w:val="nil"/>
              <w:right w:val="nil"/>
            </w:tcBorders>
            <w:shd w:val="clear" w:color="000000" w:fill="D0CECE"/>
            <w:noWrap/>
            <w:vAlign w:val="bottom"/>
            <w:hideMark/>
          </w:tcPr>
          <w:p w14:paraId="62B3D805"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4.25</w:t>
            </w:r>
          </w:p>
        </w:tc>
        <w:tc>
          <w:tcPr>
            <w:tcW w:w="720" w:type="dxa"/>
            <w:tcBorders>
              <w:top w:val="nil"/>
              <w:left w:val="nil"/>
              <w:bottom w:val="nil"/>
              <w:right w:val="single" w:sz="8" w:space="0" w:color="auto"/>
            </w:tcBorders>
            <w:shd w:val="clear" w:color="auto" w:fill="auto"/>
            <w:noWrap/>
            <w:vAlign w:val="bottom"/>
            <w:hideMark/>
          </w:tcPr>
          <w:p w14:paraId="287315A1"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3.00</w:t>
            </w:r>
          </w:p>
        </w:tc>
        <w:tc>
          <w:tcPr>
            <w:tcW w:w="720" w:type="dxa"/>
            <w:tcBorders>
              <w:top w:val="nil"/>
              <w:left w:val="nil"/>
              <w:bottom w:val="nil"/>
              <w:right w:val="nil"/>
            </w:tcBorders>
            <w:shd w:val="clear" w:color="000000" w:fill="D0CECE"/>
            <w:noWrap/>
            <w:vAlign w:val="bottom"/>
            <w:hideMark/>
          </w:tcPr>
          <w:p w14:paraId="621184D9"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1.57</w:t>
            </w:r>
          </w:p>
        </w:tc>
        <w:tc>
          <w:tcPr>
            <w:tcW w:w="540" w:type="dxa"/>
            <w:tcBorders>
              <w:top w:val="nil"/>
              <w:left w:val="nil"/>
              <w:bottom w:val="nil"/>
              <w:right w:val="single" w:sz="8" w:space="0" w:color="auto"/>
            </w:tcBorders>
            <w:shd w:val="clear" w:color="auto" w:fill="auto"/>
            <w:noWrap/>
            <w:vAlign w:val="bottom"/>
            <w:hideMark/>
          </w:tcPr>
          <w:p w14:paraId="55225DFC"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1.29</w:t>
            </w:r>
          </w:p>
        </w:tc>
        <w:tc>
          <w:tcPr>
            <w:tcW w:w="720" w:type="dxa"/>
            <w:tcBorders>
              <w:top w:val="nil"/>
              <w:left w:val="nil"/>
              <w:bottom w:val="nil"/>
              <w:right w:val="nil"/>
            </w:tcBorders>
            <w:shd w:val="clear" w:color="000000" w:fill="D0CECE"/>
            <w:noWrap/>
            <w:vAlign w:val="bottom"/>
            <w:hideMark/>
          </w:tcPr>
          <w:p w14:paraId="227C6EA1"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24.33</w:t>
            </w:r>
          </w:p>
        </w:tc>
        <w:tc>
          <w:tcPr>
            <w:tcW w:w="720" w:type="dxa"/>
            <w:tcBorders>
              <w:top w:val="nil"/>
              <w:left w:val="nil"/>
              <w:bottom w:val="nil"/>
              <w:right w:val="single" w:sz="8" w:space="0" w:color="auto"/>
            </w:tcBorders>
            <w:shd w:val="clear" w:color="auto" w:fill="auto"/>
            <w:noWrap/>
            <w:vAlign w:val="bottom"/>
            <w:hideMark/>
          </w:tcPr>
          <w:p w14:paraId="1AACE76A"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26.66</w:t>
            </w:r>
          </w:p>
        </w:tc>
        <w:tc>
          <w:tcPr>
            <w:tcW w:w="1530" w:type="dxa"/>
            <w:gridSpan w:val="2"/>
            <w:tcBorders>
              <w:top w:val="nil"/>
              <w:left w:val="nil"/>
              <w:bottom w:val="nil"/>
              <w:right w:val="nil"/>
            </w:tcBorders>
            <w:shd w:val="clear" w:color="auto" w:fill="auto"/>
            <w:noWrap/>
            <w:vAlign w:val="bottom"/>
            <w:hideMark/>
          </w:tcPr>
          <w:p w14:paraId="76368793"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p>
        </w:tc>
        <w:tc>
          <w:tcPr>
            <w:tcW w:w="5676" w:type="dxa"/>
            <w:tcBorders>
              <w:top w:val="nil"/>
              <w:left w:val="nil"/>
              <w:bottom w:val="nil"/>
              <w:right w:val="nil"/>
            </w:tcBorders>
            <w:shd w:val="clear" w:color="auto" w:fill="auto"/>
            <w:noWrap/>
            <w:vAlign w:val="bottom"/>
            <w:hideMark/>
          </w:tcPr>
          <w:p w14:paraId="24FC09D7" w14:textId="77777777" w:rsidR="00897352" w:rsidRPr="006A465C" w:rsidRDefault="00897352" w:rsidP="004E6736">
            <w:pPr>
              <w:spacing w:after="0" w:line="240" w:lineRule="auto"/>
              <w:rPr>
                <w:rFonts w:ascii="Times New Roman" w:eastAsia="Times New Roman" w:hAnsi="Times New Roman" w:cs="Times New Roman"/>
                <w:sz w:val="24"/>
                <w:szCs w:val="24"/>
              </w:rPr>
            </w:pPr>
          </w:p>
        </w:tc>
      </w:tr>
      <w:tr w:rsidR="00897352" w:rsidRPr="006A465C" w14:paraId="4B4FEB47" w14:textId="77777777" w:rsidTr="004E6736">
        <w:trPr>
          <w:trHeight w:val="340"/>
        </w:trPr>
        <w:tc>
          <w:tcPr>
            <w:tcW w:w="1060" w:type="dxa"/>
            <w:tcBorders>
              <w:top w:val="nil"/>
              <w:left w:val="single" w:sz="8" w:space="0" w:color="auto"/>
              <w:bottom w:val="single" w:sz="8" w:space="0" w:color="auto"/>
              <w:right w:val="nil"/>
            </w:tcBorders>
            <w:shd w:val="clear" w:color="auto" w:fill="auto"/>
            <w:noWrap/>
            <w:vAlign w:val="bottom"/>
            <w:hideMark/>
          </w:tcPr>
          <w:p w14:paraId="7BF7F21A"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6</w:t>
            </w:r>
          </w:p>
        </w:tc>
        <w:tc>
          <w:tcPr>
            <w:tcW w:w="830" w:type="dxa"/>
            <w:tcBorders>
              <w:top w:val="nil"/>
              <w:left w:val="single" w:sz="8" w:space="0" w:color="auto"/>
              <w:bottom w:val="single" w:sz="8" w:space="0" w:color="auto"/>
              <w:right w:val="nil"/>
            </w:tcBorders>
            <w:shd w:val="clear" w:color="000000" w:fill="D0CECE"/>
            <w:noWrap/>
            <w:vAlign w:val="bottom"/>
            <w:hideMark/>
          </w:tcPr>
          <w:p w14:paraId="720FDCD5"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39.00</w:t>
            </w:r>
          </w:p>
        </w:tc>
        <w:tc>
          <w:tcPr>
            <w:tcW w:w="720" w:type="dxa"/>
            <w:tcBorders>
              <w:top w:val="nil"/>
              <w:left w:val="nil"/>
              <w:bottom w:val="single" w:sz="8" w:space="0" w:color="auto"/>
              <w:right w:val="single" w:sz="8" w:space="0" w:color="auto"/>
            </w:tcBorders>
            <w:shd w:val="clear" w:color="auto" w:fill="auto"/>
            <w:noWrap/>
            <w:vAlign w:val="bottom"/>
            <w:hideMark/>
          </w:tcPr>
          <w:p w14:paraId="6597CE4A"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17.00</w:t>
            </w:r>
          </w:p>
        </w:tc>
        <w:tc>
          <w:tcPr>
            <w:tcW w:w="630" w:type="dxa"/>
            <w:tcBorders>
              <w:top w:val="nil"/>
              <w:left w:val="nil"/>
              <w:bottom w:val="single" w:sz="8" w:space="0" w:color="auto"/>
              <w:right w:val="nil"/>
            </w:tcBorders>
            <w:shd w:val="clear" w:color="000000" w:fill="D0CECE"/>
            <w:noWrap/>
            <w:vAlign w:val="bottom"/>
            <w:hideMark/>
          </w:tcPr>
          <w:p w14:paraId="0BD1D0EA"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3.75</w:t>
            </w:r>
          </w:p>
        </w:tc>
        <w:tc>
          <w:tcPr>
            <w:tcW w:w="720" w:type="dxa"/>
            <w:tcBorders>
              <w:top w:val="nil"/>
              <w:left w:val="nil"/>
              <w:bottom w:val="single" w:sz="8" w:space="0" w:color="auto"/>
              <w:right w:val="single" w:sz="8" w:space="0" w:color="auto"/>
            </w:tcBorders>
            <w:shd w:val="clear" w:color="auto" w:fill="auto"/>
            <w:noWrap/>
            <w:vAlign w:val="bottom"/>
            <w:hideMark/>
          </w:tcPr>
          <w:p w14:paraId="0B48674B"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3.25</w:t>
            </w:r>
          </w:p>
        </w:tc>
        <w:tc>
          <w:tcPr>
            <w:tcW w:w="720" w:type="dxa"/>
            <w:tcBorders>
              <w:top w:val="nil"/>
              <w:left w:val="nil"/>
              <w:bottom w:val="single" w:sz="8" w:space="0" w:color="auto"/>
              <w:right w:val="nil"/>
            </w:tcBorders>
            <w:shd w:val="clear" w:color="000000" w:fill="D0CECE"/>
            <w:noWrap/>
            <w:vAlign w:val="bottom"/>
            <w:hideMark/>
          </w:tcPr>
          <w:p w14:paraId="73AF6A41"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5.43</w:t>
            </w:r>
          </w:p>
        </w:tc>
        <w:tc>
          <w:tcPr>
            <w:tcW w:w="540" w:type="dxa"/>
            <w:tcBorders>
              <w:top w:val="nil"/>
              <w:left w:val="nil"/>
              <w:bottom w:val="single" w:sz="8" w:space="0" w:color="auto"/>
              <w:right w:val="single" w:sz="8" w:space="0" w:color="auto"/>
            </w:tcBorders>
            <w:shd w:val="clear" w:color="auto" w:fill="auto"/>
            <w:noWrap/>
            <w:vAlign w:val="bottom"/>
            <w:hideMark/>
          </w:tcPr>
          <w:p w14:paraId="2B8C40CB"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2.00</w:t>
            </w:r>
          </w:p>
        </w:tc>
        <w:tc>
          <w:tcPr>
            <w:tcW w:w="720" w:type="dxa"/>
            <w:tcBorders>
              <w:top w:val="nil"/>
              <w:left w:val="nil"/>
              <w:bottom w:val="single" w:sz="8" w:space="0" w:color="auto"/>
              <w:right w:val="nil"/>
            </w:tcBorders>
            <w:shd w:val="clear" w:color="000000" w:fill="D0CECE"/>
            <w:noWrap/>
            <w:vAlign w:val="bottom"/>
            <w:hideMark/>
          </w:tcPr>
          <w:p w14:paraId="3E9E64EB"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12.33</w:t>
            </w:r>
          </w:p>
        </w:tc>
        <w:tc>
          <w:tcPr>
            <w:tcW w:w="720" w:type="dxa"/>
            <w:tcBorders>
              <w:top w:val="nil"/>
              <w:left w:val="nil"/>
              <w:bottom w:val="single" w:sz="8" w:space="0" w:color="auto"/>
              <w:right w:val="single" w:sz="8" w:space="0" w:color="auto"/>
            </w:tcBorders>
            <w:shd w:val="clear" w:color="auto" w:fill="auto"/>
            <w:noWrap/>
            <w:vAlign w:val="bottom"/>
            <w:hideMark/>
          </w:tcPr>
          <w:p w14:paraId="5D92558C"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13.33</w:t>
            </w:r>
          </w:p>
        </w:tc>
        <w:tc>
          <w:tcPr>
            <w:tcW w:w="1530" w:type="dxa"/>
            <w:gridSpan w:val="2"/>
            <w:tcBorders>
              <w:top w:val="nil"/>
              <w:left w:val="nil"/>
              <w:bottom w:val="nil"/>
              <w:right w:val="nil"/>
            </w:tcBorders>
            <w:shd w:val="clear" w:color="auto" w:fill="auto"/>
            <w:noWrap/>
            <w:vAlign w:val="bottom"/>
            <w:hideMark/>
          </w:tcPr>
          <w:p w14:paraId="51E8D551"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p>
        </w:tc>
        <w:tc>
          <w:tcPr>
            <w:tcW w:w="5676" w:type="dxa"/>
            <w:tcBorders>
              <w:top w:val="nil"/>
              <w:left w:val="nil"/>
              <w:bottom w:val="nil"/>
              <w:right w:val="nil"/>
            </w:tcBorders>
            <w:shd w:val="clear" w:color="auto" w:fill="auto"/>
            <w:noWrap/>
            <w:vAlign w:val="bottom"/>
            <w:hideMark/>
          </w:tcPr>
          <w:p w14:paraId="6C4C6F1F" w14:textId="77777777" w:rsidR="00897352" w:rsidRPr="006A465C" w:rsidRDefault="00897352" w:rsidP="004E6736">
            <w:pPr>
              <w:spacing w:after="0" w:line="240" w:lineRule="auto"/>
              <w:rPr>
                <w:rFonts w:ascii="Times New Roman" w:eastAsia="Times New Roman" w:hAnsi="Times New Roman" w:cs="Times New Roman"/>
                <w:sz w:val="24"/>
                <w:szCs w:val="24"/>
              </w:rPr>
            </w:pPr>
          </w:p>
        </w:tc>
      </w:tr>
      <w:tr w:rsidR="00897352" w:rsidRPr="006A465C" w14:paraId="3E5963A7" w14:textId="77777777" w:rsidTr="004E6736">
        <w:trPr>
          <w:gridAfter w:val="1"/>
          <w:wAfter w:w="5676" w:type="dxa"/>
          <w:trHeight w:val="340"/>
        </w:trPr>
        <w:tc>
          <w:tcPr>
            <w:tcW w:w="1060" w:type="dxa"/>
            <w:tcBorders>
              <w:top w:val="nil"/>
              <w:left w:val="nil"/>
              <w:bottom w:val="nil"/>
              <w:right w:val="nil"/>
            </w:tcBorders>
            <w:shd w:val="clear" w:color="auto" w:fill="auto"/>
            <w:noWrap/>
            <w:vAlign w:val="bottom"/>
            <w:hideMark/>
          </w:tcPr>
          <w:p w14:paraId="5401D5BD" w14:textId="77777777" w:rsidR="00897352" w:rsidRPr="006A465C" w:rsidRDefault="00897352" w:rsidP="004E6736">
            <w:pPr>
              <w:spacing w:after="0" w:line="240" w:lineRule="auto"/>
              <w:rPr>
                <w:rFonts w:ascii="Times New Roman" w:eastAsia="Times New Roman" w:hAnsi="Times New Roman" w:cs="Times New Roman"/>
                <w:sz w:val="24"/>
                <w:szCs w:val="24"/>
              </w:rPr>
            </w:pPr>
          </w:p>
        </w:tc>
        <w:tc>
          <w:tcPr>
            <w:tcW w:w="1550" w:type="dxa"/>
            <w:gridSpan w:val="2"/>
            <w:tcBorders>
              <w:top w:val="nil"/>
              <w:left w:val="single" w:sz="8" w:space="0" w:color="auto"/>
              <w:bottom w:val="single" w:sz="8" w:space="0" w:color="auto"/>
              <w:right w:val="single" w:sz="8" w:space="0" w:color="auto"/>
            </w:tcBorders>
            <w:shd w:val="clear" w:color="auto" w:fill="auto"/>
            <w:noWrap/>
            <w:vAlign w:val="bottom"/>
            <w:hideMark/>
          </w:tcPr>
          <w:p w14:paraId="6571906B" w14:textId="77777777" w:rsidR="00897352" w:rsidRPr="006A465C" w:rsidRDefault="00897352" w:rsidP="004E6736">
            <w:pPr>
              <w:spacing w:after="0" w:line="240" w:lineRule="auto"/>
              <w:jc w:val="center"/>
              <w:rPr>
                <w:rFonts w:ascii="Times New Roman" w:eastAsia="Times New Roman" w:hAnsi="Times New Roman" w:cs="Times New Roman"/>
                <w:b/>
                <w:bCs/>
                <w:color w:val="000000"/>
                <w:sz w:val="24"/>
                <w:szCs w:val="24"/>
              </w:rPr>
            </w:pPr>
            <w:r w:rsidRPr="006A465C">
              <w:rPr>
                <w:rFonts w:ascii="Times New Roman" w:eastAsia="Times New Roman" w:hAnsi="Times New Roman" w:cs="Times New Roman"/>
                <w:b/>
                <w:bCs/>
                <w:color w:val="000000"/>
                <w:sz w:val="24"/>
                <w:szCs w:val="24"/>
              </w:rPr>
              <w:t>Burning</w:t>
            </w:r>
          </w:p>
          <w:p w14:paraId="50BE5421" w14:textId="77777777" w:rsidR="00897352" w:rsidRPr="006A465C" w:rsidRDefault="00897352" w:rsidP="004E6736">
            <w:pPr>
              <w:spacing w:after="0" w:line="240" w:lineRule="auto"/>
              <w:jc w:val="center"/>
              <w:rPr>
                <w:rFonts w:ascii="Times New Roman" w:eastAsia="Times New Roman" w:hAnsi="Times New Roman" w:cs="Times New Roman"/>
                <w:b/>
                <w:bCs/>
                <w:color w:val="000000"/>
                <w:sz w:val="24"/>
                <w:szCs w:val="24"/>
              </w:rPr>
            </w:pPr>
            <w:r w:rsidRPr="006A465C">
              <w:rPr>
                <w:rFonts w:ascii="Times New Roman" w:eastAsia="Times New Roman" w:hAnsi="Times New Roman" w:cs="Times New Roman"/>
                <w:b/>
                <w:bCs/>
                <w:color w:val="000000"/>
                <w:sz w:val="24"/>
                <w:szCs w:val="24"/>
              </w:rPr>
              <w:t> </w:t>
            </w:r>
          </w:p>
        </w:tc>
        <w:tc>
          <w:tcPr>
            <w:tcW w:w="1350" w:type="dxa"/>
            <w:gridSpan w:val="2"/>
            <w:tcBorders>
              <w:top w:val="nil"/>
              <w:left w:val="nil"/>
              <w:bottom w:val="single" w:sz="8" w:space="0" w:color="auto"/>
              <w:right w:val="single" w:sz="8" w:space="0" w:color="auto"/>
            </w:tcBorders>
            <w:shd w:val="clear" w:color="auto" w:fill="auto"/>
            <w:noWrap/>
            <w:vAlign w:val="bottom"/>
            <w:hideMark/>
          </w:tcPr>
          <w:p w14:paraId="30AE481C" w14:textId="77777777" w:rsidR="00897352" w:rsidRPr="006A465C" w:rsidRDefault="00897352" w:rsidP="004E6736">
            <w:pPr>
              <w:spacing w:after="0" w:line="240" w:lineRule="auto"/>
              <w:jc w:val="center"/>
              <w:rPr>
                <w:rFonts w:ascii="Times New Roman" w:eastAsia="Times New Roman" w:hAnsi="Times New Roman" w:cs="Times New Roman"/>
                <w:b/>
                <w:bCs/>
                <w:color w:val="000000"/>
                <w:sz w:val="24"/>
                <w:szCs w:val="24"/>
              </w:rPr>
            </w:pPr>
            <w:r w:rsidRPr="006A465C">
              <w:rPr>
                <w:rFonts w:ascii="Times New Roman" w:eastAsia="Times New Roman" w:hAnsi="Times New Roman" w:cs="Times New Roman"/>
                <w:b/>
                <w:bCs/>
                <w:color w:val="000000"/>
                <w:sz w:val="24"/>
                <w:szCs w:val="24"/>
              </w:rPr>
              <w:t>Pressing</w:t>
            </w:r>
          </w:p>
          <w:p w14:paraId="29113702" w14:textId="77777777" w:rsidR="00897352" w:rsidRPr="006A465C" w:rsidRDefault="00897352" w:rsidP="004E6736">
            <w:pPr>
              <w:spacing w:after="0" w:line="240" w:lineRule="auto"/>
              <w:jc w:val="center"/>
              <w:rPr>
                <w:rFonts w:ascii="Times New Roman" w:eastAsia="Times New Roman" w:hAnsi="Times New Roman" w:cs="Times New Roman"/>
                <w:b/>
                <w:bCs/>
                <w:color w:val="000000"/>
                <w:sz w:val="24"/>
                <w:szCs w:val="24"/>
              </w:rPr>
            </w:pPr>
            <w:r w:rsidRPr="006A465C">
              <w:rPr>
                <w:rFonts w:ascii="Times New Roman" w:eastAsia="Times New Roman" w:hAnsi="Times New Roman" w:cs="Times New Roman"/>
                <w:b/>
                <w:bCs/>
                <w:color w:val="000000"/>
                <w:sz w:val="24"/>
                <w:szCs w:val="24"/>
              </w:rPr>
              <w:t> </w:t>
            </w:r>
          </w:p>
        </w:tc>
        <w:tc>
          <w:tcPr>
            <w:tcW w:w="1260" w:type="dxa"/>
            <w:gridSpan w:val="2"/>
            <w:tcBorders>
              <w:top w:val="nil"/>
              <w:left w:val="nil"/>
              <w:bottom w:val="single" w:sz="8" w:space="0" w:color="auto"/>
              <w:right w:val="single" w:sz="8" w:space="0" w:color="auto"/>
            </w:tcBorders>
            <w:shd w:val="clear" w:color="auto" w:fill="auto"/>
            <w:noWrap/>
            <w:vAlign w:val="bottom"/>
            <w:hideMark/>
          </w:tcPr>
          <w:p w14:paraId="14782397" w14:textId="77777777" w:rsidR="00897352" w:rsidRPr="006A465C" w:rsidRDefault="00897352" w:rsidP="004E6736">
            <w:pPr>
              <w:spacing w:after="0" w:line="240" w:lineRule="auto"/>
              <w:jc w:val="center"/>
              <w:rPr>
                <w:rFonts w:ascii="Times New Roman" w:eastAsia="Times New Roman" w:hAnsi="Times New Roman" w:cs="Times New Roman"/>
                <w:b/>
                <w:bCs/>
                <w:color w:val="000000"/>
                <w:sz w:val="24"/>
                <w:szCs w:val="24"/>
              </w:rPr>
            </w:pPr>
            <w:r w:rsidRPr="006A465C">
              <w:rPr>
                <w:rFonts w:ascii="Times New Roman" w:eastAsia="Times New Roman" w:hAnsi="Times New Roman" w:cs="Times New Roman"/>
                <w:b/>
                <w:bCs/>
                <w:color w:val="000000"/>
                <w:sz w:val="24"/>
                <w:szCs w:val="24"/>
              </w:rPr>
              <w:t>Paroxysmal</w:t>
            </w:r>
          </w:p>
          <w:p w14:paraId="5FFA25DB" w14:textId="77777777" w:rsidR="00897352" w:rsidRPr="006A465C" w:rsidRDefault="00897352" w:rsidP="004E6736">
            <w:pPr>
              <w:spacing w:after="0" w:line="240" w:lineRule="auto"/>
              <w:jc w:val="center"/>
              <w:rPr>
                <w:rFonts w:ascii="Times New Roman" w:eastAsia="Times New Roman" w:hAnsi="Times New Roman" w:cs="Times New Roman"/>
                <w:b/>
                <w:bCs/>
                <w:color w:val="000000"/>
                <w:sz w:val="24"/>
                <w:szCs w:val="24"/>
              </w:rPr>
            </w:pPr>
            <w:r w:rsidRPr="006A465C">
              <w:rPr>
                <w:rFonts w:ascii="Times New Roman" w:eastAsia="Times New Roman" w:hAnsi="Times New Roman" w:cs="Times New Roman"/>
                <w:b/>
                <w:bCs/>
                <w:color w:val="000000"/>
                <w:sz w:val="24"/>
                <w:szCs w:val="24"/>
              </w:rPr>
              <w:t> </w:t>
            </w:r>
          </w:p>
        </w:tc>
        <w:tc>
          <w:tcPr>
            <w:tcW w:w="1440" w:type="dxa"/>
            <w:gridSpan w:val="2"/>
            <w:tcBorders>
              <w:top w:val="nil"/>
              <w:left w:val="nil"/>
              <w:bottom w:val="single" w:sz="8" w:space="0" w:color="auto"/>
              <w:right w:val="single" w:sz="8" w:space="0" w:color="auto"/>
            </w:tcBorders>
            <w:shd w:val="clear" w:color="auto" w:fill="auto"/>
            <w:noWrap/>
            <w:vAlign w:val="bottom"/>
            <w:hideMark/>
          </w:tcPr>
          <w:p w14:paraId="1A8B1FC6" w14:textId="77777777" w:rsidR="00897352" w:rsidRPr="006A465C" w:rsidRDefault="00897352" w:rsidP="004E6736">
            <w:pPr>
              <w:spacing w:after="0" w:line="240" w:lineRule="auto"/>
              <w:jc w:val="center"/>
              <w:rPr>
                <w:rFonts w:ascii="Times New Roman" w:eastAsia="Times New Roman" w:hAnsi="Times New Roman" w:cs="Times New Roman"/>
                <w:b/>
                <w:bCs/>
                <w:color w:val="000000"/>
                <w:sz w:val="24"/>
                <w:szCs w:val="24"/>
              </w:rPr>
            </w:pPr>
            <w:r w:rsidRPr="006A465C">
              <w:rPr>
                <w:rFonts w:ascii="Times New Roman" w:eastAsia="Times New Roman" w:hAnsi="Times New Roman" w:cs="Times New Roman"/>
                <w:b/>
                <w:bCs/>
                <w:color w:val="000000"/>
                <w:sz w:val="24"/>
                <w:szCs w:val="24"/>
              </w:rPr>
              <w:t>Evoked</w:t>
            </w:r>
          </w:p>
          <w:p w14:paraId="664EA0E8" w14:textId="77777777" w:rsidR="00897352" w:rsidRPr="006A465C" w:rsidRDefault="00897352" w:rsidP="004E6736">
            <w:pPr>
              <w:spacing w:after="0" w:line="240" w:lineRule="auto"/>
              <w:jc w:val="center"/>
              <w:rPr>
                <w:rFonts w:ascii="Times New Roman" w:eastAsia="Times New Roman" w:hAnsi="Times New Roman" w:cs="Times New Roman"/>
                <w:b/>
                <w:bCs/>
                <w:color w:val="000000"/>
                <w:sz w:val="24"/>
                <w:szCs w:val="24"/>
              </w:rPr>
            </w:pPr>
            <w:r w:rsidRPr="006A465C">
              <w:rPr>
                <w:rFonts w:ascii="Times New Roman" w:eastAsia="Times New Roman" w:hAnsi="Times New Roman" w:cs="Times New Roman"/>
                <w:b/>
                <w:bCs/>
                <w:color w:val="000000"/>
                <w:sz w:val="24"/>
                <w:szCs w:val="24"/>
              </w:rPr>
              <w:t> </w:t>
            </w:r>
          </w:p>
        </w:tc>
        <w:tc>
          <w:tcPr>
            <w:tcW w:w="1530" w:type="dxa"/>
            <w:gridSpan w:val="2"/>
            <w:tcBorders>
              <w:top w:val="single" w:sz="8" w:space="0" w:color="auto"/>
              <w:left w:val="nil"/>
              <w:bottom w:val="single" w:sz="8" w:space="0" w:color="auto"/>
              <w:right w:val="single" w:sz="8" w:space="0" w:color="auto"/>
            </w:tcBorders>
            <w:shd w:val="clear" w:color="auto" w:fill="auto"/>
            <w:noWrap/>
            <w:vAlign w:val="bottom"/>
            <w:hideMark/>
          </w:tcPr>
          <w:p w14:paraId="717FC409" w14:textId="77777777" w:rsidR="00897352" w:rsidRPr="006A465C" w:rsidRDefault="00897352" w:rsidP="004E6736">
            <w:pPr>
              <w:spacing w:after="0" w:line="240" w:lineRule="auto"/>
              <w:jc w:val="center"/>
              <w:rPr>
                <w:rFonts w:ascii="Times New Roman" w:eastAsia="Times New Roman" w:hAnsi="Times New Roman" w:cs="Times New Roman"/>
                <w:b/>
                <w:bCs/>
                <w:color w:val="000000"/>
                <w:sz w:val="24"/>
                <w:szCs w:val="24"/>
              </w:rPr>
            </w:pPr>
            <w:r w:rsidRPr="006A465C">
              <w:rPr>
                <w:rFonts w:ascii="Times New Roman" w:eastAsia="Times New Roman" w:hAnsi="Times New Roman" w:cs="Times New Roman"/>
                <w:b/>
                <w:bCs/>
                <w:color w:val="000000"/>
                <w:sz w:val="24"/>
                <w:szCs w:val="24"/>
              </w:rPr>
              <w:t>Paresthesia/dysesthesia</w:t>
            </w:r>
          </w:p>
          <w:p w14:paraId="4D9092B7" w14:textId="77777777" w:rsidR="00897352" w:rsidRPr="006A465C" w:rsidRDefault="00897352" w:rsidP="004E6736">
            <w:pPr>
              <w:spacing w:after="0" w:line="240" w:lineRule="auto"/>
              <w:jc w:val="center"/>
              <w:rPr>
                <w:rFonts w:ascii="Times New Roman" w:eastAsia="Times New Roman" w:hAnsi="Times New Roman" w:cs="Times New Roman"/>
                <w:b/>
                <w:bCs/>
                <w:color w:val="000000"/>
                <w:sz w:val="24"/>
                <w:szCs w:val="24"/>
              </w:rPr>
            </w:pPr>
            <w:r w:rsidRPr="006A465C">
              <w:rPr>
                <w:rFonts w:ascii="Times New Roman" w:eastAsia="Times New Roman" w:hAnsi="Times New Roman" w:cs="Times New Roman"/>
                <w:b/>
                <w:bCs/>
                <w:color w:val="000000"/>
                <w:sz w:val="24"/>
                <w:szCs w:val="24"/>
              </w:rPr>
              <w:t> </w:t>
            </w:r>
          </w:p>
        </w:tc>
      </w:tr>
      <w:tr w:rsidR="00897352" w:rsidRPr="006A465C" w14:paraId="21B5E24B" w14:textId="77777777" w:rsidTr="004E6736">
        <w:trPr>
          <w:gridAfter w:val="1"/>
          <w:wAfter w:w="5676" w:type="dxa"/>
          <w:trHeight w:val="340"/>
        </w:trPr>
        <w:tc>
          <w:tcPr>
            <w:tcW w:w="1060" w:type="dxa"/>
            <w:tcBorders>
              <w:top w:val="nil"/>
              <w:left w:val="nil"/>
              <w:bottom w:val="nil"/>
              <w:right w:val="nil"/>
            </w:tcBorders>
            <w:shd w:val="clear" w:color="auto" w:fill="auto"/>
            <w:noWrap/>
            <w:vAlign w:val="bottom"/>
            <w:hideMark/>
          </w:tcPr>
          <w:p w14:paraId="0650CA19" w14:textId="77777777" w:rsidR="00897352" w:rsidRPr="006A465C" w:rsidRDefault="00897352" w:rsidP="004E6736">
            <w:pPr>
              <w:spacing w:after="0" w:line="240" w:lineRule="auto"/>
              <w:jc w:val="center"/>
              <w:rPr>
                <w:rFonts w:ascii="Times New Roman" w:eastAsia="Times New Roman" w:hAnsi="Times New Roman" w:cs="Times New Roman"/>
                <w:b/>
                <w:bCs/>
                <w:color w:val="000000"/>
                <w:sz w:val="24"/>
                <w:szCs w:val="24"/>
              </w:rPr>
            </w:pPr>
          </w:p>
        </w:tc>
        <w:tc>
          <w:tcPr>
            <w:tcW w:w="830" w:type="dxa"/>
            <w:tcBorders>
              <w:top w:val="nil"/>
              <w:left w:val="single" w:sz="8" w:space="0" w:color="auto"/>
              <w:bottom w:val="single" w:sz="8" w:space="0" w:color="auto"/>
              <w:right w:val="nil"/>
            </w:tcBorders>
            <w:shd w:val="clear" w:color="000000" w:fill="D0CECE"/>
            <w:noWrap/>
            <w:vAlign w:val="bottom"/>
            <w:hideMark/>
          </w:tcPr>
          <w:p w14:paraId="6465DF0C" w14:textId="77777777" w:rsidR="00897352" w:rsidRPr="006A465C" w:rsidRDefault="00897352" w:rsidP="004E6736">
            <w:pPr>
              <w:spacing w:after="0" w:line="240" w:lineRule="auto"/>
              <w:jc w:val="center"/>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Pre</w:t>
            </w:r>
          </w:p>
        </w:tc>
        <w:tc>
          <w:tcPr>
            <w:tcW w:w="720" w:type="dxa"/>
            <w:tcBorders>
              <w:top w:val="nil"/>
              <w:left w:val="nil"/>
              <w:bottom w:val="single" w:sz="8" w:space="0" w:color="auto"/>
              <w:right w:val="single" w:sz="8" w:space="0" w:color="auto"/>
            </w:tcBorders>
            <w:shd w:val="clear" w:color="auto" w:fill="auto"/>
            <w:noWrap/>
            <w:vAlign w:val="bottom"/>
            <w:hideMark/>
          </w:tcPr>
          <w:p w14:paraId="332AB184" w14:textId="77777777" w:rsidR="00897352" w:rsidRPr="006A465C" w:rsidRDefault="00897352" w:rsidP="004E6736">
            <w:pPr>
              <w:spacing w:after="0" w:line="240" w:lineRule="auto"/>
              <w:jc w:val="center"/>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Post</w:t>
            </w:r>
          </w:p>
        </w:tc>
        <w:tc>
          <w:tcPr>
            <w:tcW w:w="630" w:type="dxa"/>
            <w:tcBorders>
              <w:top w:val="nil"/>
              <w:left w:val="nil"/>
              <w:bottom w:val="single" w:sz="8" w:space="0" w:color="auto"/>
              <w:right w:val="nil"/>
            </w:tcBorders>
            <w:shd w:val="clear" w:color="000000" w:fill="D0CECE"/>
            <w:noWrap/>
            <w:vAlign w:val="bottom"/>
            <w:hideMark/>
          </w:tcPr>
          <w:p w14:paraId="07E8ECD9" w14:textId="77777777" w:rsidR="00897352" w:rsidRPr="006A465C" w:rsidRDefault="00897352" w:rsidP="004E6736">
            <w:pPr>
              <w:spacing w:after="0" w:line="240" w:lineRule="auto"/>
              <w:jc w:val="center"/>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Pre</w:t>
            </w:r>
          </w:p>
        </w:tc>
        <w:tc>
          <w:tcPr>
            <w:tcW w:w="720" w:type="dxa"/>
            <w:tcBorders>
              <w:top w:val="nil"/>
              <w:left w:val="nil"/>
              <w:bottom w:val="single" w:sz="8" w:space="0" w:color="auto"/>
              <w:right w:val="single" w:sz="8" w:space="0" w:color="auto"/>
            </w:tcBorders>
            <w:shd w:val="clear" w:color="auto" w:fill="auto"/>
            <w:noWrap/>
            <w:vAlign w:val="bottom"/>
            <w:hideMark/>
          </w:tcPr>
          <w:p w14:paraId="0DD2F6C9" w14:textId="77777777" w:rsidR="00897352" w:rsidRPr="006A465C" w:rsidRDefault="00897352" w:rsidP="004E6736">
            <w:pPr>
              <w:spacing w:after="0" w:line="240" w:lineRule="auto"/>
              <w:jc w:val="center"/>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Post</w:t>
            </w:r>
          </w:p>
        </w:tc>
        <w:tc>
          <w:tcPr>
            <w:tcW w:w="720" w:type="dxa"/>
            <w:tcBorders>
              <w:top w:val="nil"/>
              <w:left w:val="nil"/>
              <w:bottom w:val="single" w:sz="8" w:space="0" w:color="auto"/>
              <w:right w:val="nil"/>
            </w:tcBorders>
            <w:shd w:val="clear" w:color="000000" w:fill="D0CECE"/>
            <w:noWrap/>
            <w:vAlign w:val="bottom"/>
            <w:hideMark/>
          </w:tcPr>
          <w:p w14:paraId="7152281A" w14:textId="77777777" w:rsidR="00897352" w:rsidRPr="006A465C" w:rsidRDefault="00897352" w:rsidP="004E6736">
            <w:pPr>
              <w:spacing w:after="0" w:line="240" w:lineRule="auto"/>
              <w:jc w:val="center"/>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Pre</w:t>
            </w:r>
          </w:p>
        </w:tc>
        <w:tc>
          <w:tcPr>
            <w:tcW w:w="540" w:type="dxa"/>
            <w:tcBorders>
              <w:top w:val="nil"/>
              <w:left w:val="nil"/>
              <w:bottom w:val="single" w:sz="8" w:space="0" w:color="auto"/>
              <w:right w:val="single" w:sz="8" w:space="0" w:color="auto"/>
            </w:tcBorders>
            <w:shd w:val="clear" w:color="auto" w:fill="auto"/>
            <w:noWrap/>
            <w:vAlign w:val="bottom"/>
            <w:hideMark/>
          </w:tcPr>
          <w:p w14:paraId="77D9584A" w14:textId="77777777" w:rsidR="00897352" w:rsidRPr="006A465C" w:rsidRDefault="00897352" w:rsidP="004E6736">
            <w:pPr>
              <w:spacing w:after="0" w:line="240" w:lineRule="auto"/>
              <w:jc w:val="center"/>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Post</w:t>
            </w:r>
          </w:p>
        </w:tc>
        <w:tc>
          <w:tcPr>
            <w:tcW w:w="720" w:type="dxa"/>
            <w:tcBorders>
              <w:top w:val="nil"/>
              <w:left w:val="nil"/>
              <w:bottom w:val="single" w:sz="8" w:space="0" w:color="auto"/>
              <w:right w:val="nil"/>
            </w:tcBorders>
            <w:shd w:val="clear" w:color="000000" w:fill="D0CECE"/>
            <w:noWrap/>
            <w:vAlign w:val="bottom"/>
            <w:hideMark/>
          </w:tcPr>
          <w:p w14:paraId="681D0FFB" w14:textId="77777777" w:rsidR="00897352" w:rsidRPr="006A465C" w:rsidRDefault="00897352" w:rsidP="004E6736">
            <w:pPr>
              <w:spacing w:after="0" w:line="240" w:lineRule="auto"/>
              <w:jc w:val="center"/>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Pre</w:t>
            </w:r>
          </w:p>
        </w:tc>
        <w:tc>
          <w:tcPr>
            <w:tcW w:w="720" w:type="dxa"/>
            <w:tcBorders>
              <w:top w:val="nil"/>
              <w:left w:val="nil"/>
              <w:bottom w:val="single" w:sz="8" w:space="0" w:color="auto"/>
              <w:right w:val="single" w:sz="8" w:space="0" w:color="auto"/>
            </w:tcBorders>
            <w:shd w:val="clear" w:color="auto" w:fill="auto"/>
            <w:noWrap/>
            <w:vAlign w:val="bottom"/>
            <w:hideMark/>
          </w:tcPr>
          <w:p w14:paraId="3DFB0F30" w14:textId="77777777" w:rsidR="00897352" w:rsidRPr="006A465C" w:rsidRDefault="00897352" w:rsidP="004E6736">
            <w:pPr>
              <w:spacing w:after="0" w:line="240" w:lineRule="auto"/>
              <w:jc w:val="center"/>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Post</w:t>
            </w:r>
          </w:p>
        </w:tc>
        <w:tc>
          <w:tcPr>
            <w:tcW w:w="720" w:type="dxa"/>
            <w:tcBorders>
              <w:top w:val="nil"/>
              <w:left w:val="nil"/>
              <w:bottom w:val="single" w:sz="8" w:space="0" w:color="auto"/>
              <w:right w:val="nil"/>
            </w:tcBorders>
            <w:shd w:val="clear" w:color="000000" w:fill="D0CECE"/>
            <w:noWrap/>
            <w:vAlign w:val="bottom"/>
            <w:hideMark/>
          </w:tcPr>
          <w:p w14:paraId="638279B4" w14:textId="77777777" w:rsidR="00897352" w:rsidRPr="006A465C" w:rsidRDefault="00897352" w:rsidP="004E6736">
            <w:pPr>
              <w:spacing w:after="0" w:line="240" w:lineRule="auto"/>
              <w:jc w:val="center"/>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Pre</w:t>
            </w:r>
          </w:p>
        </w:tc>
        <w:tc>
          <w:tcPr>
            <w:tcW w:w="810" w:type="dxa"/>
            <w:tcBorders>
              <w:top w:val="nil"/>
              <w:left w:val="nil"/>
              <w:bottom w:val="single" w:sz="8" w:space="0" w:color="auto"/>
              <w:right w:val="single" w:sz="8" w:space="0" w:color="auto"/>
            </w:tcBorders>
            <w:shd w:val="clear" w:color="auto" w:fill="auto"/>
            <w:noWrap/>
            <w:vAlign w:val="bottom"/>
            <w:hideMark/>
          </w:tcPr>
          <w:p w14:paraId="1F83E35B" w14:textId="77777777" w:rsidR="00897352" w:rsidRPr="006A465C" w:rsidRDefault="00897352" w:rsidP="004E6736">
            <w:pPr>
              <w:spacing w:after="0" w:line="240" w:lineRule="auto"/>
              <w:jc w:val="center"/>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Post</w:t>
            </w:r>
          </w:p>
        </w:tc>
      </w:tr>
      <w:tr w:rsidR="00897352" w:rsidRPr="006A465C" w14:paraId="11F9797B" w14:textId="77777777" w:rsidTr="004E6736">
        <w:trPr>
          <w:gridAfter w:val="1"/>
          <w:wAfter w:w="5676" w:type="dxa"/>
          <w:trHeight w:val="320"/>
        </w:trPr>
        <w:tc>
          <w:tcPr>
            <w:tcW w:w="1060" w:type="dxa"/>
            <w:tcBorders>
              <w:top w:val="single" w:sz="8" w:space="0" w:color="auto"/>
              <w:left w:val="single" w:sz="8" w:space="0" w:color="auto"/>
              <w:bottom w:val="nil"/>
              <w:right w:val="single" w:sz="8" w:space="0" w:color="auto"/>
            </w:tcBorders>
            <w:shd w:val="clear" w:color="auto" w:fill="auto"/>
            <w:noWrap/>
            <w:vAlign w:val="bottom"/>
            <w:hideMark/>
          </w:tcPr>
          <w:p w14:paraId="59B70E9E"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1</w:t>
            </w:r>
          </w:p>
        </w:tc>
        <w:tc>
          <w:tcPr>
            <w:tcW w:w="830" w:type="dxa"/>
            <w:tcBorders>
              <w:top w:val="nil"/>
              <w:left w:val="nil"/>
              <w:bottom w:val="nil"/>
              <w:right w:val="nil"/>
            </w:tcBorders>
            <w:shd w:val="clear" w:color="000000" w:fill="D0CECE"/>
            <w:noWrap/>
            <w:vAlign w:val="bottom"/>
            <w:hideMark/>
          </w:tcPr>
          <w:p w14:paraId="5EB8A627"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7.00</w:t>
            </w:r>
          </w:p>
        </w:tc>
        <w:tc>
          <w:tcPr>
            <w:tcW w:w="720" w:type="dxa"/>
            <w:tcBorders>
              <w:top w:val="nil"/>
              <w:left w:val="nil"/>
              <w:bottom w:val="nil"/>
              <w:right w:val="single" w:sz="8" w:space="0" w:color="auto"/>
            </w:tcBorders>
            <w:shd w:val="clear" w:color="auto" w:fill="auto"/>
            <w:noWrap/>
            <w:vAlign w:val="bottom"/>
            <w:hideMark/>
          </w:tcPr>
          <w:p w14:paraId="6CCB0F71"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8.00</w:t>
            </w:r>
          </w:p>
        </w:tc>
        <w:tc>
          <w:tcPr>
            <w:tcW w:w="630" w:type="dxa"/>
            <w:tcBorders>
              <w:top w:val="nil"/>
              <w:left w:val="nil"/>
              <w:bottom w:val="nil"/>
              <w:right w:val="nil"/>
            </w:tcBorders>
            <w:shd w:val="clear" w:color="000000" w:fill="D0CECE"/>
            <w:noWrap/>
            <w:vAlign w:val="bottom"/>
            <w:hideMark/>
          </w:tcPr>
          <w:p w14:paraId="451C43C2"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8.50</w:t>
            </w:r>
          </w:p>
        </w:tc>
        <w:tc>
          <w:tcPr>
            <w:tcW w:w="720" w:type="dxa"/>
            <w:tcBorders>
              <w:top w:val="nil"/>
              <w:left w:val="nil"/>
              <w:bottom w:val="nil"/>
              <w:right w:val="single" w:sz="8" w:space="0" w:color="auto"/>
            </w:tcBorders>
            <w:shd w:val="clear" w:color="auto" w:fill="auto"/>
            <w:noWrap/>
            <w:vAlign w:val="bottom"/>
            <w:hideMark/>
          </w:tcPr>
          <w:p w14:paraId="68603DEB"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8.00</w:t>
            </w:r>
          </w:p>
        </w:tc>
        <w:tc>
          <w:tcPr>
            <w:tcW w:w="720" w:type="dxa"/>
            <w:tcBorders>
              <w:top w:val="nil"/>
              <w:left w:val="nil"/>
              <w:bottom w:val="nil"/>
              <w:right w:val="nil"/>
            </w:tcBorders>
            <w:shd w:val="clear" w:color="000000" w:fill="D0CECE"/>
            <w:noWrap/>
            <w:vAlign w:val="bottom"/>
            <w:hideMark/>
          </w:tcPr>
          <w:p w14:paraId="4F345569"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8.00</w:t>
            </w:r>
          </w:p>
        </w:tc>
        <w:tc>
          <w:tcPr>
            <w:tcW w:w="540" w:type="dxa"/>
            <w:tcBorders>
              <w:top w:val="nil"/>
              <w:left w:val="nil"/>
              <w:bottom w:val="nil"/>
              <w:right w:val="single" w:sz="8" w:space="0" w:color="auto"/>
            </w:tcBorders>
            <w:shd w:val="clear" w:color="auto" w:fill="auto"/>
            <w:noWrap/>
            <w:vAlign w:val="bottom"/>
            <w:hideMark/>
          </w:tcPr>
          <w:p w14:paraId="25BD6C58"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8.00</w:t>
            </w:r>
          </w:p>
        </w:tc>
        <w:tc>
          <w:tcPr>
            <w:tcW w:w="720" w:type="dxa"/>
            <w:tcBorders>
              <w:top w:val="nil"/>
              <w:left w:val="nil"/>
              <w:bottom w:val="nil"/>
              <w:right w:val="nil"/>
            </w:tcBorders>
            <w:shd w:val="clear" w:color="000000" w:fill="D0CECE"/>
            <w:noWrap/>
            <w:vAlign w:val="bottom"/>
            <w:hideMark/>
          </w:tcPr>
          <w:p w14:paraId="6EF24595"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3.00</w:t>
            </w:r>
          </w:p>
        </w:tc>
        <w:tc>
          <w:tcPr>
            <w:tcW w:w="720" w:type="dxa"/>
            <w:tcBorders>
              <w:top w:val="nil"/>
              <w:left w:val="nil"/>
              <w:bottom w:val="nil"/>
              <w:right w:val="single" w:sz="8" w:space="0" w:color="auto"/>
            </w:tcBorders>
            <w:shd w:val="clear" w:color="auto" w:fill="auto"/>
            <w:noWrap/>
            <w:vAlign w:val="bottom"/>
            <w:hideMark/>
          </w:tcPr>
          <w:p w14:paraId="5F644842"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5.00</w:t>
            </w:r>
          </w:p>
        </w:tc>
        <w:tc>
          <w:tcPr>
            <w:tcW w:w="720" w:type="dxa"/>
            <w:tcBorders>
              <w:top w:val="nil"/>
              <w:left w:val="nil"/>
              <w:bottom w:val="nil"/>
              <w:right w:val="nil"/>
            </w:tcBorders>
            <w:shd w:val="clear" w:color="000000" w:fill="D0CECE"/>
            <w:noWrap/>
            <w:vAlign w:val="bottom"/>
            <w:hideMark/>
          </w:tcPr>
          <w:p w14:paraId="2534F1CE"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7.00</w:t>
            </w:r>
          </w:p>
        </w:tc>
        <w:tc>
          <w:tcPr>
            <w:tcW w:w="810" w:type="dxa"/>
            <w:tcBorders>
              <w:top w:val="nil"/>
              <w:left w:val="nil"/>
              <w:bottom w:val="nil"/>
              <w:right w:val="single" w:sz="8" w:space="0" w:color="auto"/>
            </w:tcBorders>
            <w:shd w:val="clear" w:color="auto" w:fill="auto"/>
            <w:noWrap/>
            <w:vAlign w:val="bottom"/>
            <w:hideMark/>
          </w:tcPr>
          <w:p w14:paraId="7B2D3FE7"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8.00</w:t>
            </w:r>
          </w:p>
        </w:tc>
      </w:tr>
      <w:tr w:rsidR="00897352" w:rsidRPr="006A465C" w14:paraId="4F6CC216" w14:textId="77777777" w:rsidTr="004E6736">
        <w:trPr>
          <w:gridAfter w:val="1"/>
          <w:wAfter w:w="5676" w:type="dxa"/>
          <w:trHeight w:val="320"/>
        </w:trPr>
        <w:tc>
          <w:tcPr>
            <w:tcW w:w="1060" w:type="dxa"/>
            <w:tcBorders>
              <w:top w:val="nil"/>
              <w:left w:val="single" w:sz="8" w:space="0" w:color="auto"/>
              <w:bottom w:val="nil"/>
              <w:right w:val="single" w:sz="8" w:space="0" w:color="auto"/>
            </w:tcBorders>
            <w:shd w:val="clear" w:color="auto" w:fill="auto"/>
            <w:noWrap/>
            <w:vAlign w:val="bottom"/>
            <w:hideMark/>
          </w:tcPr>
          <w:p w14:paraId="2AB62134"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2</w:t>
            </w:r>
          </w:p>
        </w:tc>
        <w:tc>
          <w:tcPr>
            <w:tcW w:w="830" w:type="dxa"/>
            <w:tcBorders>
              <w:top w:val="nil"/>
              <w:left w:val="nil"/>
              <w:bottom w:val="nil"/>
              <w:right w:val="nil"/>
            </w:tcBorders>
            <w:shd w:val="clear" w:color="000000" w:fill="D0CECE"/>
            <w:noWrap/>
            <w:vAlign w:val="bottom"/>
            <w:hideMark/>
          </w:tcPr>
          <w:p w14:paraId="2824803D"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8.00</w:t>
            </w:r>
          </w:p>
        </w:tc>
        <w:tc>
          <w:tcPr>
            <w:tcW w:w="720" w:type="dxa"/>
            <w:tcBorders>
              <w:top w:val="nil"/>
              <w:left w:val="nil"/>
              <w:bottom w:val="nil"/>
              <w:right w:val="single" w:sz="8" w:space="0" w:color="auto"/>
            </w:tcBorders>
            <w:shd w:val="clear" w:color="auto" w:fill="auto"/>
            <w:noWrap/>
            <w:vAlign w:val="bottom"/>
            <w:hideMark/>
          </w:tcPr>
          <w:p w14:paraId="1B586E6B"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7.00</w:t>
            </w:r>
          </w:p>
        </w:tc>
        <w:tc>
          <w:tcPr>
            <w:tcW w:w="630" w:type="dxa"/>
            <w:tcBorders>
              <w:top w:val="nil"/>
              <w:left w:val="nil"/>
              <w:bottom w:val="nil"/>
              <w:right w:val="nil"/>
            </w:tcBorders>
            <w:shd w:val="clear" w:color="000000" w:fill="D0CECE"/>
            <w:noWrap/>
            <w:vAlign w:val="bottom"/>
            <w:hideMark/>
          </w:tcPr>
          <w:p w14:paraId="2A90B293"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8.00</w:t>
            </w:r>
          </w:p>
        </w:tc>
        <w:tc>
          <w:tcPr>
            <w:tcW w:w="720" w:type="dxa"/>
            <w:tcBorders>
              <w:top w:val="nil"/>
              <w:left w:val="nil"/>
              <w:bottom w:val="nil"/>
              <w:right w:val="single" w:sz="8" w:space="0" w:color="auto"/>
            </w:tcBorders>
            <w:shd w:val="clear" w:color="auto" w:fill="auto"/>
            <w:noWrap/>
            <w:vAlign w:val="bottom"/>
            <w:hideMark/>
          </w:tcPr>
          <w:p w14:paraId="0C1F719F"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8.00</w:t>
            </w:r>
          </w:p>
        </w:tc>
        <w:tc>
          <w:tcPr>
            <w:tcW w:w="720" w:type="dxa"/>
            <w:tcBorders>
              <w:top w:val="nil"/>
              <w:left w:val="nil"/>
              <w:bottom w:val="nil"/>
              <w:right w:val="nil"/>
            </w:tcBorders>
            <w:shd w:val="clear" w:color="000000" w:fill="D0CECE"/>
            <w:noWrap/>
            <w:vAlign w:val="bottom"/>
            <w:hideMark/>
          </w:tcPr>
          <w:p w14:paraId="2D56876D"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8.00</w:t>
            </w:r>
          </w:p>
        </w:tc>
        <w:tc>
          <w:tcPr>
            <w:tcW w:w="540" w:type="dxa"/>
            <w:tcBorders>
              <w:top w:val="nil"/>
              <w:left w:val="nil"/>
              <w:bottom w:val="nil"/>
              <w:right w:val="single" w:sz="8" w:space="0" w:color="auto"/>
            </w:tcBorders>
            <w:shd w:val="clear" w:color="auto" w:fill="auto"/>
            <w:noWrap/>
            <w:vAlign w:val="bottom"/>
            <w:hideMark/>
          </w:tcPr>
          <w:p w14:paraId="6B962FF2"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6.50</w:t>
            </w:r>
          </w:p>
        </w:tc>
        <w:tc>
          <w:tcPr>
            <w:tcW w:w="720" w:type="dxa"/>
            <w:tcBorders>
              <w:top w:val="nil"/>
              <w:left w:val="nil"/>
              <w:bottom w:val="nil"/>
              <w:right w:val="nil"/>
            </w:tcBorders>
            <w:shd w:val="clear" w:color="000000" w:fill="D0CECE"/>
            <w:noWrap/>
            <w:vAlign w:val="bottom"/>
            <w:hideMark/>
          </w:tcPr>
          <w:p w14:paraId="7BBA3E76"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9.00</w:t>
            </w:r>
          </w:p>
        </w:tc>
        <w:tc>
          <w:tcPr>
            <w:tcW w:w="720" w:type="dxa"/>
            <w:tcBorders>
              <w:top w:val="nil"/>
              <w:left w:val="nil"/>
              <w:bottom w:val="nil"/>
              <w:right w:val="single" w:sz="8" w:space="0" w:color="auto"/>
            </w:tcBorders>
            <w:shd w:val="clear" w:color="auto" w:fill="auto"/>
            <w:noWrap/>
            <w:vAlign w:val="bottom"/>
            <w:hideMark/>
          </w:tcPr>
          <w:p w14:paraId="32FB3645"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8.33</w:t>
            </w:r>
          </w:p>
        </w:tc>
        <w:tc>
          <w:tcPr>
            <w:tcW w:w="720" w:type="dxa"/>
            <w:tcBorders>
              <w:top w:val="nil"/>
              <w:left w:val="nil"/>
              <w:bottom w:val="nil"/>
              <w:right w:val="nil"/>
            </w:tcBorders>
            <w:shd w:val="clear" w:color="000000" w:fill="D0CECE"/>
            <w:noWrap/>
            <w:vAlign w:val="bottom"/>
            <w:hideMark/>
          </w:tcPr>
          <w:p w14:paraId="6A5DC337"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8.50</w:t>
            </w:r>
          </w:p>
        </w:tc>
        <w:tc>
          <w:tcPr>
            <w:tcW w:w="810" w:type="dxa"/>
            <w:tcBorders>
              <w:top w:val="nil"/>
              <w:left w:val="nil"/>
              <w:bottom w:val="nil"/>
              <w:right w:val="single" w:sz="8" w:space="0" w:color="auto"/>
            </w:tcBorders>
            <w:shd w:val="clear" w:color="auto" w:fill="auto"/>
            <w:noWrap/>
            <w:vAlign w:val="bottom"/>
            <w:hideMark/>
          </w:tcPr>
          <w:p w14:paraId="2A170021"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8.00</w:t>
            </w:r>
          </w:p>
        </w:tc>
      </w:tr>
      <w:tr w:rsidR="00897352" w:rsidRPr="006A465C" w14:paraId="3428F160" w14:textId="77777777" w:rsidTr="004E6736">
        <w:trPr>
          <w:gridAfter w:val="1"/>
          <w:wAfter w:w="5676" w:type="dxa"/>
          <w:trHeight w:val="320"/>
        </w:trPr>
        <w:tc>
          <w:tcPr>
            <w:tcW w:w="1060" w:type="dxa"/>
            <w:tcBorders>
              <w:top w:val="nil"/>
              <w:left w:val="single" w:sz="8" w:space="0" w:color="auto"/>
              <w:bottom w:val="nil"/>
              <w:right w:val="single" w:sz="8" w:space="0" w:color="auto"/>
            </w:tcBorders>
            <w:shd w:val="clear" w:color="auto" w:fill="auto"/>
            <w:noWrap/>
            <w:vAlign w:val="bottom"/>
            <w:hideMark/>
          </w:tcPr>
          <w:p w14:paraId="1A5EA681"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3</w:t>
            </w:r>
          </w:p>
        </w:tc>
        <w:tc>
          <w:tcPr>
            <w:tcW w:w="830" w:type="dxa"/>
            <w:tcBorders>
              <w:top w:val="nil"/>
              <w:left w:val="nil"/>
              <w:bottom w:val="nil"/>
              <w:right w:val="nil"/>
            </w:tcBorders>
            <w:shd w:val="clear" w:color="000000" w:fill="D0CECE"/>
            <w:noWrap/>
            <w:vAlign w:val="bottom"/>
            <w:hideMark/>
          </w:tcPr>
          <w:p w14:paraId="3C26548B"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3.00</w:t>
            </w:r>
          </w:p>
        </w:tc>
        <w:tc>
          <w:tcPr>
            <w:tcW w:w="720" w:type="dxa"/>
            <w:tcBorders>
              <w:top w:val="nil"/>
              <w:left w:val="nil"/>
              <w:bottom w:val="nil"/>
              <w:right w:val="single" w:sz="8" w:space="0" w:color="auto"/>
            </w:tcBorders>
            <w:shd w:val="clear" w:color="auto" w:fill="auto"/>
            <w:noWrap/>
            <w:vAlign w:val="bottom"/>
            <w:hideMark/>
          </w:tcPr>
          <w:p w14:paraId="25861C62"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0.00</w:t>
            </w:r>
          </w:p>
        </w:tc>
        <w:tc>
          <w:tcPr>
            <w:tcW w:w="630" w:type="dxa"/>
            <w:tcBorders>
              <w:top w:val="nil"/>
              <w:left w:val="nil"/>
              <w:bottom w:val="nil"/>
              <w:right w:val="nil"/>
            </w:tcBorders>
            <w:shd w:val="clear" w:color="000000" w:fill="D0CECE"/>
            <w:noWrap/>
            <w:vAlign w:val="bottom"/>
            <w:hideMark/>
          </w:tcPr>
          <w:p w14:paraId="24FBA4CF"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6.50</w:t>
            </w:r>
          </w:p>
        </w:tc>
        <w:tc>
          <w:tcPr>
            <w:tcW w:w="720" w:type="dxa"/>
            <w:tcBorders>
              <w:top w:val="nil"/>
              <w:left w:val="nil"/>
              <w:bottom w:val="nil"/>
              <w:right w:val="single" w:sz="8" w:space="0" w:color="auto"/>
            </w:tcBorders>
            <w:shd w:val="clear" w:color="auto" w:fill="auto"/>
            <w:noWrap/>
            <w:vAlign w:val="bottom"/>
            <w:hideMark/>
          </w:tcPr>
          <w:p w14:paraId="64EE5E6E"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3.00</w:t>
            </w:r>
          </w:p>
        </w:tc>
        <w:tc>
          <w:tcPr>
            <w:tcW w:w="720" w:type="dxa"/>
            <w:tcBorders>
              <w:top w:val="nil"/>
              <w:left w:val="nil"/>
              <w:bottom w:val="nil"/>
              <w:right w:val="nil"/>
            </w:tcBorders>
            <w:shd w:val="clear" w:color="000000" w:fill="D0CECE"/>
            <w:noWrap/>
            <w:vAlign w:val="bottom"/>
            <w:hideMark/>
          </w:tcPr>
          <w:p w14:paraId="27A99BDF"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2.50</w:t>
            </w:r>
          </w:p>
        </w:tc>
        <w:tc>
          <w:tcPr>
            <w:tcW w:w="540" w:type="dxa"/>
            <w:tcBorders>
              <w:top w:val="nil"/>
              <w:left w:val="nil"/>
              <w:bottom w:val="nil"/>
              <w:right w:val="single" w:sz="8" w:space="0" w:color="auto"/>
            </w:tcBorders>
            <w:shd w:val="clear" w:color="auto" w:fill="auto"/>
            <w:noWrap/>
            <w:vAlign w:val="bottom"/>
            <w:hideMark/>
          </w:tcPr>
          <w:p w14:paraId="30CD81CB"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0.00</w:t>
            </w:r>
          </w:p>
        </w:tc>
        <w:tc>
          <w:tcPr>
            <w:tcW w:w="720" w:type="dxa"/>
            <w:tcBorders>
              <w:top w:val="nil"/>
              <w:left w:val="nil"/>
              <w:bottom w:val="nil"/>
              <w:right w:val="nil"/>
            </w:tcBorders>
            <w:shd w:val="clear" w:color="000000" w:fill="D0CECE"/>
            <w:noWrap/>
            <w:vAlign w:val="bottom"/>
            <w:hideMark/>
          </w:tcPr>
          <w:p w14:paraId="56F92309"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0.33</w:t>
            </w:r>
          </w:p>
        </w:tc>
        <w:tc>
          <w:tcPr>
            <w:tcW w:w="720" w:type="dxa"/>
            <w:tcBorders>
              <w:top w:val="nil"/>
              <w:left w:val="nil"/>
              <w:bottom w:val="nil"/>
              <w:right w:val="single" w:sz="8" w:space="0" w:color="auto"/>
            </w:tcBorders>
            <w:shd w:val="clear" w:color="auto" w:fill="auto"/>
            <w:noWrap/>
            <w:vAlign w:val="bottom"/>
            <w:hideMark/>
          </w:tcPr>
          <w:p w14:paraId="2EC1E564"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0.00</w:t>
            </w:r>
          </w:p>
        </w:tc>
        <w:tc>
          <w:tcPr>
            <w:tcW w:w="720" w:type="dxa"/>
            <w:tcBorders>
              <w:top w:val="nil"/>
              <w:left w:val="nil"/>
              <w:bottom w:val="nil"/>
              <w:right w:val="nil"/>
            </w:tcBorders>
            <w:shd w:val="clear" w:color="000000" w:fill="D0CECE"/>
            <w:noWrap/>
            <w:vAlign w:val="bottom"/>
            <w:hideMark/>
          </w:tcPr>
          <w:p w14:paraId="5F89EDFD"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2.00</w:t>
            </w:r>
          </w:p>
        </w:tc>
        <w:tc>
          <w:tcPr>
            <w:tcW w:w="810" w:type="dxa"/>
            <w:tcBorders>
              <w:top w:val="nil"/>
              <w:left w:val="nil"/>
              <w:bottom w:val="nil"/>
              <w:right w:val="single" w:sz="8" w:space="0" w:color="auto"/>
            </w:tcBorders>
            <w:shd w:val="clear" w:color="auto" w:fill="auto"/>
            <w:noWrap/>
            <w:vAlign w:val="bottom"/>
            <w:hideMark/>
          </w:tcPr>
          <w:p w14:paraId="497BF9BF"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0.00</w:t>
            </w:r>
          </w:p>
        </w:tc>
      </w:tr>
      <w:tr w:rsidR="00897352" w:rsidRPr="006A465C" w14:paraId="52F3DE74" w14:textId="77777777" w:rsidTr="004E6736">
        <w:trPr>
          <w:gridAfter w:val="1"/>
          <w:wAfter w:w="5676" w:type="dxa"/>
          <w:trHeight w:val="320"/>
        </w:trPr>
        <w:tc>
          <w:tcPr>
            <w:tcW w:w="1060" w:type="dxa"/>
            <w:tcBorders>
              <w:top w:val="nil"/>
              <w:left w:val="single" w:sz="8" w:space="0" w:color="auto"/>
              <w:bottom w:val="nil"/>
              <w:right w:val="single" w:sz="8" w:space="0" w:color="auto"/>
            </w:tcBorders>
            <w:shd w:val="clear" w:color="auto" w:fill="auto"/>
            <w:noWrap/>
            <w:vAlign w:val="bottom"/>
            <w:hideMark/>
          </w:tcPr>
          <w:p w14:paraId="21C0B350"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4</w:t>
            </w:r>
          </w:p>
        </w:tc>
        <w:tc>
          <w:tcPr>
            <w:tcW w:w="830" w:type="dxa"/>
            <w:tcBorders>
              <w:top w:val="nil"/>
              <w:left w:val="nil"/>
              <w:bottom w:val="nil"/>
              <w:right w:val="nil"/>
            </w:tcBorders>
            <w:shd w:val="clear" w:color="000000" w:fill="D0CECE"/>
            <w:noWrap/>
            <w:vAlign w:val="bottom"/>
            <w:hideMark/>
          </w:tcPr>
          <w:p w14:paraId="78ABC9D1"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0.00</w:t>
            </w:r>
          </w:p>
        </w:tc>
        <w:tc>
          <w:tcPr>
            <w:tcW w:w="720" w:type="dxa"/>
            <w:tcBorders>
              <w:top w:val="nil"/>
              <w:left w:val="nil"/>
              <w:bottom w:val="nil"/>
              <w:right w:val="single" w:sz="8" w:space="0" w:color="auto"/>
            </w:tcBorders>
            <w:shd w:val="clear" w:color="auto" w:fill="auto"/>
            <w:noWrap/>
            <w:vAlign w:val="bottom"/>
            <w:hideMark/>
          </w:tcPr>
          <w:p w14:paraId="716A5B3F"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0.00</w:t>
            </w:r>
          </w:p>
        </w:tc>
        <w:tc>
          <w:tcPr>
            <w:tcW w:w="630" w:type="dxa"/>
            <w:tcBorders>
              <w:top w:val="nil"/>
              <w:left w:val="nil"/>
              <w:bottom w:val="nil"/>
              <w:right w:val="nil"/>
            </w:tcBorders>
            <w:shd w:val="clear" w:color="000000" w:fill="D0CECE"/>
            <w:noWrap/>
            <w:vAlign w:val="bottom"/>
            <w:hideMark/>
          </w:tcPr>
          <w:p w14:paraId="183B77B3"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0.00</w:t>
            </w:r>
          </w:p>
        </w:tc>
        <w:tc>
          <w:tcPr>
            <w:tcW w:w="720" w:type="dxa"/>
            <w:tcBorders>
              <w:top w:val="nil"/>
              <w:left w:val="nil"/>
              <w:bottom w:val="nil"/>
              <w:right w:val="single" w:sz="8" w:space="0" w:color="auto"/>
            </w:tcBorders>
            <w:shd w:val="clear" w:color="auto" w:fill="auto"/>
            <w:noWrap/>
            <w:vAlign w:val="bottom"/>
            <w:hideMark/>
          </w:tcPr>
          <w:p w14:paraId="3C6BD296"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0.00</w:t>
            </w:r>
          </w:p>
        </w:tc>
        <w:tc>
          <w:tcPr>
            <w:tcW w:w="720" w:type="dxa"/>
            <w:tcBorders>
              <w:top w:val="nil"/>
              <w:left w:val="nil"/>
              <w:bottom w:val="nil"/>
              <w:right w:val="nil"/>
            </w:tcBorders>
            <w:shd w:val="clear" w:color="000000" w:fill="D0CECE"/>
            <w:noWrap/>
            <w:vAlign w:val="bottom"/>
            <w:hideMark/>
          </w:tcPr>
          <w:p w14:paraId="0F7AA60D"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1.00</w:t>
            </w:r>
          </w:p>
        </w:tc>
        <w:tc>
          <w:tcPr>
            <w:tcW w:w="540" w:type="dxa"/>
            <w:tcBorders>
              <w:top w:val="nil"/>
              <w:left w:val="nil"/>
              <w:bottom w:val="nil"/>
              <w:right w:val="single" w:sz="8" w:space="0" w:color="auto"/>
            </w:tcBorders>
            <w:shd w:val="clear" w:color="auto" w:fill="auto"/>
            <w:noWrap/>
            <w:vAlign w:val="bottom"/>
            <w:hideMark/>
          </w:tcPr>
          <w:p w14:paraId="6F41073A"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1.00</w:t>
            </w:r>
          </w:p>
        </w:tc>
        <w:tc>
          <w:tcPr>
            <w:tcW w:w="720" w:type="dxa"/>
            <w:tcBorders>
              <w:top w:val="nil"/>
              <w:left w:val="nil"/>
              <w:bottom w:val="nil"/>
              <w:right w:val="nil"/>
            </w:tcBorders>
            <w:shd w:val="clear" w:color="000000" w:fill="D0CECE"/>
            <w:noWrap/>
            <w:vAlign w:val="bottom"/>
            <w:hideMark/>
          </w:tcPr>
          <w:p w14:paraId="2CBF395A"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1.33</w:t>
            </w:r>
          </w:p>
        </w:tc>
        <w:tc>
          <w:tcPr>
            <w:tcW w:w="720" w:type="dxa"/>
            <w:tcBorders>
              <w:top w:val="nil"/>
              <w:left w:val="nil"/>
              <w:bottom w:val="nil"/>
              <w:right w:val="single" w:sz="8" w:space="0" w:color="auto"/>
            </w:tcBorders>
            <w:shd w:val="clear" w:color="auto" w:fill="auto"/>
            <w:noWrap/>
            <w:vAlign w:val="bottom"/>
            <w:hideMark/>
          </w:tcPr>
          <w:p w14:paraId="3F080025"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0.00</w:t>
            </w:r>
          </w:p>
        </w:tc>
        <w:tc>
          <w:tcPr>
            <w:tcW w:w="720" w:type="dxa"/>
            <w:tcBorders>
              <w:top w:val="nil"/>
              <w:left w:val="nil"/>
              <w:bottom w:val="nil"/>
              <w:right w:val="nil"/>
            </w:tcBorders>
            <w:shd w:val="clear" w:color="000000" w:fill="D0CECE"/>
            <w:noWrap/>
            <w:vAlign w:val="bottom"/>
            <w:hideMark/>
          </w:tcPr>
          <w:p w14:paraId="30FA6C1A"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0.00</w:t>
            </w:r>
          </w:p>
        </w:tc>
        <w:tc>
          <w:tcPr>
            <w:tcW w:w="810" w:type="dxa"/>
            <w:tcBorders>
              <w:top w:val="nil"/>
              <w:left w:val="nil"/>
              <w:bottom w:val="nil"/>
              <w:right w:val="single" w:sz="8" w:space="0" w:color="auto"/>
            </w:tcBorders>
            <w:shd w:val="clear" w:color="auto" w:fill="auto"/>
            <w:noWrap/>
            <w:vAlign w:val="bottom"/>
            <w:hideMark/>
          </w:tcPr>
          <w:p w14:paraId="1211E110"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0.00</w:t>
            </w:r>
          </w:p>
        </w:tc>
      </w:tr>
      <w:tr w:rsidR="00897352" w:rsidRPr="006A465C" w14:paraId="19B1AB9C" w14:textId="77777777" w:rsidTr="004E6736">
        <w:trPr>
          <w:gridAfter w:val="1"/>
          <w:wAfter w:w="5676" w:type="dxa"/>
          <w:trHeight w:val="320"/>
        </w:trPr>
        <w:tc>
          <w:tcPr>
            <w:tcW w:w="1060" w:type="dxa"/>
            <w:tcBorders>
              <w:top w:val="nil"/>
              <w:left w:val="single" w:sz="8" w:space="0" w:color="auto"/>
              <w:bottom w:val="nil"/>
              <w:right w:val="single" w:sz="8" w:space="0" w:color="auto"/>
            </w:tcBorders>
            <w:shd w:val="clear" w:color="auto" w:fill="auto"/>
            <w:noWrap/>
            <w:vAlign w:val="bottom"/>
            <w:hideMark/>
          </w:tcPr>
          <w:p w14:paraId="70A9F875"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5</w:t>
            </w:r>
          </w:p>
        </w:tc>
        <w:tc>
          <w:tcPr>
            <w:tcW w:w="830" w:type="dxa"/>
            <w:tcBorders>
              <w:top w:val="nil"/>
              <w:left w:val="nil"/>
              <w:bottom w:val="nil"/>
              <w:right w:val="nil"/>
            </w:tcBorders>
            <w:shd w:val="clear" w:color="000000" w:fill="D0CECE"/>
            <w:noWrap/>
            <w:vAlign w:val="bottom"/>
            <w:hideMark/>
          </w:tcPr>
          <w:p w14:paraId="43AD850F"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5.00</w:t>
            </w:r>
          </w:p>
        </w:tc>
        <w:tc>
          <w:tcPr>
            <w:tcW w:w="720" w:type="dxa"/>
            <w:tcBorders>
              <w:top w:val="nil"/>
              <w:left w:val="nil"/>
              <w:bottom w:val="nil"/>
              <w:right w:val="single" w:sz="8" w:space="0" w:color="auto"/>
            </w:tcBorders>
            <w:shd w:val="clear" w:color="auto" w:fill="auto"/>
            <w:noWrap/>
            <w:vAlign w:val="bottom"/>
            <w:hideMark/>
          </w:tcPr>
          <w:p w14:paraId="72D6614B"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3.00</w:t>
            </w:r>
          </w:p>
        </w:tc>
        <w:tc>
          <w:tcPr>
            <w:tcW w:w="630" w:type="dxa"/>
            <w:tcBorders>
              <w:top w:val="nil"/>
              <w:left w:val="nil"/>
              <w:bottom w:val="nil"/>
              <w:right w:val="nil"/>
            </w:tcBorders>
            <w:shd w:val="clear" w:color="000000" w:fill="D0CECE"/>
            <w:noWrap/>
            <w:vAlign w:val="bottom"/>
            <w:hideMark/>
          </w:tcPr>
          <w:p w14:paraId="255F7A13"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5.00</w:t>
            </w:r>
          </w:p>
        </w:tc>
        <w:tc>
          <w:tcPr>
            <w:tcW w:w="720" w:type="dxa"/>
            <w:tcBorders>
              <w:top w:val="nil"/>
              <w:left w:val="nil"/>
              <w:bottom w:val="nil"/>
              <w:right w:val="single" w:sz="8" w:space="0" w:color="auto"/>
            </w:tcBorders>
            <w:shd w:val="clear" w:color="auto" w:fill="auto"/>
            <w:noWrap/>
            <w:vAlign w:val="bottom"/>
            <w:hideMark/>
          </w:tcPr>
          <w:p w14:paraId="5ADB003F"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0.00</w:t>
            </w:r>
          </w:p>
        </w:tc>
        <w:tc>
          <w:tcPr>
            <w:tcW w:w="720" w:type="dxa"/>
            <w:tcBorders>
              <w:top w:val="nil"/>
              <w:left w:val="nil"/>
              <w:bottom w:val="nil"/>
              <w:right w:val="nil"/>
            </w:tcBorders>
            <w:shd w:val="clear" w:color="000000" w:fill="D0CECE"/>
            <w:noWrap/>
            <w:vAlign w:val="bottom"/>
            <w:hideMark/>
          </w:tcPr>
          <w:p w14:paraId="1EA54675"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2.50</w:t>
            </w:r>
          </w:p>
        </w:tc>
        <w:tc>
          <w:tcPr>
            <w:tcW w:w="540" w:type="dxa"/>
            <w:tcBorders>
              <w:top w:val="nil"/>
              <w:left w:val="nil"/>
              <w:bottom w:val="nil"/>
              <w:right w:val="single" w:sz="8" w:space="0" w:color="auto"/>
            </w:tcBorders>
            <w:shd w:val="clear" w:color="auto" w:fill="auto"/>
            <w:noWrap/>
            <w:vAlign w:val="bottom"/>
            <w:hideMark/>
          </w:tcPr>
          <w:p w14:paraId="458CBA9D"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0.00</w:t>
            </w:r>
          </w:p>
        </w:tc>
        <w:tc>
          <w:tcPr>
            <w:tcW w:w="720" w:type="dxa"/>
            <w:tcBorders>
              <w:top w:val="nil"/>
              <w:left w:val="nil"/>
              <w:bottom w:val="nil"/>
              <w:right w:val="nil"/>
            </w:tcBorders>
            <w:shd w:val="clear" w:color="000000" w:fill="D0CECE"/>
            <w:noWrap/>
            <w:vAlign w:val="bottom"/>
            <w:hideMark/>
          </w:tcPr>
          <w:p w14:paraId="42DFF725"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0.00</w:t>
            </w:r>
          </w:p>
        </w:tc>
        <w:tc>
          <w:tcPr>
            <w:tcW w:w="720" w:type="dxa"/>
            <w:tcBorders>
              <w:top w:val="nil"/>
              <w:left w:val="nil"/>
              <w:bottom w:val="nil"/>
              <w:right w:val="single" w:sz="8" w:space="0" w:color="auto"/>
            </w:tcBorders>
            <w:shd w:val="clear" w:color="auto" w:fill="auto"/>
            <w:noWrap/>
            <w:vAlign w:val="bottom"/>
            <w:hideMark/>
          </w:tcPr>
          <w:p w14:paraId="251925AD"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0.00</w:t>
            </w:r>
          </w:p>
        </w:tc>
        <w:tc>
          <w:tcPr>
            <w:tcW w:w="720" w:type="dxa"/>
            <w:tcBorders>
              <w:top w:val="nil"/>
              <w:left w:val="nil"/>
              <w:bottom w:val="nil"/>
              <w:right w:val="nil"/>
            </w:tcBorders>
            <w:shd w:val="clear" w:color="000000" w:fill="D0CECE"/>
            <w:noWrap/>
            <w:vAlign w:val="bottom"/>
            <w:hideMark/>
          </w:tcPr>
          <w:p w14:paraId="50C73284"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5.00</w:t>
            </w:r>
          </w:p>
        </w:tc>
        <w:tc>
          <w:tcPr>
            <w:tcW w:w="810" w:type="dxa"/>
            <w:tcBorders>
              <w:top w:val="nil"/>
              <w:left w:val="nil"/>
              <w:bottom w:val="nil"/>
              <w:right w:val="single" w:sz="8" w:space="0" w:color="auto"/>
            </w:tcBorders>
            <w:shd w:val="clear" w:color="auto" w:fill="auto"/>
            <w:noWrap/>
            <w:vAlign w:val="bottom"/>
            <w:hideMark/>
          </w:tcPr>
          <w:p w14:paraId="04E9D589"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3.00</w:t>
            </w:r>
          </w:p>
        </w:tc>
      </w:tr>
      <w:tr w:rsidR="00897352" w:rsidRPr="006A465C" w14:paraId="5CB5E88B" w14:textId="77777777" w:rsidTr="004E6736">
        <w:trPr>
          <w:gridAfter w:val="1"/>
          <w:wAfter w:w="5676" w:type="dxa"/>
          <w:trHeight w:val="340"/>
        </w:trPr>
        <w:tc>
          <w:tcPr>
            <w:tcW w:w="1060" w:type="dxa"/>
            <w:tcBorders>
              <w:top w:val="nil"/>
              <w:left w:val="single" w:sz="8" w:space="0" w:color="auto"/>
              <w:bottom w:val="single" w:sz="8" w:space="0" w:color="auto"/>
              <w:right w:val="single" w:sz="8" w:space="0" w:color="auto"/>
            </w:tcBorders>
            <w:shd w:val="clear" w:color="auto" w:fill="auto"/>
            <w:noWrap/>
            <w:vAlign w:val="bottom"/>
            <w:hideMark/>
          </w:tcPr>
          <w:p w14:paraId="5011340C"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6</w:t>
            </w:r>
          </w:p>
        </w:tc>
        <w:tc>
          <w:tcPr>
            <w:tcW w:w="830" w:type="dxa"/>
            <w:tcBorders>
              <w:top w:val="nil"/>
              <w:left w:val="nil"/>
              <w:bottom w:val="single" w:sz="8" w:space="0" w:color="auto"/>
              <w:right w:val="nil"/>
            </w:tcBorders>
            <w:shd w:val="clear" w:color="000000" w:fill="D0CECE"/>
            <w:noWrap/>
            <w:vAlign w:val="bottom"/>
            <w:hideMark/>
          </w:tcPr>
          <w:p w14:paraId="3F0688ED"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4.00</w:t>
            </w:r>
          </w:p>
        </w:tc>
        <w:tc>
          <w:tcPr>
            <w:tcW w:w="720" w:type="dxa"/>
            <w:tcBorders>
              <w:top w:val="nil"/>
              <w:left w:val="nil"/>
              <w:bottom w:val="single" w:sz="8" w:space="0" w:color="auto"/>
              <w:right w:val="single" w:sz="8" w:space="0" w:color="auto"/>
            </w:tcBorders>
            <w:shd w:val="clear" w:color="auto" w:fill="auto"/>
            <w:noWrap/>
            <w:vAlign w:val="bottom"/>
            <w:hideMark/>
          </w:tcPr>
          <w:p w14:paraId="78BFBA65"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4.00</w:t>
            </w:r>
          </w:p>
        </w:tc>
        <w:tc>
          <w:tcPr>
            <w:tcW w:w="630" w:type="dxa"/>
            <w:tcBorders>
              <w:top w:val="nil"/>
              <w:left w:val="nil"/>
              <w:bottom w:val="single" w:sz="8" w:space="0" w:color="auto"/>
              <w:right w:val="nil"/>
            </w:tcBorders>
            <w:shd w:val="clear" w:color="000000" w:fill="D0CECE"/>
            <w:noWrap/>
            <w:vAlign w:val="bottom"/>
            <w:hideMark/>
          </w:tcPr>
          <w:p w14:paraId="6E5EADC6"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4.00</w:t>
            </w:r>
          </w:p>
        </w:tc>
        <w:tc>
          <w:tcPr>
            <w:tcW w:w="720" w:type="dxa"/>
            <w:tcBorders>
              <w:top w:val="nil"/>
              <w:left w:val="nil"/>
              <w:bottom w:val="single" w:sz="8" w:space="0" w:color="auto"/>
              <w:right w:val="single" w:sz="8" w:space="0" w:color="auto"/>
            </w:tcBorders>
            <w:shd w:val="clear" w:color="auto" w:fill="auto"/>
            <w:noWrap/>
            <w:vAlign w:val="bottom"/>
            <w:hideMark/>
          </w:tcPr>
          <w:p w14:paraId="413D7326"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3.00</w:t>
            </w:r>
          </w:p>
        </w:tc>
        <w:tc>
          <w:tcPr>
            <w:tcW w:w="720" w:type="dxa"/>
            <w:tcBorders>
              <w:top w:val="nil"/>
              <w:left w:val="nil"/>
              <w:bottom w:val="single" w:sz="8" w:space="0" w:color="auto"/>
              <w:right w:val="nil"/>
            </w:tcBorders>
            <w:shd w:val="clear" w:color="000000" w:fill="D0CECE"/>
            <w:noWrap/>
            <w:vAlign w:val="bottom"/>
            <w:hideMark/>
          </w:tcPr>
          <w:p w14:paraId="6D775A22"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3.50</w:t>
            </w:r>
          </w:p>
        </w:tc>
        <w:tc>
          <w:tcPr>
            <w:tcW w:w="540" w:type="dxa"/>
            <w:tcBorders>
              <w:top w:val="nil"/>
              <w:left w:val="nil"/>
              <w:bottom w:val="single" w:sz="8" w:space="0" w:color="auto"/>
              <w:right w:val="single" w:sz="8" w:space="0" w:color="auto"/>
            </w:tcBorders>
            <w:shd w:val="clear" w:color="auto" w:fill="auto"/>
            <w:noWrap/>
            <w:vAlign w:val="bottom"/>
            <w:hideMark/>
          </w:tcPr>
          <w:p w14:paraId="16C9C8AF"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0.50</w:t>
            </w:r>
          </w:p>
        </w:tc>
        <w:tc>
          <w:tcPr>
            <w:tcW w:w="720" w:type="dxa"/>
            <w:tcBorders>
              <w:top w:val="nil"/>
              <w:left w:val="nil"/>
              <w:bottom w:val="single" w:sz="8" w:space="0" w:color="auto"/>
              <w:right w:val="nil"/>
            </w:tcBorders>
            <w:shd w:val="clear" w:color="000000" w:fill="D0CECE"/>
            <w:noWrap/>
            <w:vAlign w:val="bottom"/>
            <w:hideMark/>
          </w:tcPr>
          <w:p w14:paraId="56249EA4"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2.33</w:t>
            </w:r>
          </w:p>
        </w:tc>
        <w:tc>
          <w:tcPr>
            <w:tcW w:w="720" w:type="dxa"/>
            <w:tcBorders>
              <w:top w:val="nil"/>
              <w:left w:val="nil"/>
              <w:bottom w:val="single" w:sz="8" w:space="0" w:color="auto"/>
              <w:right w:val="single" w:sz="8" w:space="0" w:color="auto"/>
            </w:tcBorders>
            <w:shd w:val="clear" w:color="auto" w:fill="auto"/>
            <w:noWrap/>
            <w:vAlign w:val="bottom"/>
            <w:hideMark/>
          </w:tcPr>
          <w:p w14:paraId="55E6D4D7"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2.00</w:t>
            </w:r>
          </w:p>
        </w:tc>
        <w:tc>
          <w:tcPr>
            <w:tcW w:w="720" w:type="dxa"/>
            <w:tcBorders>
              <w:top w:val="nil"/>
              <w:left w:val="nil"/>
              <w:bottom w:val="single" w:sz="8" w:space="0" w:color="auto"/>
              <w:right w:val="nil"/>
            </w:tcBorders>
            <w:shd w:val="clear" w:color="000000" w:fill="D0CECE"/>
            <w:noWrap/>
            <w:vAlign w:val="bottom"/>
            <w:hideMark/>
          </w:tcPr>
          <w:p w14:paraId="13801F17"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4.50</w:t>
            </w:r>
          </w:p>
        </w:tc>
        <w:tc>
          <w:tcPr>
            <w:tcW w:w="810" w:type="dxa"/>
            <w:tcBorders>
              <w:top w:val="nil"/>
              <w:left w:val="nil"/>
              <w:bottom w:val="single" w:sz="8" w:space="0" w:color="auto"/>
              <w:right w:val="single" w:sz="8" w:space="0" w:color="auto"/>
            </w:tcBorders>
            <w:shd w:val="clear" w:color="auto" w:fill="auto"/>
            <w:noWrap/>
            <w:vAlign w:val="bottom"/>
            <w:hideMark/>
          </w:tcPr>
          <w:p w14:paraId="353566CF" w14:textId="77777777" w:rsidR="00897352" w:rsidRPr="006A465C" w:rsidRDefault="00897352" w:rsidP="004E6736">
            <w:pPr>
              <w:spacing w:after="0" w:line="240" w:lineRule="auto"/>
              <w:jc w:val="right"/>
              <w:rPr>
                <w:rFonts w:ascii="Times New Roman" w:eastAsia="Times New Roman" w:hAnsi="Times New Roman" w:cs="Times New Roman"/>
                <w:color w:val="000000"/>
                <w:sz w:val="24"/>
                <w:szCs w:val="24"/>
              </w:rPr>
            </w:pPr>
            <w:r w:rsidRPr="006A465C">
              <w:rPr>
                <w:rFonts w:ascii="Times New Roman" w:eastAsia="Times New Roman" w:hAnsi="Times New Roman" w:cs="Times New Roman"/>
                <w:color w:val="000000"/>
                <w:sz w:val="24"/>
                <w:szCs w:val="24"/>
              </w:rPr>
              <w:t>2.00</w:t>
            </w:r>
          </w:p>
        </w:tc>
      </w:tr>
    </w:tbl>
    <w:p w14:paraId="71BB78B2" w14:textId="49108C7B" w:rsidR="00C77AAF" w:rsidRDefault="00897352" w:rsidP="00C77AAF">
      <w:pPr>
        <w:spacing w:after="0" w:line="480" w:lineRule="auto"/>
        <w:rPr>
          <w:rFonts w:ascii="Times New Roman" w:hAnsi="Times New Roman" w:cs="Times New Roman"/>
          <w:sz w:val="24"/>
          <w:szCs w:val="24"/>
        </w:rPr>
      </w:pPr>
      <w:r>
        <w:rPr>
          <w:rFonts w:ascii="Times New Roman" w:hAnsi="Times New Roman" w:cs="Times New Roman"/>
          <w:sz w:val="24"/>
          <w:szCs w:val="24"/>
        </w:rPr>
        <w:t>VAS = visual analog scale, PSS = pain severity score, PIS = pain interference score, NPSI = neuropathic pain symptom inventory score, Pre = pre-BCI intervention score, Post = post-BCI intervention score</w:t>
      </w:r>
    </w:p>
    <w:p w14:paraId="20FB77B6" w14:textId="77777777" w:rsidR="00C77AAF" w:rsidRDefault="00C77AAF" w:rsidP="00C77AAF">
      <w:pPr>
        <w:spacing w:after="0" w:line="480" w:lineRule="auto"/>
        <w:rPr>
          <w:rFonts w:ascii="Times New Roman" w:hAnsi="Times New Roman" w:cs="Times New Roman"/>
          <w:sz w:val="24"/>
          <w:szCs w:val="24"/>
        </w:rPr>
      </w:pPr>
    </w:p>
    <w:p w14:paraId="3F0F8431" w14:textId="77777777" w:rsidR="00C77AAF" w:rsidRDefault="00C77AAF" w:rsidP="00C77AAF">
      <w:pPr>
        <w:spacing w:after="0" w:line="480" w:lineRule="auto"/>
        <w:rPr>
          <w:rFonts w:ascii="Times New Roman" w:hAnsi="Times New Roman" w:cs="Times New Roman"/>
          <w:sz w:val="24"/>
          <w:szCs w:val="24"/>
        </w:rPr>
      </w:pPr>
    </w:p>
    <w:p w14:paraId="6158D94C" w14:textId="77777777" w:rsidR="00C77AAF" w:rsidRDefault="00C77AAF" w:rsidP="00C77AAF">
      <w:pPr>
        <w:spacing w:after="0" w:line="480" w:lineRule="auto"/>
        <w:rPr>
          <w:rFonts w:ascii="Times New Roman" w:hAnsi="Times New Roman" w:cs="Times New Roman"/>
          <w:sz w:val="24"/>
          <w:szCs w:val="24"/>
        </w:rPr>
      </w:pPr>
    </w:p>
    <w:p w14:paraId="7A8430DA" w14:textId="77777777" w:rsidR="00C77AAF" w:rsidRDefault="00C77AAF" w:rsidP="00C77AAF">
      <w:pPr>
        <w:spacing w:after="0" w:line="480" w:lineRule="auto"/>
        <w:rPr>
          <w:rFonts w:ascii="Times New Roman" w:hAnsi="Times New Roman" w:cs="Times New Roman"/>
          <w:sz w:val="24"/>
          <w:szCs w:val="24"/>
        </w:rPr>
      </w:pPr>
    </w:p>
    <w:p w14:paraId="587D6A30" w14:textId="77777777" w:rsidR="00C77AAF" w:rsidRDefault="00C77AAF" w:rsidP="00C77AAF">
      <w:pPr>
        <w:spacing w:after="0" w:line="480" w:lineRule="auto"/>
        <w:rPr>
          <w:rFonts w:ascii="Times New Roman" w:hAnsi="Times New Roman" w:cs="Times New Roman"/>
          <w:sz w:val="24"/>
          <w:szCs w:val="24"/>
        </w:rPr>
      </w:pPr>
    </w:p>
    <w:p w14:paraId="1273D1B3" w14:textId="77777777" w:rsidR="00C77AAF" w:rsidRDefault="00C77AAF" w:rsidP="00C77AAF">
      <w:pPr>
        <w:spacing w:after="0" w:line="480" w:lineRule="auto"/>
        <w:rPr>
          <w:rFonts w:ascii="Times New Roman" w:hAnsi="Times New Roman" w:cs="Times New Roman"/>
          <w:sz w:val="24"/>
          <w:szCs w:val="24"/>
        </w:rPr>
      </w:pPr>
    </w:p>
    <w:p w14:paraId="477BA0EB" w14:textId="77777777" w:rsidR="00C77AAF" w:rsidRDefault="00C77AAF" w:rsidP="00C77AAF">
      <w:pPr>
        <w:spacing w:after="0" w:line="480" w:lineRule="auto"/>
        <w:rPr>
          <w:rFonts w:ascii="Times New Roman" w:hAnsi="Times New Roman" w:cs="Times New Roman"/>
          <w:sz w:val="24"/>
          <w:szCs w:val="24"/>
        </w:rPr>
      </w:pPr>
    </w:p>
    <w:p w14:paraId="62D76975" w14:textId="77777777" w:rsidR="00C77AAF" w:rsidRDefault="00C77AAF" w:rsidP="00C77AAF">
      <w:pPr>
        <w:spacing w:after="0" w:line="480" w:lineRule="auto"/>
        <w:rPr>
          <w:rFonts w:ascii="Times New Roman" w:hAnsi="Times New Roman" w:cs="Times New Roman"/>
          <w:sz w:val="24"/>
          <w:szCs w:val="24"/>
        </w:rPr>
      </w:pPr>
    </w:p>
    <w:p w14:paraId="772A1507" w14:textId="77777777" w:rsidR="00C77AAF" w:rsidRDefault="00C77AAF" w:rsidP="00C77AAF">
      <w:pPr>
        <w:spacing w:after="0" w:line="480" w:lineRule="auto"/>
        <w:rPr>
          <w:rFonts w:ascii="Times New Roman" w:hAnsi="Times New Roman" w:cs="Times New Roman"/>
          <w:sz w:val="24"/>
          <w:szCs w:val="24"/>
        </w:rPr>
      </w:pPr>
    </w:p>
    <w:p w14:paraId="506C5795" w14:textId="77777777" w:rsidR="00C77AAF" w:rsidRDefault="00C77AAF" w:rsidP="00C77AAF">
      <w:pPr>
        <w:spacing w:after="0" w:line="480" w:lineRule="auto"/>
        <w:rPr>
          <w:rFonts w:ascii="Times New Roman" w:hAnsi="Times New Roman" w:cs="Times New Roman"/>
          <w:sz w:val="24"/>
          <w:szCs w:val="24"/>
        </w:rPr>
      </w:pPr>
    </w:p>
    <w:p w14:paraId="3BE9AD22" w14:textId="77777777" w:rsidR="00C77AAF" w:rsidRDefault="00C77AAF" w:rsidP="00C77AAF">
      <w:pPr>
        <w:spacing w:after="0" w:line="480" w:lineRule="auto"/>
        <w:rPr>
          <w:rFonts w:ascii="Times New Roman" w:hAnsi="Times New Roman" w:cs="Times New Roman"/>
          <w:sz w:val="24"/>
          <w:szCs w:val="24"/>
        </w:rPr>
      </w:pPr>
    </w:p>
    <w:p w14:paraId="78218E4C" w14:textId="654DB560" w:rsidR="00C77AAF" w:rsidRDefault="00C77AAF" w:rsidP="00C77AAF">
      <w:pPr>
        <w:spacing w:after="0" w:line="480" w:lineRule="auto"/>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SUPPLEMENTAL REFERENCES</w:t>
      </w:r>
    </w:p>
    <w:p w14:paraId="422173A9" w14:textId="77777777" w:rsidR="00C77AAF" w:rsidRPr="00C77AAF" w:rsidRDefault="00C77AAF" w:rsidP="00C77AAF">
      <w:pPr>
        <w:pStyle w:val="Bibliography"/>
        <w:rPr>
          <w:rFonts w:ascii="Times New Roman" w:hAnsi="Times New Roman" w:cs="Times New Roman"/>
          <w:sz w:val="24"/>
        </w:rPr>
      </w:pPr>
      <w:r>
        <w:rPr>
          <w:b/>
          <w:bCs/>
          <w:u w:val="single"/>
        </w:rPr>
        <w:fldChar w:fldCharType="begin"/>
      </w:r>
      <w:r>
        <w:rPr>
          <w:b/>
          <w:bCs/>
          <w:u w:val="single"/>
        </w:rPr>
        <w:instrText xml:space="preserve"> ADDIN ZOTERO_BIBL {"uncited":[],"omitted":[],"custom":[]} CSL_BIBLIOGRAPHY </w:instrText>
      </w:r>
      <w:r>
        <w:rPr>
          <w:b/>
          <w:bCs/>
          <w:u w:val="single"/>
        </w:rPr>
        <w:fldChar w:fldCharType="separate"/>
      </w:r>
      <w:r w:rsidRPr="00C77AAF">
        <w:rPr>
          <w:rFonts w:ascii="Times New Roman" w:hAnsi="Times New Roman" w:cs="Times New Roman"/>
          <w:sz w:val="24"/>
        </w:rPr>
        <w:t>1.</w:t>
      </w:r>
      <w:r w:rsidRPr="00C77AAF">
        <w:rPr>
          <w:rFonts w:ascii="Times New Roman" w:hAnsi="Times New Roman" w:cs="Times New Roman"/>
          <w:sz w:val="24"/>
        </w:rPr>
        <w:tab/>
        <w:t xml:space="preserve">Finnerup, N. B., Sørensen, L., Biering-Sørensen, F., Johannesen, I. L. &amp; Jensen, T. S. Segmental hypersensitivity and spinothalamic function in spinal cord injury pain. </w:t>
      </w:r>
      <w:r w:rsidRPr="00C77AAF">
        <w:rPr>
          <w:rFonts w:ascii="Times New Roman" w:hAnsi="Times New Roman" w:cs="Times New Roman"/>
          <w:i/>
          <w:iCs/>
          <w:sz w:val="24"/>
        </w:rPr>
        <w:t>Exp. Neurol.</w:t>
      </w:r>
      <w:r w:rsidRPr="00C77AAF">
        <w:rPr>
          <w:rFonts w:ascii="Times New Roman" w:hAnsi="Times New Roman" w:cs="Times New Roman"/>
          <w:sz w:val="24"/>
        </w:rPr>
        <w:t xml:space="preserve"> </w:t>
      </w:r>
      <w:r w:rsidRPr="00C77AAF">
        <w:rPr>
          <w:rFonts w:ascii="Times New Roman" w:hAnsi="Times New Roman" w:cs="Times New Roman"/>
          <w:b/>
          <w:bCs/>
          <w:sz w:val="24"/>
        </w:rPr>
        <w:t>207</w:t>
      </w:r>
      <w:r w:rsidRPr="00C77AAF">
        <w:rPr>
          <w:rFonts w:ascii="Times New Roman" w:hAnsi="Times New Roman" w:cs="Times New Roman"/>
          <w:sz w:val="24"/>
        </w:rPr>
        <w:t>, 139–149 (2007).</w:t>
      </w:r>
    </w:p>
    <w:p w14:paraId="185EFFDA" w14:textId="77777777" w:rsidR="00C77AAF" w:rsidRPr="00C77AAF" w:rsidRDefault="00C77AAF" w:rsidP="00C77AAF">
      <w:pPr>
        <w:pStyle w:val="Bibliography"/>
        <w:rPr>
          <w:rFonts w:ascii="Times New Roman" w:hAnsi="Times New Roman" w:cs="Times New Roman"/>
          <w:sz w:val="24"/>
        </w:rPr>
      </w:pPr>
      <w:r w:rsidRPr="00C77AAF">
        <w:rPr>
          <w:rFonts w:ascii="Times New Roman" w:hAnsi="Times New Roman" w:cs="Times New Roman"/>
          <w:sz w:val="24"/>
        </w:rPr>
        <w:t>2.</w:t>
      </w:r>
      <w:r w:rsidRPr="00C77AAF">
        <w:rPr>
          <w:rFonts w:ascii="Times New Roman" w:hAnsi="Times New Roman" w:cs="Times New Roman"/>
          <w:sz w:val="24"/>
        </w:rPr>
        <w:tab/>
        <w:t xml:space="preserve">Rolke, R. </w:t>
      </w:r>
      <w:r w:rsidRPr="00C77AAF">
        <w:rPr>
          <w:rFonts w:ascii="Times New Roman" w:hAnsi="Times New Roman" w:cs="Times New Roman"/>
          <w:i/>
          <w:iCs/>
          <w:sz w:val="24"/>
        </w:rPr>
        <w:t>et al.</w:t>
      </w:r>
      <w:r w:rsidRPr="00C77AAF">
        <w:rPr>
          <w:rFonts w:ascii="Times New Roman" w:hAnsi="Times New Roman" w:cs="Times New Roman"/>
          <w:sz w:val="24"/>
        </w:rPr>
        <w:t xml:space="preserve"> Quantitative sensory testing in the German Research Network on Neuropathic Pain (DFNS): Standardized protocol and reference values. </w:t>
      </w:r>
      <w:r w:rsidRPr="00C77AAF">
        <w:rPr>
          <w:rFonts w:ascii="Times New Roman" w:hAnsi="Times New Roman" w:cs="Times New Roman"/>
          <w:i/>
          <w:iCs/>
          <w:sz w:val="24"/>
        </w:rPr>
        <w:t>PAIN</w:t>
      </w:r>
      <w:r w:rsidRPr="00C77AAF">
        <w:rPr>
          <w:rFonts w:ascii="Times New Roman" w:hAnsi="Times New Roman" w:cs="Times New Roman"/>
          <w:sz w:val="24"/>
        </w:rPr>
        <w:t xml:space="preserve"> </w:t>
      </w:r>
      <w:r w:rsidRPr="00C77AAF">
        <w:rPr>
          <w:rFonts w:ascii="Times New Roman" w:hAnsi="Times New Roman" w:cs="Times New Roman"/>
          <w:b/>
          <w:bCs/>
          <w:sz w:val="24"/>
        </w:rPr>
        <w:t>123</w:t>
      </w:r>
      <w:r w:rsidRPr="00C77AAF">
        <w:rPr>
          <w:rFonts w:ascii="Times New Roman" w:hAnsi="Times New Roman" w:cs="Times New Roman"/>
          <w:sz w:val="24"/>
        </w:rPr>
        <w:t>, 231–243 (2006).</w:t>
      </w:r>
    </w:p>
    <w:p w14:paraId="0F89FF6D" w14:textId="77777777" w:rsidR="00C77AAF" w:rsidRPr="00C77AAF" w:rsidRDefault="00C77AAF" w:rsidP="00C77AAF">
      <w:pPr>
        <w:pStyle w:val="Bibliography"/>
        <w:rPr>
          <w:rFonts w:ascii="Times New Roman" w:hAnsi="Times New Roman" w:cs="Times New Roman"/>
          <w:sz w:val="24"/>
        </w:rPr>
      </w:pPr>
      <w:r w:rsidRPr="00C77AAF">
        <w:rPr>
          <w:rFonts w:ascii="Times New Roman" w:hAnsi="Times New Roman" w:cs="Times New Roman"/>
          <w:sz w:val="24"/>
        </w:rPr>
        <w:t>3.</w:t>
      </w:r>
      <w:r w:rsidRPr="00C77AAF">
        <w:rPr>
          <w:rFonts w:ascii="Times New Roman" w:hAnsi="Times New Roman" w:cs="Times New Roman"/>
          <w:sz w:val="24"/>
        </w:rPr>
        <w:tab/>
        <w:t xml:space="preserve">Baumgärtner, U., Magerl, W., Klein, T., Hopf, H. C. &amp; Treede, R. D. Neurogenic hyperalgesia versus painful hypoalgesia: two distinct mechanisms of neuropathic pain. </w:t>
      </w:r>
      <w:r w:rsidRPr="00C77AAF">
        <w:rPr>
          <w:rFonts w:ascii="Times New Roman" w:hAnsi="Times New Roman" w:cs="Times New Roman"/>
          <w:i/>
          <w:iCs/>
          <w:sz w:val="24"/>
        </w:rPr>
        <w:t>Pain</w:t>
      </w:r>
      <w:r w:rsidRPr="00C77AAF">
        <w:rPr>
          <w:rFonts w:ascii="Times New Roman" w:hAnsi="Times New Roman" w:cs="Times New Roman"/>
          <w:sz w:val="24"/>
        </w:rPr>
        <w:t xml:space="preserve"> </w:t>
      </w:r>
      <w:r w:rsidRPr="00C77AAF">
        <w:rPr>
          <w:rFonts w:ascii="Times New Roman" w:hAnsi="Times New Roman" w:cs="Times New Roman"/>
          <w:b/>
          <w:bCs/>
          <w:sz w:val="24"/>
        </w:rPr>
        <w:t>96</w:t>
      </w:r>
      <w:r w:rsidRPr="00C77AAF">
        <w:rPr>
          <w:rFonts w:ascii="Times New Roman" w:hAnsi="Times New Roman" w:cs="Times New Roman"/>
          <w:sz w:val="24"/>
        </w:rPr>
        <w:t>, 141–151 (2002).</w:t>
      </w:r>
    </w:p>
    <w:p w14:paraId="3C18B909" w14:textId="77777777" w:rsidR="00C77AAF" w:rsidRPr="00C77AAF" w:rsidRDefault="00C77AAF" w:rsidP="00C77AAF">
      <w:pPr>
        <w:pStyle w:val="Bibliography"/>
        <w:rPr>
          <w:rFonts w:ascii="Times New Roman" w:hAnsi="Times New Roman" w:cs="Times New Roman"/>
          <w:sz w:val="24"/>
        </w:rPr>
      </w:pPr>
      <w:r w:rsidRPr="00C77AAF">
        <w:rPr>
          <w:rFonts w:ascii="Times New Roman" w:hAnsi="Times New Roman" w:cs="Times New Roman"/>
          <w:sz w:val="24"/>
        </w:rPr>
        <w:t>4.</w:t>
      </w:r>
      <w:r w:rsidRPr="00C77AAF">
        <w:rPr>
          <w:rFonts w:ascii="Times New Roman" w:hAnsi="Times New Roman" w:cs="Times New Roman"/>
          <w:sz w:val="24"/>
        </w:rPr>
        <w:tab/>
        <w:t xml:space="preserve">Yarnitsky, D., Sprecher, E., Zaslansky, R. &amp; Hemli, J. A. Heat pain thresholds: normative data and repeatability. </w:t>
      </w:r>
      <w:r w:rsidRPr="00C77AAF">
        <w:rPr>
          <w:rFonts w:ascii="Times New Roman" w:hAnsi="Times New Roman" w:cs="Times New Roman"/>
          <w:i/>
          <w:iCs/>
          <w:sz w:val="24"/>
        </w:rPr>
        <w:t>Pain</w:t>
      </w:r>
      <w:r w:rsidRPr="00C77AAF">
        <w:rPr>
          <w:rFonts w:ascii="Times New Roman" w:hAnsi="Times New Roman" w:cs="Times New Roman"/>
          <w:sz w:val="24"/>
        </w:rPr>
        <w:t xml:space="preserve"> </w:t>
      </w:r>
      <w:r w:rsidRPr="00C77AAF">
        <w:rPr>
          <w:rFonts w:ascii="Times New Roman" w:hAnsi="Times New Roman" w:cs="Times New Roman"/>
          <w:b/>
          <w:bCs/>
          <w:sz w:val="24"/>
        </w:rPr>
        <w:t>60</w:t>
      </w:r>
      <w:r w:rsidRPr="00C77AAF">
        <w:rPr>
          <w:rFonts w:ascii="Times New Roman" w:hAnsi="Times New Roman" w:cs="Times New Roman"/>
          <w:sz w:val="24"/>
        </w:rPr>
        <w:t>, 329–332 (1995).</w:t>
      </w:r>
    </w:p>
    <w:p w14:paraId="1B7F7034" w14:textId="77777777" w:rsidR="00C77AAF" w:rsidRPr="00C77AAF" w:rsidRDefault="00C77AAF" w:rsidP="00C77AAF">
      <w:pPr>
        <w:pStyle w:val="Bibliography"/>
        <w:rPr>
          <w:rFonts w:ascii="Times New Roman" w:hAnsi="Times New Roman" w:cs="Times New Roman"/>
          <w:sz w:val="24"/>
        </w:rPr>
      </w:pPr>
      <w:r w:rsidRPr="00C77AAF">
        <w:rPr>
          <w:rFonts w:ascii="Times New Roman" w:hAnsi="Times New Roman" w:cs="Times New Roman"/>
          <w:sz w:val="24"/>
        </w:rPr>
        <w:t>5.</w:t>
      </w:r>
      <w:r w:rsidRPr="00C77AAF">
        <w:rPr>
          <w:rFonts w:ascii="Times New Roman" w:hAnsi="Times New Roman" w:cs="Times New Roman"/>
          <w:sz w:val="24"/>
        </w:rPr>
        <w:tab/>
        <w:t xml:space="preserve">Fruhstorfer, H., Lindblom, U. &amp; Schmidt, W. C. Method for quantitative estimation of thermal thresholds in patients. </w:t>
      </w:r>
      <w:r w:rsidRPr="00C77AAF">
        <w:rPr>
          <w:rFonts w:ascii="Times New Roman" w:hAnsi="Times New Roman" w:cs="Times New Roman"/>
          <w:i/>
          <w:iCs/>
          <w:sz w:val="24"/>
        </w:rPr>
        <w:t>J. Neurol. Neurosurg. Psychiatry</w:t>
      </w:r>
      <w:r w:rsidRPr="00C77AAF">
        <w:rPr>
          <w:rFonts w:ascii="Times New Roman" w:hAnsi="Times New Roman" w:cs="Times New Roman"/>
          <w:sz w:val="24"/>
        </w:rPr>
        <w:t xml:space="preserve"> </w:t>
      </w:r>
      <w:r w:rsidRPr="00C77AAF">
        <w:rPr>
          <w:rFonts w:ascii="Times New Roman" w:hAnsi="Times New Roman" w:cs="Times New Roman"/>
          <w:b/>
          <w:bCs/>
          <w:sz w:val="24"/>
        </w:rPr>
        <w:t>39</w:t>
      </w:r>
      <w:r w:rsidRPr="00C77AAF">
        <w:rPr>
          <w:rFonts w:ascii="Times New Roman" w:hAnsi="Times New Roman" w:cs="Times New Roman"/>
          <w:sz w:val="24"/>
        </w:rPr>
        <w:t>, 1071–1075 (1976).</w:t>
      </w:r>
    </w:p>
    <w:p w14:paraId="03003DE1" w14:textId="77777777" w:rsidR="00C77AAF" w:rsidRPr="00C77AAF" w:rsidRDefault="00C77AAF" w:rsidP="00C77AAF">
      <w:pPr>
        <w:pStyle w:val="Bibliography"/>
        <w:rPr>
          <w:rFonts w:ascii="Times New Roman" w:hAnsi="Times New Roman" w:cs="Times New Roman"/>
          <w:sz w:val="24"/>
        </w:rPr>
      </w:pPr>
      <w:r w:rsidRPr="00C77AAF">
        <w:rPr>
          <w:rFonts w:ascii="Times New Roman" w:hAnsi="Times New Roman" w:cs="Times New Roman"/>
          <w:sz w:val="24"/>
        </w:rPr>
        <w:t>6.</w:t>
      </w:r>
      <w:r w:rsidRPr="00C77AAF">
        <w:rPr>
          <w:rFonts w:ascii="Times New Roman" w:hAnsi="Times New Roman" w:cs="Times New Roman"/>
          <w:sz w:val="24"/>
        </w:rPr>
        <w:tab/>
        <w:t xml:space="preserve">Magerl, W., Wilk, S. H. &amp; Treede, R. D. Secondary hyperalgesia and perceptual wind-up following intradermal injection of capsaicin in humans. </w:t>
      </w:r>
      <w:r w:rsidRPr="00C77AAF">
        <w:rPr>
          <w:rFonts w:ascii="Times New Roman" w:hAnsi="Times New Roman" w:cs="Times New Roman"/>
          <w:i/>
          <w:iCs/>
          <w:sz w:val="24"/>
        </w:rPr>
        <w:t>Pain</w:t>
      </w:r>
      <w:r w:rsidRPr="00C77AAF">
        <w:rPr>
          <w:rFonts w:ascii="Times New Roman" w:hAnsi="Times New Roman" w:cs="Times New Roman"/>
          <w:sz w:val="24"/>
        </w:rPr>
        <w:t xml:space="preserve"> </w:t>
      </w:r>
      <w:r w:rsidRPr="00C77AAF">
        <w:rPr>
          <w:rFonts w:ascii="Times New Roman" w:hAnsi="Times New Roman" w:cs="Times New Roman"/>
          <w:b/>
          <w:bCs/>
          <w:sz w:val="24"/>
        </w:rPr>
        <w:t>74</w:t>
      </w:r>
      <w:r w:rsidRPr="00C77AAF">
        <w:rPr>
          <w:rFonts w:ascii="Times New Roman" w:hAnsi="Times New Roman" w:cs="Times New Roman"/>
          <w:sz w:val="24"/>
        </w:rPr>
        <w:t>, 257–268 (1998).</w:t>
      </w:r>
    </w:p>
    <w:p w14:paraId="3B52A30D" w14:textId="77777777" w:rsidR="00C77AAF" w:rsidRPr="00C77AAF" w:rsidRDefault="00C77AAF" w:rsidP="00C77AAF">
      <w:pPr>
        <w:pStyle w:val="Bibliography"/>
        <w:rPr>
          <w:rFonts w:ascii="Times New Roman" w:hAnsi="Times New Roman" w:cs="Times New Roman"/>
          <w:sz w:val="24"/>
        </w:rPr>
      </w:pPr>
      <w:r w:rsidRPr="00C77AAF">
        <w:rPr>
          <w:rFonts w:ascii="Times New Roman" w:hAnsi="Times New Roman" w:cs="Times New Roman"/>
          <w:sz w:val="24"/>
        </w:rPr>
        <w:t>7.</w:t>
      </w:r>
      <w:r w:rsidRPr="00C77AAF">
        <w:rPr>
          <w:rFonts w:ascii="Times New Roman" w:hAnsi="Times New Roman" w:cs="Times New Roman"/>
          <w:sz w:val="24"/>
        </w:rPr>
        <w:tab/>
        <w:t xml:space="preserve">Goldberg, J. M. &amp; Lindblom, U. Standardised method of determining vibratory perception thresholds for diagnosis and screening in neurological investigation. </w:t>
      </w:r>
      <w:r w:rsidRPr="00C77AAF">
        <w:rPr>
          <w:rFonts w:ascii="Times New Roman" w:hAnsi="Times New Roman" w:cs="Times New Roman"/>
          <w:i/>
          <w:iCs/>
          <w:sz w:val="24"/>
        </w:rPr>
        <w:t>J. Neurol. Neurosurg. Psychiatry</w:t>
      </w:r>
      <w:r w:rsidRPr="00C77AAF">
        <w:rPr>
          <w:rFonts w:ascii="Times New Roman" w:hAnsi="Times New Roman" w:cs="Times New Roman"/>
          <w:sz w:val="24"/>
        </w:rPr>
        <w:t xml:space="preserve"> </w:t>
      </w:r>
      <w:r w:rsidRPr="00C77AAF">
        <w:rPr>
          <w:rFonts w:ascii="Times New Roman" w:hAnsi="Times New Roman" w:cs="Times New Roman"/>
          <w:b/>
          <w:bCs/>
          <w:sz w:val="24"/>
        </w:rPr>
        <w:t>42</w:t>
      </w:r>
      <w:r w:rsidRPr="00C77AAF">
        <w:rPr>
          <w:rFonts w:ascii="Times New Roman" w:hAnsi="Times New Roman" w:cs="Times New Roman"/>
          <w:sz w:val="24"/>
        </w:rPr>
        <w:t>, 793–803 (1979).</w:t>
      </w:r>
    </w:p>
    <w:p w14:paraId="6C45FA0C" w14:textId="77777777" w:rsidR="00C77AAF" w:rsidRPr="00C77AAF" w:rsidRDefault="00C77AAF" w:rsidP="00C77AAF">
      <w:pPr>
        <w:pStyle w:val="Bibliography"/>
        <w:rPr>
          <w:rFonts w:ascii="Times New Roman" w:hAnsi="Times New Roman" w:cs="Times New Roman"/>
          <w:sz w:val="24"/>
        </w:rPr>
      </w:pPr>
      <w:r w:rsidRPr="00C77AAF">
        <w:rPr>
          <w:rFonts w:ascii="Times New Roman" w:hAnsi="Times New Roman" w:cs="Times New Roman"/>
          <w:sz w:val="24"/>
        </w:rPr>
        <w:t>8.</w:t>
      </w:r>
      <w:r w:rsidRPr="00C77AAF">
        <w:rPr>
          <w:rFonts w:ascii="Times New Roman" w:hAnsi="Times New Roman" w:cs="Times New Roman"/>
          <w:sz w:val="24"/>
        </w:rPr>
        <w:tab/>
        <w:t xml:space="preserve">Fagius, J. &amp; Wahren, L. K. Variability of sensory threshold determination in clinical use. </w:t>
      </w:r>
      <w:r w:rsidRPr="00C77AAF">
        <w:rPr>
          <w:rFonts w:ascii="Times New Roman" w:hAnsi="Times New Roman" w:cs="Times New Roman"/>
          <w:i/>
          <w:iCs/>
          <w:sz w:val="24"/>
        </w:rPr>
        <w:t>J. Neurol. Sci.</w:t>
      </w:r>
      <w:r w:rsidRPr="00C77AAF">
        <w:rPr>
          <w:rFonts w:ascii="Times New Roman" w:hAnsi="Times New Roman" w:cs="Times New Roman"/>
          <w:sz w:val="24"/>
        </w:rPr>
        <w:t xml:space="preserve"> </w:t>
      </w:r>
      <w:r w:rsidRPr="00C77AAF">
        <w:rPr>
          <w:rFonts w:ascii="Times New Roman" w:hAnsi="Times New Roman" w:cs="Times New Roman"/>
          <w:b/>
          <w:bCs/>
          <w:sz w:val="24"/>
        </w:rPr>
        <w:t>51</w:t>
      </w:r>
      <w:r w:rsidRPr="00C77AAF">
        <w:rPr>
          <w:rFonts w:ascii="Times New Roman" w:hAnsi="Times New Roman" w:cs="Times New Roman"/>
          <w:sz w:val="24"/>
        </w:rPr>
        <w:t>, 11–27 (1981).</w:t>
      </w:r>
    </w:p>
    <w:p w14:paraId="53968469" w14:textId="77777777" w:rsidR="00C77AAF" w:rsidRPr="00C77AAF" w:rsidRDefault="00C77AAF" w:rsidP="00C77AAF">
      <w:pPr>
        <w:pStyle w:val="Bibliography"/>
        <w:rPr>
          <w:rFonts w:ascii="Times New Roman" w:hAnsi="Times New Roman" w:cs="Times New Roman"/>
          <w:sz w:val="24"/>
        </w:rPr>
      </w:pPr>
      <w:r w:rsidRPr="00C77AAF">
        <w:rPr>
          <w:rFonts w:ascii="Times New Roman" w:hAnsi="Times New Roman" w:cs="Times New Roman"/>
          <w:sz w:val="24"/>
        </w:rPr>
        <w:t>9.</w:t>
      </w:r>
      <w:r w:rsidRPr="00C77AAF">
        <w:rPr>
          <w:rFonts w:ascii="Times New Roman" w:hAnsi="Times New Roman" w:cs="Times New Roman"/>
          <w:sz w:val="24"/>
        </w:rPr>
        <w:tab/>
        <w:t xml:space="preserve">Schacter, D. L. EEG theta waves and psychological phenomena: a review and analysis. </w:t>
      </w:r>
      <w:r w:rsidRPr="00C77AAF">
        <w:rPr>
          <w:rFonts w:ascii="Times New Roman" w:hAnsi="Times New Roman" w:cs="Times New Roman"/>
          <w:i/>
          <w:iCs/>
          <w:sz w:val="24"/>
        </w:rPr>
        <w:t>Biol. Psychol.</w:t>
      </w:r>
      <w:r w:rsidRPr="00C77AAF">
        <w:rPr>
          <w:rFonts w:ascii="Times New Roman" w:hAnsi="Times New Roman" w:cs="Times New Roman"/>
          <w:sz w:val="24"/>
        </w:rPr>
        <w:t xml:space="preserve"> </w:t>
      </w:r>
      <w:r w:rsidRPr="00C77AAF">
        <w:rPr>
          <w:rFonts w:ascii="Times New Roman" w:hAnsi="Times New Roman" w:cs="Times New Roman"/>
          <w:b/>
          <w:bCs/>
          <w:sz w:val="24"/>
        </w:rPr>
        <w:t>5</w:t>
      </w:r>
      <w:r w:rsidRPr="00C77AAF">
        <w:rPr>
          <w:rFonts w:ascii="Times New Roman" w:hAnsi="Times New Roman" w:cs="Times New Roman"/>
          <w:sz w:val="24"/>
        </w:rPr>
        <w:t>, 47–82 (1977).</w:t>
      </w:r>
    </w:p>
    <w:p w14:paraId="50629945" w14:textId="77777777" w:rsidR="00C77AAF" w:rsidRPr="00C77AAF" w:rsidRDefault="00C77AAF" w:rsidP="00C77AAF">
      <w:pPr>
        <w:pStyle w:val="Bibliography"/>
        <w:rPr>
          <w:rFonts w:ascii="Times New Roman" w:hAnsi="Times New Roman" w:cs="Times New Roman"/>
          <w:sz w:val="24"/>
        </w:rPr>
      </w:pPr>
      <w:r w:rsidRPr="00C77AAF">
        <w:rPr>
          <w:rFonts w:ascii="Times New Roman" w:hAnsi="Times New Roman" w:cs="Times New Roman"/>
          <w:sz w:val="24"/>
        </w:rPr>
        <w:t>10.</w:t>
      </w:r>
      <w:r w:rsidRPr="00C77AAF">
        <w:rPr>
          <w:rFonts w:ascii="Times New Roman" w:hAnsi="Times New Roman" w:cs="Times New Roman"/>
          <w:sz w:val="24"/>
        </w:rPr>
        <w:tab/>
        <w:t xml:space="preserve">Inanaga, K. Frontal midline theta rhythm and mental activity. </w:t>
      </w:r>
      <w:r w:rsidRPr="00C77AAF">
        <w:rPr>
          <w:rFonts w:ascii="Times New Roman" w:hAnsi="Times New Roman" w:cs="Times New Roman"/>
          <w:i/>
          <w:iCs/>
          <w:sz w:val="24"/>
        </w:rPr>
        <w:t>Psychiatry Clin. Neurosci.</w:t>
      </w:r>
      <w:r w:rsidRPr="00C77AAF">
        <w:rPr>
          <w:rFonts w:ascii="Times New Roman" w:hAnsi="Times New Roman" w:cs="Times New Roman"/>
          <w:sz w:val="24"/>
        </w:rPr>
        <w:t xml:space="preserve"> </w:t>
      </w:r>
      <w:r w:rsidRPr="00C77AAF">
        <w:rPr>
          <w:rFonts w:ascii="Times New Roman" w:hAnsi="Times New Roman" w:cs="Times New Roman"/>
          <w:b/>
          <w:bCs/>
          <w:sz w:val="24"/>
        </w:rPr>
        <w:t>52</w:t>
      </w:r>
      <w:r w:rsidRPr="00C77AAF">
        <w:rPr>
          <w:rFonts w:ascii="Times New Roman" w:hAnsi="Times New Roman" w:cs="Times New Roman"/>
          <w:sz w:val="24"/>
        </w:rPr>
        <w:t>, 555–566 (1998).</w:t>
      </w:r>
    </w:p>
    <w:p w14:paraId="719EBFD5" w14:textId="77777777" w:rsidR="00C77AAF" w:rsidRPr="00C77AAF" w:rsidRDefault="00C77AAF" w:rsidP="00C77AAF">
      <w:pPr>
        <w:pStyle w:val="Bibliography"/>
        <w:rPr>
          <w:rFonts w:ascii="Times New Roman" w:hAnsi="Times New Roman" w:cs="Times New Roman"/>
          <w:sz w:val="24"/>
        </w:rPr>
      </w:pPr>
      <w:r w:rsidRPr="00C77AAF">
        <w:rPr>
          <w:rFonts w:ascii="Times New Roman" w:hAnsi="Times New Roman" w:cs="Times New Roman"/>
          <w:sz w:val="24"/>
        </w:rPr>
        <w:t>11.</w:t>
      </w:r>
      <w:r w:rsidRPr="00C77AAF">
        <w:rPr>
          <w:rFonts w:ascii="Times New Roman" w:hAnsi="Times New Roman" w:cs="Times New Roman"/>
          <w:sz w:val="24"/>
        </w:rPr>
        <w:tab/>
        <w:t xml:space="preserve">Gärtner, M., Grimm, S. &amp; Bajbouj, M. Frontal midline theta oscillations during mental arithmetic: effects of stress. </w:t>
      </w:r>
      <w:r w:rsidRPr="00C77AAF">
        <w:rPr>
          <w:rFonts w:ascii="Times New Roman" w:hAnsi="Times New Roman" w:cs="Times New Roman"/>
          <w:i/>
          <w:iCs/>
          <w:sz w:val="24"/>
        </w:rPr>
        <w:t>Front. Behav. Neurosci.</w:t>
      </w:r>
      <w:r w:rsidRPr="00C77AAF">
        <w:rPr>
          <w:rFonts w:ascii="Times New Roman" w:hAnsi="Times New Roman" w:cs="Times New Roman"/>
          <w:sz w:val="24"/>
        </w:rPr>
        <w:t xml:space="preserve"> </w:t>
      </w:r>
      <w:r w:rsidRPr="00C77AAF">
        <w:rPr>
          <w:rFonts w:ascii="Times New Roman" w:hAnsi="Times New Roman" w:cs="Times New Roman"/>
          <w:b/>
          <w:bCs/>
          <w:sz w:val="24"/>
        </w:rPr>
        <w:t>9</w:t>
      </w:r>
      <w:r w:rsidRPr="00C77AAF">
        <w:rPr>
          <w:rFonts w:ascii="Times New Roman" w:hAnsi="Times New Roman" w:cs="Times New Roman"/>
          <w:sz w:val="24"/>
        </w:rPr>
        <w:t>, 96 (2015).</w:t>
      </w:r>
    </w:p>
    <w:p w14:paraId="7730D241" w14:textId="0F6AB6F7" w:rsidR="00C77AAF" w:rsidRPr="00C77AAF" w:rsidRDefault="00C77AAF" w:rsidP="00C77AAF">
      <w:pPr>
        <w:spacing w:after="0" w:line="480" w:lineRule="auto"/>
        <w:rPr>
          <w:rFonts w:ascii="Times New Roman" w:hAnsi="Times New Roman" w:cs="Times New Roman"/>
          <w:b/>
          <w:bCs/>
          <w:sz w:val="24"/>
          <w:szCs w:val="24"/>
          <w:u w:val="single"/>
        </w:rPr>
      </w:pPr>
      <w:r>
        <w:rPr>
          <w:rFonts w:ascii="Times New Roman" w:hAnsi="Times New Roman" w:cs="Times New Roman"/>
          <w:b/>
          <w:bCs/>
          <w:sz w:val="24"/>
          <w:szCs w:val="24"/>
          <w:u w:val="single"/>
        </w:rPr>
        <w:fldChar w:fldCharType="end"/>
      </w:r>
    </w:p>
    <w:sectPr w:rsidR="00C77AAF" w:rsidRPr="00C77AAF" w:rsidSect="008A144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F1D97" w14:textId="77777777" w:rsidR="00BF77CD" w:rsidRDefault="00BF77CD" w:rsidP="00C77AAF">
      <w:pPr>
        <w:spacing w:after="0" w:line="240" w:lineRule="auto"/>
      </w:pPr>
      <w:r>
        <w:separator/>
      </w:r>
    </w:p>
  </w:endnote>
  <w:endnote w:type="continuationSeparator" w:id="0">
    <w:p w14:paraId="1918E329" w14:textId="77777777" w:rsidR="00BF77CD" w:rsidRDefault="00BF77CD" w:rsidP="00C77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5F401" w14:textId="77777777" w:rsidR="00BF77CD" w:rsidRDefault="00BF77CD" w:rsidP="00C77AAF">
      <w:pPr>
        <w:spacing w:after="0" w:line="240" w:lineRule="auto"/>
      </w:pPr>
      <w:r>
        <w:separator/>
      </w:r>
    </w:p>
  </w:footnote>
  <w:footnote w:type="continuationSeparator" w:id="0">
    <w:p w14:paraId="63262849" w14:textId="77777777" w:rsidR="00BF77CD" w:rsidRDefault="00BF77CD" w:rsidP="00C77A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449"/>
    <w:rsid w:val="000D4931"/>
    <w:rsid w:val="00334FCD"/>
    <w:rsid w:val="00445EB7"/>
    <w:rsid w:val="00462AF0"/>
    <w:rsid w:val="004B71BF"/>
    <w:rsid w:val="005D1673"/>
    <w:rsid w:val="00695255"/>
    <w:rsid w:val="006A1DA2"/>
    <w:rsid w:val="006A4BB6"/>
    <w:rsid w:val="00794DAB"/>
    <w:rsid w:val="007C5551"/>
    <w:rsid w:val="00897352"/>
    <w:rsid w:val="008A1449"/>
    <w:rsid w:val="00A21751"/>
    <w:rsid w:val="00BF77CD"/>
    <w:rsid w:val="00C64AF2"/>
    <w:rsid w:val="00C77AAF"/>
    <w:rsid w:val="00CD1A36"/>
    <w:rsid w:val="00DB2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6331E"/>
  <w15:chartTrackingRefBased/>
  <w15:docId w15:val="{27E82846-F870-6247-9D83-A2111AAFA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44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77A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7AAF"/>
    <w:rPr>
      <w:sz w:val="20"/>
      <w:szCs w:val="20"/>
    </w:rPr>
  </w:style>
  <w:style w:type="character" w:styleId="FootnoteReference">
    <w:name w:val="footnote reference"/>
    <w:basedOn w:val="DefaultParagraphFont"/>
    <w:uiPriority w:val="99"/>
    <w:semiHidden/>
    <w:unhideWhenUsed/>
    <w:rsid w:val="00C77AAF"/>
    <w:rPr>
      <w:vertAlign w:val="superscript"/>
    </w:rPr>
  </w:style>
  <w:style w:type="paragraph" w:styleId="Bibliography">
    <w:name w:val="Bibliography"/>
    <w:basedOn w:val="Normal"/>
    <w:next w:val="Normal"/>
    <w:uiPriority w:val="37"/>
    <w:unhideWhenUsed/>
    <w:rsid w:val="00C77AAF"/>
    <w:pPr>
      <w:tabs>
        <w:tab w:val="left" w:pos="384"/>
      </w:tabs>
      <w:spacing w:after="0" w:line="48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10</Pages>
  <Words>5293</Words>
  <Characters>30171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Demarest, Phillip</dc:creator>
  <cp:keywords/>
  <dc:description/>
  <cp:lastModifiedBy>Demarest, Phillip</cp:lastModifiedBy>
  <cp:revision>9</cp:revision>
  <dcterms:created xsi:type="dcterms:W3CDTF">2023-04-04T23:58:00Z</dcterms:created>
  <dcterms:modified xsi:type="dcterms:W3CDTF">2023-05-16T17:26:00Z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38c9ac85d99149da38b73ce7fb2c865293970cae48e77f567e95d0f0b75d1544</vt:lpwstr>
  </property>
  <property fmtid="{D5CDD505-2E9C-101B-9397-08002B2CF9AE}" pid="3" name="ZOTERO_PREF_1">
    <vt:lpwstr>&lt;data data-version="3" zotero-version="6.0.26"&gt;&lt;session id="DY3oXpJy"/&gt;&lt;style id="http://www.zotero.org/styles/nature" hasBibliography="1" bibliographyStyleHasBeenSet="1"/&gt;&lt;prefs&gt;&lt;pref name="fieldType" value="Field"/&gt;&lt;pref name="automaticJournalAbbreviati</vt:lpwstr>
  </property>
  <property fmtid="{D5CDD505-2E9C-101B-9397-08002B2CF9AE}" pid="4" name="ZOTERO_PREF_2">
    <vt:lpwstr>ons" value="true"/&gt;&lt;/prefs&gt;&lt;/data&gt;</vt:lpwstr>
  </property>
</Properties>
</file>