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B4B" w:rsidRPr="005136E6" w:rsidRDefault="00F55B4B" w:rsidP="00BC1524">
      <w:pPr>
        <w:autoSpaceDE w:val="0"/>
        <w:autoSpaceDN w:val="0"/>
        <w:adjustRightInd w:val="0"/>
        <w:spacing w:after="0" w:line="240" w:lineRule="auto"/>
        <w:ind w:right="-180"/>
        <w:jc w:val="both"/>
        <w:rPr>
          <w:rFonts w:asciiTheme="majorBidi" w:eastAsia="Calibri" w:hAnsiTheme="majorBidi" w:cstheme="majorBidi"/>
          <w:b/>
          <w:bCs/>
          <w:lang w:bidi="fa-IR"/>
        </w:rPr>
      </w:pPr>
    </w:p>
    <w:p w:rsidR="007D3B50" w:rsidRPr="005136E6" w:rsidRDefault="007D3B50" w:rsidP="00BC1524">
      <w:pPr>
        <w:autoSpaceDE w:val="0"/>
        <w:autoSpaceDN w:val="0"/>
        <w:adjustRightInd w:val="0"/>
        <w:spacing w:after="0" w:line="240" w:lineRule="auto"/>
        <w:ind w:right="-180"/>
        <w:jc w:val="both"/>
        <w:rPr>
          <w:rFonts w:asciiTheme="majorBidi" w:hAnsiTheme="majorBidi" w:cstheme="majorBidi"/>
          <w:b/>
          <w:bCs/>
          <w:sz w:val="24"/>
          <w:szCs w:val="24"/>
        </w:rPr>
      </w:pPr>
      <w:r w:rsidRPr="005136E6">
        <w:rPr>
          <w:rFonts w:asciiTheme="majorBidi" w:eastAsia="Calibri" w:hAnsiTheme="majorBidi" w:cstheme="majorBidi"/>
          <w:b/>
          <w:bCs/>
          <w:sz w:val="24"/>
          <w:szCs w:val="24"/>
          <w:lang w:bidi="fa-IR"/>
        </w:rPr>
        <w:t>Supplementary Method</w:t>
      </w:r>
    </w:p>
    <w:p w:rsidR="007D3B50" w:rsidRPr="005136E6" w:rsidRDefault="007D3B50" w:rsidP="00BC1524">
      <w:pPr>
        <w:autoSpaceDE w:val="0"/>
        <w:autoSpaceDN w:val="0"/>
        <w:adjustRightInd w:val="0"/>
        <w:spacing w:after="0" w:line="240" w:lineRule="auto"/>
        <w:ind w:right="-180"/>
        <w:jc w:val="both"/>
        <w:rPr>
          <w:rFonts w:asciiTheme="majorBidi" w:hAnsiTheme="majorBidi" w:cstheme="majorBidi"/>
          <w:b/>
          <w:bCs/>
        </w:rPr>
      </w:pPr>
    </w:p>
    <w:p w:rsidR="00BC1524" w:rsidRPr="005136E6" w:rsidRDefault="00BC1524" w:rsidP="00BC1524">
      <w:pPr>
        <w:autoSpaceDE w:val="0"/>
        <w:autoSpaceDN w:val="0"/>
        <w:adjustRightInd w:val="0"/>
        <w:spacing w:after="0" w:line="240" w:lineRule="auto"/>
        <w:ind w:right="-180"/>
        <w:jc w:val="both"/>
        <w:rPr>
          <w:rFonts w:asciiTheme="majorBidi" w:hAnsiTheme="majorBidi" w:cstheme="majorBidi"/>
          <w:b/>
          <w:bCs/>
        </w:rPr>
      </w:pPr>
      <w:r w:rsidRPr="005136E6">
        <w:rPr>
          <w:rFonts w:asciiTheme="majorBidi" w:hAnsiTheme="majorBidi" w:cstheme="majorBidi"/>
          <w:b/>
          <w:bCs/>
        </w:rPr>
        <w:t>Reagents</w:t>
      </w:r>
    </w:p>
    <w:p w:rsidR="00F55B4B" w:rsidRPr="005136E6" w:rsidRDefault="00F55B4B" w:rsidP="00BC1524">
      <w:pPr>
        <w:autoSpaceDE w:val="0"/>
        <w:autoSpaceDN w:val="0"/>
        <w:adjustRightInd w:val="0"/>
        <w:spacing w:after="0" w:line="240" w:lineRule="auto"/>
        <w:ind w:right="-180"/>
        <w:jc w:val="both"/>
        <w:rPr>
          <w:rFonts w:asciiTheme="majorBidi" w:hAnsiTheme="majorBidi" w:cstheme="majorBidi"/>
          <w:b/>
          <w:bCs/>
        </w:rPr>
      </w:pPr>
    </w:p>
    <w:p w:rsidR="00BC1524" w:rsidRPr="005136E6" w:rsidRDefault="00BC1524" w:rsidP="00B3137C">
      <w:pPr>
        <w:autoSpaceDE w:val="0"/>
        <w:autoSpaceDN w:val="0"/>
        <w:adjustRightInd w:val="0"/>
        <w:spacing w:after="0" w:line="240" w:lineRule="auto"/>
        <w:ind w:right="-180"/>
        <w:jc w:val="both"/>
        <w:rPr>
          <w:rFonts w:asciiTheme="majorBidi" w:hAnsiTheme="majorBidi" w:cstheme="majorBidi"/>
        </w:rPr>
      </w:pPr>
      <w:r w:rsidRPr="005136E6">
        <w:rPr>
          <w:rFonts w:asciiTheme="majorBidi" w:hAnsiTheme="majorBidi" w:cstheme="majorBidi"/>
        </w:rPr>
        <w:t>Mouse IgG1 κ Isotype control</w:t>
      </w:r>
      <w:r w:rsidR="00A3134A" w:rsidRPr="005136E6">
        <w:rPr>
          <w:rFonts w:asciiTheme="majorBidi" w:hAnsiTheme="majorBidi" w:cstheme="majorBidi"/>
        </w:rPr>
        <w:t>s</w:t>
      </w:r>
      <w:r w:rsidRPr="005136E6">
        <w:rPr>
          <w:rFonts w:asciiTheme="majorBidi" w:hAnsiTheme="majorBidi" w:cstheme="majorBidi"/>
        </w:rPr>
        <w:t xml:space="preserve"> (</w:t>
      </w:r>
      <w:r w:rsidR="00A3134A" w:rsidRPr="005136E6">
        <w:rPr>
          <w:rFonts w:asciiTheme="majorBidi" w:hAnsiTheme="majorBidi" w:cstheme="majorBidi"/>
        </w:rPr>
        <w:t>FITC</w:t>
      </w:r>
      <w:r w:rsidRPr="005136E6">
        <w:rPr>
          <w:rFonts w:asciiTheme="majorBidi" w:hAnsiTheme="majorBidi" w:cstheme="majorBidi"/>
        </w:rPr>
        <w:t xml:space="preserve"> conjugated) were from </w:t>
      </w:r>
      <w:proofErr w:type="spellStart"/>
      <w:r w:rsidRPr="005136E6">
        <w:rPr>
          <w:rFonts w:asciiTheme="majorBidi" w:hAnsiTheme="majorBidi" w:cstheme="majorBidi"/>
        </w:rPr>
        <w:t>Miltenyi</w:t>
      </w:r>
      <w:proofErr w:type="spellEnd"/>
      <w:r w:rsidRPr="005136E6">
        <w:rPr>
          <w:rFonts w:asciiTheme="majorBidi" w:hAnsiTheme="majorBidi" w:cstheme="majorBidi"/>
        </w:rPr>
        <w:t xml:space="preserve"> </w:t>
      </w:r>
      <w:proofErr w:type="spellStart"/>
      <w:r w:rsidRPr="005136E6">
        <w:rPr>
          <w:rFonts w:asciiTheme="majorBidi" w:hAnsiTheme="majorBidi" w:cstheme="majorBidi"/>
        </w:rPr>
        <w:t>Biotec</w:t>
      </w:r>
      <w:proofErr w:type="spellEnd"/>
      <w:r w:rsidRPr="005136E6">
        <w:rPr>
          <w:rFonts w:asciiTheme="majorBidi" w:hAnsiTheme="majorBidi" w:cstheme="majorBidi"/>
        </w:rPr>
        <w:t xml:space="preserve"> (Germany).</w:t>
      </w:r>
      <w:r w:rsidR="00B3137C" w:rsidRPr="005136E6">
        <w:rPr>
          <w:rFonts w:asciiTheme="majorBidi" w:hAnsiTheme="majorBidi" w:cstheme="majorBidi"/>
        </w:rPr>
        <w:t xml:space="preserve"> FITC mouse anti human GPVI was purchased from Santa Cruz Biotechnology.</w:t>
      </w:r>
      <w:r w:rsidRPr="005136E6">
        <w:rPr>
          <w:rFonts w:asciiTheme="majorBidi" w:hAnsiTheme="majorBidi" w:cstheme="majorBidi"/>
        </w:rPr>
        <w:t xml:space="preserve"> Monoclonal antibodies against </w:t>
      </w:r>
      <w:r w:rsidR="00133419" w:rsidRPr="005136E6">
        <w:rPr>
          <w:rFonts w:asciiTheme="majorBidi" w:hAnsiTheme="majorBidi" w:cstheme="majorBidi"/>
        </w:rPr>
        <w:t>h</w:t>
      </w:r>
      <w:r w:rsidRPr="005136E6">
        <w:rPr>
          <w:rFonts w:asciiTheme="majorBidi" w:hAnsiTheme="majorBidi" w:cstheme="majorBidi"/>
        </w:rPr>
        <w:t xml:space="preserve">uman GPVI (clone HY101) as well as anti-mouse IgG1 HRP were from </w:t>
      </w:r>
      <w:proofErr w:type="spellStart"/>
      <w:r w:rsidRPr="005136E6">
        <w:rPr>
          <w:rFonts w:asciiTheme="majorBidi" w:hAnsiTheme="majorBidi" w:cstheme="majorBidi"/>
        </w:rPr>
        <w:t>eBiosciences</w:t>
      </w:r>
      <w:proofErr w:type="spellEnd"/>
      <w:r w:rsidRPr="005136E6">
        <w:rPr>
          <w:rFonts w:asciiTheme="majorBidi" w:hAnsiTheme="majorBidi" w:cstheme="majorBidi"/>
        </w:rPr>
        <w:t xml:space="preserve"> </w:t>
      </w:r>
      <w:proofErr w:type="spellStart"/>
      <w:r w:rsidRPr="005136E6">
        <w:rPr>
          <w:rFonts w:asciiTheme="majorBidi" w:hAnsiTheme="majorBidi" w:cstheme="majorBidi"/>
        </w:rPr>
        <w:t>Inc</w:t>
      </w:r>
      <w:proofErr w:type="spellEnd"/>
      <w:r w:rsidRPr="005136E6">
        <w:rPr>
          <w:rFonts w:asciiTheme="majorBidi" w:hAnsiTheme="majorBidi" w:cstheme="majorBidi"/>
        </w:rPr>
        <w:t xml:space="preserve"> (USA). </w:t>
      </w:r>
      <w:proofErr w:type="spellStart"/>
      <w:r w:rsidRPr="005136E6">
        <w:rPr>
          <w:rFonts w:asciiTheme="majorBidi" w:hAnsiTheme="majorBidi" w:cstheme="majorBidi"/>
        </w:rPr>
        <w:t>Dihydroethidium</w:t>
      </w:r>
      <w:proofErr w:type="spellEnd"/>
      <w:r w:rsidRPr="005136E6">
        <w:rPr>
          <w:rFonts w:asciiTheme="majorBidi" w:hAnsiTheme="majorBidi" w:cstheme="majorBidi"/>
        </w:rPr>
        <w:t xml:space="preserve"> was purchased from Cayman Chemical (DHE; Cayman Chemical, </w:t>
      </w:r>
      <w:proofErr w:type="spellStart"/>
      <w:r w:rsidRPr="005136E6">
        <w:rPr>
          <w:rFonts w:asciiTheme="majorBidi" w:hAnsiTheme="majorBidi" w:cstheme="majorBidi"/>
        </w:rPr>
        <w:t>AnnArbor</w:t>
      </w:r>
      <w:proofErr w:type="spellEnd"/>
      <w:r w:rsidRPr="005136E6">
        <w:rPr>
          <w:rFonts w:asciiTheme="majorBidi" w:hAnsiTheme="majorBidi" w:cstheme="majorBidi"/>
        </w:rPr>
        <w:t xml:space="preserve">, MI, USA). </w:t>
      </w:r>
      <w:proofErr w:type="spellStart"/>
      <w:r w:rsidRPr="005136E6">
        <w:rPr>
          <w:rFonts w:asciiTheme="majorBidi" w:hAnsiTheme="majorBidi" w:cstheme="majorBidi"/>
        </w:rPr>
        <w:t>Dihydrorhodamine</w:t>
      </w:r>
      <w:proofErr w:type="spellEnd"/>
      <w:r w:rsidRPr="005136E6">
        <w:rPr>
          <w:rFonts w:asciiTheme="majorBidi" w:hAnsiTheme="majorBidi" w:cstheme="majorBidi"/>
        </w:rPr>
        <w:t xml:space="preserve"> (DHR) 123 and other reagents and chemicals were from Sigma Aldrich (USA).</w:t>
      </w:r>
    </w:p>
    <w:p w:rsidR="00BC1524" w:rsidRPr="005136E6" w:rsidRDefault="00BC1524" w:rsidP="00BC1524">
      <w:pPr>
        <w:autoSpaceDE w:val="0"/>
        <w:autoSpaceDN w:val="0"/>
        <w:adjustRightInd w:val="0"/>
        <w:spacing w:before="240" w:after="0"/>
        <w:jc w:val="both"/>
        <w:rPr>
          <w:rFonts w:asciiTheme="majorBidi" w:eastAsia="Times New Roman" w:hAnsiTheme="majorBidi" w:cstheme="majorBidi"/>
          <w:b/>
        </w:rPr>
      </w:pPr>
      <w:r w:rsidRPr="005136E6">
        <w:rPr>
          <w:rFonts w:asciiTheme="majorBidi" w:eastAsia="Times New Roman" w:hAnsiTheme="majorBidi" w:cstheme="majorBidi"/>
          <w:b/>
        </w:rPr>
        <w:t>QC parameters of PCs</w:t>
      </w:r>
    </w:p>
    <w:p w:rsidR="00BC1524" w:rsidRPr="005136E6" w:rsidRDefault="00BC1524" w:rsidP="00BC1524">
      <w:pPr>
        <w:autoSpaceDE w:val="0"/>
        <w:autoSpaceDN w:val="0"/>
        <w:adjustRightInd w:val="0"/>
        <w:spacing w:before="240" w:after="0"/>
        <w:jc w:val="both"/>
        <w:rPr>
          <w:rFonts w:asciiTheme="majorBidi" w:hAnsiTheme="majorBidi" w:cstheme="majorBidi"/>
        </w:rPr>
      </w:pPr>
      <w:r w:rsidRPr="005136E6">
        <w:rPr>
          <w:rFonts w:asciiTheme="majorBidi" w:hAnsiTheme="majorBidi" w:cstheme="majorBidi"/>
        </w:rPr>
        <w:t xml:space="preserve">Assessment of total volume, PLT count (per unit), WBC count (per unit) were carried out on PCs after preparation and during storage at each time points. PLT count and WBC count were measured using a hematology full blood analyzer (XE-2100, </w:t>
      </w:r>
      <w:proofErr w:type="spellStart"/>
      <w:r w:rsidRPr="005136E6">
        <w:rPr>
          <w:rFonts w:asciiTheme="majorBidi" w:hAnsiTheme="majorBidi" w:cstheme="majorBidi"/>
        </w:rPr>
        <w:t>Sysmex</w:t>
      </w:r>
      <w:proofErr w:type="spellEnd"/>
      <w:r w:rsidRPr="005136E6">
        <w:rPr>
          <w:rFonts w:asciiTheme="majorBidi" w:hAnsiTheme="majorBidi" w:cstheme="majorBidi"/>
        </w:rPr>
        <w:t xml:space="preserve">, </w:t>
      </w:r>
      <w:proofErr w:type="gramStart"/>
      <w:r w:rsidRPr="005136E6">
        <w:rPr>
          <w:rFonts w:asciiTheme="majorBidi" w:hAnsiTheme="majorBidi" w:cstheme="majorBidi"/>
        </w:rPr>
        <w:t>Milton</w:t>
      </w:r>
      <w:proofErr w:type="gramEnd"/>
      <w:r w:rsidRPr="005136E6">
        <w:rPr>
          <w:rFonts w:asciiTheme="majorBidi" w:hAnsiTheme="majorBidi" w:cstheme="majorBidi"/>
        </w:rPr>
        <w:t xml:space="preserve"> Keynes, UK). </w:t>
      </w:r>
    </w:p>
    <w:p w:rsidR="00BC1524" w:rsidRPr="005136E6" w:rsidRDefault="00BC1524" w:rsidP="00BC1524">
      <w:pPr>
        <w:autoSpaceDE w:val="0"/>
        <w:autoSpaceDN w:val="0"/>
        <w:adjustRightInd w:val="0"/>
        <w:spacing w:before="240" w:after="0"/>
        <w:jc w:val="both"/>
        <w:rPr>
          <w:rFonts w:asciiTheme="majorBidi" w:hAnsiTheme="majorBidi" w:cstheme="majorBidi"/>
          <w:b/>
          <w:bCs/>
        </w:rPr>
      </w:pPr>
      <w:r w:rsidRPr="005136E6">
        <w:rPr>
          <w:rFonts w:asciiTheme="majorBidi" w:hAnsiTheme="majorBidi" w:cstheme="majorBidi"/>
          <w:b/>
          <w:bCs/>
        </w:rPr>
        <w:t>Analysis of intra-platelet ROS generation</w:t>
      </w:r>
    </w:p>
    <w:p w:rsidR="00BC1524" w:rsidRPr="005136E6" w:rsidRDefault="00F55B4B" w:rsidP="00F55B4B">
      <w:pPr>
        <w:autoSpaceDE w:val="0"/>
        <w:autoSpaceDN w:val="0"/>
        <w:adjustRightInd w:val="0"/>
        <w:spacing w:after="0"/>
        <w:jc w:val="both"/>
        <w:rPr>
          <w:rFonts w:asciiTheme="majorBidi" w:hAnsiTheme="majorBidi" w:cstheme="majorBidi"/>
        </w:rPr>
      </w:pPr>
      <w:proofErr w:type="spellStart"/>
      <w:r w:rsidRPr="005136E6">
        <w:rPr>
          <w:rFonts w:asciiTheme="majorBidi" w:hAnsiTheme="majorBidi" w:cstheme="majorBidi"/>
        </w:rPr>
        <w:t>Dihydrorhodamine</w:t>
      </w:r>
      <w:proofErr w:type="spellEnd"/>
      <w:r w:rsidRPr="005136E6">
        <w:rPr>
          <w:rFonts w:asciiTheme="majorBidi" w:hAnsiTheme="majorBidi" w:cstheme="majorBidi"/>
        </w:rPr>
        <w:t xml:space="preserve"> (DHR)123 </w:t>
      </w:r>
      <w:r w:rsidR="00BC1524" w:rsidRPr="005136E6">
        <w:rPr>
          <w:rFonts w:asciiTheme="majorBidi" w:hAnsiTheme="majorBidi" w:cstheme="majorBidi"/>
        </w:rPr>
        <w:t xml:space="preserve">is a permeable mitochondrial-avid component that can undergo oxidation to the fluorophore rhodamine 123 </w:t>
      </w:r>
      <w:r w:rsidR="00BC1524" w:rsidRPr="005136E6">
        <w:rPr>
          <w:rFonts w:asciiTheme="majorBidi" w:hAnsiTheme="majorBidi" w:cstheme="majorBidi"/>
        </w:rPr>
        <w:fldChar w:fldCharType="begin"/>
      </w:r>
      <w:r w:rsidR="006573A3" w:rsidRPr="005136E6">
        <w:rPr>
          <w:rFonts w:asciiTheme="majorBidi" w:hAnsiTheme="majorBidi" w:cstheme="majorBidi"/>
        </w:rPr>
        <w:instrText xml:space="preserve"> ADDIN EN.CITE &lt;EndNote&gt;&lt;Cite&gt;&lt;Author&gt;Rothe&lt;/Author&gt;&lt;Year&gt;1991&lt;/Year&gt;&lt;RecNum&gt;137&lt;/RecNum&gt;&lt;DisplayText&gt;[1]&lt;/DisplayText&gt;&lt;record&gt;&lt;rec-number&gt;137&lt;/rec-number&gt;&lt;foreign-keys&gt;&lt;key app="EN" db-id="tsp02rde5drr95evv90pafv9t92rd2ddv0wv"&gt;137&lt;/key&gt;&lt;/foreign-keys&gt;&lt;ref-type name="Journal Article"&gt;17&lt;/ref-type&gt;&lt;contributors&gt;&lt;authors&gt;&lt;author&gt;Rothe, G.&lt;/author&gt;&lt;author&gt;Emmendorffer, A.&lt;/author&gt;&lt;author&gt;Oser, A.&lt;/author&gt;&lt;author&gt;Roesler, J.&lt;/author&gt;&lt;author&gt;Valet, G.&lt;/author&gt;&lt;/authors&gt;&lt;/contributors&gt;&lt;titles&gt;&lt;title&gt;Flow cytometric measurement of the respiratory burst activity of phagocytes using dihydrorhodamine 123&lt;/title&gt;&lt;secondary-title&gt;J Immunol Methods&lt;/secondary-title&gt;&lt;alt-title&gt;Journal of immunological methods&lt;/alt-title&gt;&lt;/titles&gt;&lt;pages&gt;133-5&lt;/pages&gt;&lt;volume&gt;138&lt;/volume&gt;&lt;number&gt;1&lt;/number&gt;&lt;keywords&gt;&lt;keyword&gt;*Flow Cytometry&lt;/keyword&gt;&lt;keyword&gt;Humans&lt;/keyword&gt;&lt;keyword&gt;Neutrophils/*metabolism&lt;/keyword&gt;&lt;keyword&gt;Oxidation-Reduction&lt;/keyword&gt;&lt;keyword&gt;Rhodamines/*diagnostic use&lt;/keyword&gt;&lt;/keywords&gt;&lt;dates&gt;&lt;year&gt;1991&lt;/year&gt;&lt;pub-dates&gt;&lt;date&gt;Apr 8&lt;/date&gt;&lt;/pub-dates&gt;&lt;/dates&gt;&lt;isbn&gt;0022-1759 (Print)&lt;/isbn&gt;&lt;accession-num&gt;2019742&lt;/accession-num&gt;&lt;urls&gt;&lt;related-urls&gt;&lt;url&gt;http://www.ncbi.nlm.nih.gov/entrez/query.fcgi?cmd=Retrieve&amp;amp;db=PubMed&amp;amp;dopt=Citation&amp;amp;list_uids=2019742 &lt;/url&gt;&lt;/related-urls&gt;&lt;/urls&gt;&lt;language&gt;eng&lt;/language&gt;&lt;/record&gt;&lt;/Cite&gt;&lt;/EndNote&gt;</w:instrText>
      </w:r>
      <w:r w:rsidR="00BC1524" w:rsidRPr="005136E6">
        <w:rPr>
          <w:rFonts w:asciiTheme="majorBidi" w:hAnsiTheme="majorBidi" w:cstheme="majorBidi"/>
        </w:rPr>
        <w:fldChar w:fldCharType="separate"/>
      </w:r>
      <w:r w:rsidR="006573A3" w:rsidRPr="005136E6">
        <w:rPr>
          <w:rFonts w:asciiTheme="majorBidi" w:hAnsiTheme="majorBidi" w:cstheme="majorBidi"/>
          <w:noProof/>
        </w:rPr>
        <w:t>[</w:t>
      </w:r>
      <w:hyperlink w:anchor="_ENREF_1" w:tooltip="Rothe, 1991 #137" w:history="1">
        <w:r w:rsidR="006573A3" w:rsidRPr="005136E6">
          <w:rPr>
            <w:rFonts w:asciiTheme="majorBidi" w:hAnsiTheme="majorBidi" w:cstheme="majorBidi"/>
            <w:noProof/>
          </w:rPr>
          <w:t>1</w:t>
        </w:r>
      </w:hyperlink>
      <w:r w:rsidR="006573A3" w:rsidRPr="005136E6">
        <w:rPr>
          <w:rFonts w:asciiTheme="majorBidi" w:hAnsiTheme="majorBidi" w:cstheme="majorBidi"/>
          <w:noProof/>
        </w:rPr>
        <w:t>]</w:t>
      </w:r>
      <w:r w:rsidR="00BC1524" w:rsidRPr="005136E6">
        <w:rPr>
          <w:rFonts w:asciiTheme="majorBidi" w:hAnsiTheme="majorBidi" w:cstheme="majorBidi"/>
        </w:rPr>
        <w:fldChar w:fldCharType="end"/>
      </w:r>
      <w:r w:rsidR="00BC1524" w:rsidRPr="005136E6">
        <w:rPr>
          <w:rFonts w:asciiTheme="majorBidi" w:hAnsiTheme="majorBidi" w:cstheme="majorBidi"/>
        </w:rPr>
        <w:t xml:space="preserve">. The oxidized rhodamine has a tendency to remain within the mitochondria after </w:t>
      </w:r>
      <w:proofErr w:type="spellStart"/>
      <w:r w:rsidR="00BC1524" w:rsidRPr="005136E6">
        <w:rPr>
          <w:rFonts w:asciiTheme="majorBidi" w:hAnsiTheme="majorBidi" w:cstheme="majorBidi"/>
        </w:rPr>
        <w:t>tautomerization</w:t>
      </w:r>
      <w:proofErr w:type="spellEnd"/>
      <w:r w:rsidR="00BC1524" w:rsidRPr="005136E6">
        <w:rPr>
          <w:rFonts w:asciiTheme="majorBidi" w:hAnsiTheme="majorBidi" w:cstheme="majorBidi"/>
        </w:rPr>
        <w:t xml:space="preserve"> of its equivalent amino groups. DHR provides the advantage of being oxidized by both H</w:t>
      </w:r>
      <w:r w:rsidR="00BC1524" w:rsidRPr="00603F41">
        <w:rPr>
          <w:rFonts w:asciiTheme="majorBidi" w:hAnsiTheme="majorBidi" w:cstheme="majorBidi"/>
          <w:vertAlign w:val="subscript"/>
        </w:rPr>
        <w:t>2</w:t>
      </w:r>
      <w:r w:rsidR="00BC1524" w:rsidRPr="005136E6">
        <w:rPr>
          <w:rFonts w:asciiTheme="majorBidi" w:hAnsiTheme="majorBidi" w:cstheme="majorBidi"/>
        </w:rPr>
        <w:t>O</w:t>
      </w:r>
      <w:r w:rsidR="00BC1524" w:rsidRPr="00603F41">
        <w:rPr>
          <w:rFonts w:asciiTheme="majorBidi" w:hAnsiTheme="majorBidi" w:cstheme="majorBidi"/>
          <w:vertAlign w:val="subscript"/>
        </w:rPr>
        <w:t>2</w:t>
      </w:r>
      <w:r w:rsidR="00BC1524" w:rsidRPr="005136E6">
        <w:rPr>
          <w:rFonts w:asciiTheme="majorBidi" w:hAnsiTheme="majorBidi" w:cstheme="majorBidi"/>
        </w:rPr>
        <w:t xml:space="preserve"> and O</w:t>
      </w:r>
      <w:r w:rsidR="00BC1524" w:rsidRPr="005136E6">
        <w:rPr>
          <w:rFonts w:asciiTheme="majorBidi" w:hAnsiTheme="majorBidi" w:cstheme="majorBidi"/>
          <w:vertAlign w:val="subscript"/>
        </w:rPr>
        <w:t>2</w:t>
      </w:r>
      <w:r w:rsidR="00BC1524" w:rsidRPr="005136E6">
        <w:rPr>
          <w:rFonts w:asciiTheme="majorBidi" w:hAnsiTheme="majorBidi" w:cstheme="majorBidi"/>
          <w:vertAlign w:val="superscript"/>
        </w:rPr>
        <w:t>--</w:t>
      </w:r>
      <w:r w:rsidR="00BC1524" w:rsidRPr="005136E6">
        <w:rPr>
          <w:rFonts w:asciiTheme="majorBidi" w:hAnsiTheme="majorBidi" w:cstheme="majorBidi"/>
        </w:rPr>
        <w:t xml:space="preserve"> while emitting a strong fluorescence signal, this makes it a very sensitive indicator for detection of ROS generation in mitochondria </w:t>
      </w:r>
      <w:r w:rsidR="00BC1524" w:rsidRPr="005136E6">
        <w:rPr>
          <w:rFonts w:asciiTheme="majorBidi" w:hAnsiTheme="majorBidi" w:cstheme="majorBidi"/>
        </w:rPr>
        <w:fldChar w:fldCharType="begin"/>
      </w:r>
      <w:r w:rsidR="006573A3" w:rsidRPr="005136E6">
        <w:rPr>
          <w:rFonts w:asciiTheme="majorBidi" w:hAnsiTheme="majorBidi" w:cstheme="majorBidi"/>
        </w:rPr>
        <w:instrText xml:space="preserve"> ADDIN EN.CITE &lt;EndNote&gt;&lt;Cite&gt;&lt;Author&gt;Yee&lt;/Author&gt;&lt;Year&gt;1994&lt;/Year&gt;&lt;RecNum&gt;138&lt;/RecNum&gt;&lt;DisplayText&gt;[2]&lt;/DisplayText&gt;&lt;record&gt;&lt;rec-number&gt;138&lt;/rec-number&gt;&lt;foreign-keys&gt;&lt;key app="EN" db-id="tsp02rde5drr95evv90pafv9t92rd2ddv0wv"&gt;138&lt;/key&gt;&lt;/foreign-keys&gt;&lt;ref-type name="Journal Article"&gt;17&lt;/ref-type&gt;&lt;contributors&gt;&lt;authors&gt;&lt;author&gt;Yee, J.&lt;/author&gt;&lt;author&gt;Giannias, B.&lt;/author&gt;&lt;author&gt;Kapadia, B.&lt;/author&gt;&lt;author&gt;Chartrand, L.&lt;/author&gt;&lt;author&gt;Christou, N. V.&lt;/author&gt;&lt;/authors&gt;&lt;/contributors&gt;&lt;auth-address&gt;Department of Surgery, Royal Victoria Hospital, McGill University, Montreal, Quebec.&lt;/auth-address&gt;&lt;titles&gt;&lt;title&gt;Exudative neutrophils. Modulation of microbicidal function in the inflammatory microenvironment&lt;/title&gt;&lt;secondary-title&gt;Arch Surg&lt;/secondary-title&gt;&lt;/titles&gt;&lt;pages&gt;99-105&lt;/pages&gt;&lt;volume&gt;129&lt;/volume&gt;&lt;number&gt;1&lt;/number&gt;&lt;keywords&gt;&lt;keyword&gt;Candida albicans/*immunology&lt;/keyword&gt;&lt;keyword&gt;Exudates and Transudates&lt;/keyword&gt;&lt;keyword&gt;Humans&lt;/keyword&gt;&lt;keyword&gt;N-Formylmethionine Leucyl-Phenylalanine/immunology/pharmacology&lt;/keyword&gt;&lt;keyword&gt;Neutrophils/immunology/metabolism/*physiology&lt;/keyword&gt;&lt;keyword&gt;Oxygen/metabolism&lt;/keyword&gt;&lt;keyword&gt;Phagocytosis/drug effects/*immunology&lt;/keyword&gt;&lt;keyword&gt;Receptors, Immunologic/analysis&lt;/keyword&gt;&lt;keyword&gt;Skin Window Technique&lt;/keyword&gt;&lt;keyword&gt;Superoxides/metabolism&lt;/keyword&gt;&lt;keyword&gt;Tumor Necrosis Factor-alpha/immunology&lt;/keyword&gt;&lt;/keywords&gt;&lt;dates&gt;&lt;year&gt;1994&lt;/year&gt;&lt;pub-dates&gt;&lt;date&gt;Jan&lt;/date&gt;&lt;/pub-dates&gt;&lt;/dates&gt;&lt;isbn&gt;0004-0010 (Print)&lt;/isbn&gt;&lt;accession-num&gt;8279946&lt;/accession-num&gt;&lt;urls&gt;&lt;related-urls&gt;&lt;url&gt;http://www.ncbi.nlm.nih.gov/entrez/query.fcgi?cmd=Retrieve&amp;amp;db=PubMed&amp;amp;dopt=Citation&amp;amp;list_uids=8279946 &lt;/url&gt;&lt;/related-urls&gt;&lt;/urls&gt;&lt;language&gt;eng&lt;/language&gt;&lt;/record&gt;&lt;/Cite&gt;&lt;/EndNote&gt;</w:instrText>
      </w:r>
      <w:r w:rsidR="00BC1524" w:rsidRPr="005136E6">
        <w:rPr>
          <w:rFonts w:asciiTheme="majorBidi" w:hAnsiTheme="majorBidi" w:cstheme="majorBidi"/>
        </w:rPr>
        <w:fldChar w:fldCharType="separate"/>
      </w:r>
      <w:r w:rsidR="006573A3" w:rsidRPr="005136E6">
        <w:rPr>
          <w:rFonts w:asciiTheme="majorBidi" w:hAnsiTheme="majorBidi" w:cstheme="majorBidi"/>
          <w:noProof/>
        </w:rPr>
        <w:t>[</w:t>
      </w:r>
      <w:hyperlink w:anchor="_ENREF_2" w:tooltip="Yee, 1994 #138" w:history="1">
        <w:r w:rsidR="006573A3" w:rsidRPr="005136E6">
          <w:rPr>
            <w:rFonts w:asciiTheme="majorBidi" w:hAnsiTheme="majorBidi" w:cstheme="majorBidi"/>
            <w:noProof/>
          </w:rPr>
          <w:t>2</w:t>
        </w:r>
      </w:hyperlink>
      <w:r w:rsidR="006573A3" w:rsidRPr="005136E6">
        <w:rPr>
          <w:rFonts w:asciiTheme="majorBidi" w:hAnsiTheme="majorBidi" w:cstheme="majorBidi"/>
          <w:noProof/>
        </w:rPr>
        <w:t>]</w:t>
      </w:r>
      <w:r w:rsidR="00BC1524" w:rsidRPr="005136E6">
        <w:rPr>
          <w:rFonts w:asciiTheme="majorBidi" w:hAnsiTheme="majorBidi" w:cstheme="majorBidi"/>
        </w:rPr>
        <w:fldChar w:fldCharType="end"/>
      </w:r>
      <w:r w:rsidR="00BC1524" w:rsidRPr="005136E6">
        <w:rPr>
          <w:rFonts w:asciiTheme="majorBidi" w:hAnsiTheme="majorBidi" w:cstheme="majorBidi"/>
        </w:rPr>
        <w:t>. To analyze cytosolic production of O</w:t>
      </w:r>
      <w:r w:rsidR="00BC1524" w:rsidRPr="005136E6">
        <w:rPr>
          <w:rFonts w:asciiTheme="majorBidi" w:hAnsiTheme="majorBidi" w:cstheme="majorBidi"/>
          <w:vertAlign w:val="subscript"/>
        </w:rPr>
        <w:t>2</w:t>
      </w:r>
      <w:r w:rsidR="00BC1524" w:rsidRPr="005136E6">
        <w:rPr>
          <w:rFonts w:asciiTheme="majorBidi" w:hAnsiTheme="majorBidi" w:cstheme="majorBidi"/>
          <w:vertAlign w:val="superscript"/>
        </w:rPr>
        <w:t>--</w:t>
      </w:r>
      <w:r w:rsidR="00BC1524" w:rsidRPr="005136E6">
        <w:rPr>
          <w:rFonts w:asciiTheme="majorBidi" w:hAnsiTheme="majorBidi" w:cstheme="majorBidi"/>
        </w:rPr>
        <w:t xml:space="preserve">, </w:t>
      </w:r>
      <w:proofErr w:type="spellStart"/>
      <w:r w:rsidR="00BC1524" w:rsidRPr="005136E6">
        <w:rPr>
          <w:rFonts w:asciiTheme="majorBidi" w:hAnsiTheme="majorBidi" w:cstheme="majorBidi"/>
        </w:rPr>
        <w:t>dihydroethidium</w:t>
      </w:r>
      <w:proofErr w:type="spellEnd"/>
      <w:r w:rsidR="00BC1524" w:rsidRPr="005136E6">
        <w:rPr>
          <w:rFonts w:asciiTheme="majorBidi" w:hAnsiTheme="majorBidi" w:cstheme="majorBidi"/>
        </w:rPr>
        <w:t xml:space="preserve"> has also been used. To perform the assays, platelets (</w:t>
      </w:r>
      <w:r w:rsidR="00BC1524" w:rsidRPr="005136E6">
        <w:rPr>
          <w:rFonts w:asciiTheme="majorBidi" w:eastAsia="Times New Roman" w:hAnsiTheme="majorBidi" w:cstheme="majorBidi"/>
        </w:rPr>
        <w:t>2×10</w:t>
      </w:r>
      <w:r w:rsidR="00BC1524" w:rsidRPr="005136E6">
        <w:rPr>
          <w:rFonts w:asciiTheme="majorBidi" w:eastAsia="Times New Roman" w:hAnsiTheme="majorBidi" w:cstheme="majorBidi"/>
          <w:vertAlign w:val="superscript"/>
        </w:rPr>
        <w:t>7</w:t>
      </w:r>
      <w:r w:rsidR="00BC1524" w:rsidRPr="005136E6">
        <w:rPr>
          <w:rFonts w:asciiTheme="majorBidi" w:eastAsia="Times New Roman" w:hAnsiTheme="majorBidi" w:cstheme="majorBidi"/>
        </w:rPr>
        <w:t>/m</w:t>
      </w:r>
      <w:r w:rsidR="006573A3" w:rsidRPr="005136E6">
        <w:rPr>
          <w:rFonts w:asciiTheme="majorBidi" w:eastAsia="Times New Roman" w:hAnsiTheme="majorBidi" w:cstheme="majorBidi"/>
        </w:rPr>
        <w:t>l</w:t>
      </w:r>
      <w:r w:rsidR="00BC1524" w:rsidRPr="005136E6">
        <w:rPr>
          <w:rFonts w:asciiTheme="majorBidi" w:hAnsiTheme="majorBidi" w:cstheme="majorBidi"/>
        </w:rPr>
        <w:t xml:space="preserve">) were incubated with  either 1 </w:t>
      </w:r>
      <w:proofErr w:type="spellStart"/>
      <w:r w:rsidR="00BC1524" w:rsidRPr="005136E6">
        <w:rPr>
          <w:rFonts w:asciiTheme="majorBidi" w:hAnsiTheme="majorBidi" w:cstheme="majorBidi"/>
        </w:rPr>
        <w:t>μM</w:t>
      </w:r>
      <w:proofErr w:type="spellEnd"/>
      <w:r w:rsidR="00BC1524" w:rsidRPr="005136E6">
        <w:rPr>
          <w:rFonts w:asciiTheme="majorBidi" w:hAnsiTheme="majorBidi" w:cstheme="majorBidi"/>
        </w:rPr>
        <w:t xml:space="preserve"> DHR 123  or 5 </w:t>
      </w:r>
      <w:proofErr w:type="spellStart"/>
      <w:r w:rsidR="00BC1524" w:rsidRPr="005136E6">
        <w:rPr>
          <w:rFonts w:asciiTheme="majorBidi" w:hAnsiTheme="majorBidi" w:cstheme="majorBidi"/>
        </w:rPr>
        <w:t>μM</w:t>
      </w:r>
      <w:proofErr w:type="spellEnd"/>
      <w:r w:rsidR="00BC1524" w:rsidRPr="005136E6">
        <w:rPr>
          <w:rFonts w:asciiTheme="majorBidi" w:hAnsiTheme="majorBidi" w:cstheme="majorBidi"/>
        </w:rPr>
        <w:t xml:space="preserve"> </w:t>
      </w:r>
      <w:proofErr w:type="spellStart"/>
      <w:r w:rsidR="00BC1524" w:rsidRPr="005136E6">
        <w:rPr>
          <w:rFonts w:asciiTheme="majorBidi" w:hAnsiTheme="majorBidi" w:cstheme="majorBidi"/>
        </w:rPr>
        <w:t>dihydroethidium</w:t>
      </w:r>
      <w:proofErr w:type="spellEnd"/>
      <w:r w:rsidR="00BC1524" w:rsidRPr="005136E6">
        <w:rPr>
          <w:rFonts w:asciiTheme="majorBidi" w:hAnsiTheme="majorBidi" w:cstheme="majorBidi"/>
        </w:rPr>
        <w:t xml:space="preserve"> for 30 min at 37ºC, in the presence and absence of either 100 </w:t>
      </w:r>
      <w:proofErr w:type="spellStart"/>
      <w:r w:rsidR="00BC1524" w:rsidRPr="005136E6">
        <w:rPr>
          <w:rFonts w:asciiTheme="majorBidi" w:hAnsiTheme="majorBidi" w:cstheme="majorBidi"/>
        </w:rPr>
        <w:t>μM</w:t>
      </w:r>
      <w:proofErr w:type="spellEnd"/>
      <w:r w:rsidR="00BC1524" w:rsidRPr="005136E6">
        <w:rPr>
          <w:rFonts w:asciiTheme="majorBidi" w:hAnsiTheme="majorBidi" w:cstheme="majorBidi"/>
        </w:rPr>
        <w:t xml:space="preserve"> CCCP (carbonyl cyanide m-</w:t>
      </w:r>
      <w:proofErr w:type="spellStart"/>
      <w:r w:rsidR="00BC1524" w:rsidRPr="005136E6">
        <w:rPr>
          <w:rFonts w:asciiTheme="majorBidi" w:hAnsiTheme="majorBidi" w:cstheme="majorBidi"/>
        </w:rPr>
        <w:t>chlorophenylhydrazone</w:t>
      </w:r>
      <w:proofErr w:type="spellEnd"/>
      <w:r w:rsidR="00BC1524" w:rsidRPr="005136E6">
        <w:rPr>
          <w:rFonts w:asciiTheme="majorBidi" w:hAnsiTheme="majorBidi" w:cstheme="majorBidi"/>
        </w:rPr>
        <w:t xml:space="preserve">) or 2 </w:t>
      </w:r>
      <w:proofErr w:type="spellStart"/>
      <w:r w:rsidR="00BC1524" w:rsidRPr="005136E6">
        <w:rPr>
          <w:rFonts w:asciiTheme="majorBidi" w:hAnsiTheme="majorBidi" w:cstheme="majorBidi"/>
        </w:rPr>
        <w:t>μM</w:t>
      </w:r>
      <w:proofErr w:type="spellEnd"/>
      <w:r w:rsidR="00BC1524" w:rsidRPr="005136E6">
        <w:rPr>
          <w:rFonts w:asciiTheme="majorBidi" w:hAnsiTheme="majorBidi" w:cstheme="majorBidi"/>
        </w:rPr>
        <w:t xml:space="preserve"> PMA (</w:t>
      </w:r>
      <w:proofErr w:type="spellStart"/>
      <w:r w:rsidR="00BC1524" w:rsidRPr="005136E6">
        <w:rPr>
          <w:rFonts w:asciiTheme="majorBidi" w:hAnsiTheme="majorBidi" w:cstheme="majorBidi"/>
        </w:rPr>
        <w:t>phorbol</w:t>
      </w:r>
      <w:proofErr w:type="spellEnd"/>
      <w:r w:rsidR="00BC1524" w:rsidRPr="005136E6">
        <w:rPr>
          <w:rFonts w:asciiTheme="majorBidi" w:hAnsiTheme="majorBidi" w:cstheme="majorBidi"/>
        </w:rPr>
        <w:t xml:space="preserve"> 12-myristate13-acetate)  respectively (both compounds pre-incubated with platelets for 30 minutes) . Cells were then subjected to a flow cytometer (</w:t>
      </w:r>
      <w:proofErr w:type="spellStart"/>
      <w:r w:rsidR="00BC1524" w:rsidRPr="005136E6">
        <w:rPr>
          <w:rFonts w:asciiTheme="majorBidi" w:hAnsiTheme="majorBidi" w:cstheme="majorBidi"/>
        </w:rPr>
        <w:t>CyFlowSpace</w:t>
      </w:r>
      <w:proofErr w:type="spellEnd"/>
      <w:r w:rsidR="00BC1524" w:rsidRPr="005136E6">
        <w:rPr>
          <w:rFonts w:asciiTheme="majorBidi" w:hAnsiTheme="majorBidi" w:cstheme="majorBidi"/>
        </w:rPr>
        <w:t xml:space="preserve">, </w:t>
      </w:r>
      <w:proofErr w:type="spellStart"/>
      <w:r w:rsidR="00BC1524" w:rsidRPr="005136E6">
        <w:rPr>
          <w:rFonts w:asciiTheme="majorBidi" w:hAnsiTheme="majorBidi" w:cstheme="majorBidi"/>
        </w:rPr>
        <w:t>Partec</w:t>
      </w:r>
      <w:proofErr w:type="spellEnd"/>
      <w:r w:rsidR="00BC1524" w:rsidRPr="005136E6">
        <w:rPr>
          <w:rFonts w:asciiTheme="majorBidi" w:hAnsiTheme="majorBidi" w:cstheme="majorBidi"/>
        </w:rPr>
        <w:t xml:space="preserve"> GmbH, and Germany) where a total of 20,000 PLT events were acquired. The flow cytometric settings were optimized for the acquisition of platelets by logarithmic signal amplification in all 3 detectors (forward and side scatter channels and fluorescence channels FL1/FL2). For analysis, the gate was set around intact PLT population (R1) as defined by forward and side scatter characteristics and confirmed by the presence of platelets expressing </w:t>
      </w:r>
      <w:r w:rsidR="00C14BAD" w:rsidRPr="005136E6">
        <w:rPr>
          <w:rFonts w:asciiTheme="majorBidi" w:hAnsiTheme="majorBidi" w:cstheme="majorBidi"/>
        </w:rPr>
        <w:t xml:space="preserve">either CD61 or </w:t>
      </w:r>
      <w:proofErr w:type="spellStart"/>
      <w:r w:rsidR="00BC1524" w:rsidRPr="005136E6">
        <w:rPr>
          <w:rFonts w:asciiTheme="majorBidi" w:hAnsiTheme="majorBidi" w:cstheme="majorBidi"/>
        </w:rPr>
        <w:t>GPIb</w:t>
      </w:r>
      <w:proofErr w:type="spellEnd"/>
      <w:r w:rsidR="00BC1524" w:rsidRPr="005136E6">
        <w:rPr>
          <w:rFonts w:asciiTheme="majorBidi" w:hAnsiTheme="majorBidi" w:cstheme="majorBidi"/>
        </w:rPr>
        <w:t xml:space="preserve">α (in a parallel experiment). The mean fluorescence of platelets expressing DHR 123/DHE in comparison with the background (negative control) was recorded. Data were analyzed with FLOWJO software (Tree Star </w:t>
      </w:r>
      <w:proofErr w:type="spellStart"/>
      <w:r w:rsidR="00BC1524" w:rsidRPr="005136E6">
        <w:rPr>
          <w:rFonts w:asciiTheme="majorBidi" w:hAnsiTheme="majorBidi" w:cstheme="majorBidi"/>
        </w:rPr>
        <w:t>Inc</w:t>
      </w:r>
      <w:proofErr w:type="spellEnd"/>
      <w:r w:rsidR="00BC1524" w:rsidRPr="005136E6">
        <w:rPr>
          <w:rFonts w:asciiTheme="majorBidi" w:hAnsiTheme="majorBidi" w:cstheme="majorBidi"/>
        </w:rPr>
        <w:t>, OR, USA).</w:t>
      </w:r>
      <w:r w:rsidR="006573A3" w:rsidRPr="005136E6">
        <w:rPr>
          <w:rFonts w:asciiTheme="majorBidi" w:hAnsiTheme="majorBidi" w:cstheme="majorBidi"/>
        </w:rPr>
        <w:t xml:space="preserve"> Supplementary figure1 has</w:t>
      </w:r>
      <w:r w:rsidR="006D6677" w:rsidRPr="005136E6">
        <w:rPr>
          <w:rFonts w:asciiTheme="majorBidi" w:hAnsiTheme="majorBidi" w:cstheme="majorBidi"/>
        </w:rPr>
        <w:t xml:space="preserve"> schematically</w:t>
      </w:r>
      <w:r w:rsidR="006573A3" w:rsidRPr="005136E6">
        <w:rPr>
          <w:rFonts w:asciiTheme="majorBidi" w:hAnsiTheme="majorBidi" w:cstheme="majorBidi"/>
        </w:rPr>
        <w:t xml:space="preserve"> demonstrated the gating strategy and analysis protocol </w:t>
      </w:r>
      <w:r w:rsidR="00137D65" w:rsidRPr="005136E6">
        <w:rPr>
          <w:rFonts w:asciiTheme="majorBidi" w:hAnsiTheme="majorBidi" w:cstheme="majorBidi"/>
        </w:rPr>
        <w:t>with</w:t>
      </w:r>
      <w:r w:rsidR="006573A3" w:rsidRPr="005136E6">
        <w:rPr>
          <w:rFonts w:asciiTheme="majorBidi" w:hAnsiTheme="majorBidi" w:cstheme="majorBidi"/>
        </w:rPr>
        <w:t xml:space="preserve"> more detail. </w:t>
      </w:r>
      <w:r w:rsidR="00BC1524" w:rsidRPr="005136E6">
        <w:rPr>
          <w:rFonts w:asciiTheme="majorBidi" w:hAnsiTheme="majorBidi" w:cstheme="majorBidi"/>
        </w:rPr>
        <w:t xml:space="preserve"> </w:t>
      </w:r>
    </w:p>
    <w:p w:rsidR="00BC1524" w:rsidRPr="005136E6" w:rsidRDefault="00BC1524" w:rsidP="00BC1524">
      <w:pPr>
        <w:autoSpaceDE w:val="0"/>
        <w:autoSpaceDN w:val="0"/>
        <w:adjustRightInd w:val="0"/>
        <w:spacing w:before="240"/>
        <w:jc w:val="both"/>
        <w:rPr>
          <w:rFonts w:asciiTheme="majorBidi" w:eastAsia="Calibri" w:hAnsiTheme="majorBidi" w:cstheme="majorBidi"/>
          <w:b/>
          <w:bCs/>
        </w:rPr>
      </w:pPr>
      <w:r w:rsidRPr="005136E6">
        <w:rPr>
          <w:rFonts w:asciiTheme="majorBidi" w:eastAsia="Calibri" w:hAnsiTheme="majorBidi" w:cstheme="majorBidi"/>
          <w:b/>
          <w:bCs/>
        </w:rPr>
        <w:t>Western blotting</w:t>
      </w:r>
      <w:r w:rsidR="00133419" w:rsidRPr="005136E6">
        <w:rPr>
          <w:rFonts w:asciiTheme="majorBidi" w:eastAsia="Calibri" w:hAnsiTheme="majorBidi" w:cstheme="majorBidi"/>
          <w:b/>
          <w:bCs/>
        </w:rPr>
        <w:t xml:space="preserve"> analysis of GPVI </w:t>
      </w:r>
      <w:r w:rsidR="00C84A0D" w:rsidRPr="005136E6">
        <w:rPr>
          <w:rFonts w:asciiTheme="majorBidi" w:eastAsia="Calibri" w:hAnsiTheme="majorBidi" w:cstheme="majorBidi"/>
          <w:b/>
          <w:bCs/>
        </w:rPr>
        <w:t>shedding</w:t>
      </w:r>
    </w:p>
    <w:p w:rsidR="00BC1524" w:rsidRPr="005136E6" w:rsidRDefault="00C84A0D" w:rsidP="0084598D">
      <w:pPr>
        <w:autoSpaceDE w:val="0"/>
        <w:autoSpaceDN w:val="0"/>
        <w:adjustRightInd w:val="0"/>
        <w:spacing w:before="240"/>
        <w:jc w:val="both"/>
        <w:rPr>
          <w:rFonts w:asciiTheme="majorBidi" w:hAnsiTheme="majorBidi" w:cstheme="majorBidi"/>
        </w:rPr>
      </w:pPr>
      <w:r w:rsidRPr="005136E6">
        <w:rPr>
          <w:rFonts w:asciiTheme="majorBidi" w:eastAsia="Times New Roman" w:hAnsiTheme="majorBidi" w:cstheme="majorBidi"/>
        </w:rPr>
        <w:t>Platelet poor plasma (PPP) obtained from 6 PRP-PCs with the platelet count of 5×10</w:t>
      </w:r>
      <w:r w:rsidRPr="005136E6">
        <w:rPr>
          <w:rFonts w:asciiTheme="majorBidi" w:eastAsia="Times New Roman" w:hAnsiTheme="majorBidi" w:cstheme="majorBidi"/>
          <w:vertAlign w:val="superscript"/>
        </w:rPr>
        <w:t>8</w:t>
      </w:r>
      <w:r w:rsidRPr="005136E6">
        <w:rPr>
          <w:rFonts w:asciiTheme="majorBidi" w:eastAsia="Times New Roman" w:hAnsiTheme="majorBidi" w:cstheme="majorBidi"/>
        </w:rPr>
        <w:t xml:space="preserve"> /ml were subjected to two steps ultracentrifugation (2×10</w:t>
      </w:r>
      <w:r w:rsidRPr="005136E6">
        <w:rPr>
          <w:rFonts w:asciiTheme="majorBidi" w:eastAsia="Times New Roman" w:hAnsiTheme="majorBidi" w:cstheme="majorBidi"/>
          <w:vertAlign w:val="superscript"/>
        </w:rPr>
        <w:t>4</w:t>
      </w:r>
      <w:r w:rsidRPr="005136E6">
        <w:rPr>
          <w:rFonts w:asciiTheme="majorBidi" w:eastAsia="Times New Roman" w:hAnsiTheme="majorBidi" w:cstheme="majorBidi"/>
        </w:rPr>
        <w:t xml:space="preserve">g for 30 minutes each time) and </w:t>
      </w:r>
      <w:proofErr w:type="spellStart"/>
      <w:r w:rsidRPr="005136E6">
        <w:rPr>
          <w:rFonts w:asciiTheme="majorBidi" w:eastAsia="Times New Roman" w:hAnsiTheme="majorBidi" w:cstheme="majorBidi"/>
        </w:rPr>
        <w:t>microparticles</w:t>
      </w:r>
      <w:proofErr w:type="spellEnd"/>
      <w:r w:rsidRPr="005136E6">
        <w:rPr>
          <w:rFonts w:asciiTheme="majorBidi" w:eastAsia="Times New Roman" w:hAnsiTheme="majorBidi" w:cstheme="majorBidi"/>
        </w:rPr>
        <w:t xml:space="preserve"> (MPs)-free supernatant was separated and subjected to western blot analysis</w:t>
      </w:r>
      <w:r w:rsidRPr="005136E6">
        <w:rPr>
          <w:rFonts w:asciiTheme="majorBidi" w:eastAsia="Times New Roman" w:hAnsiTheme="majorBidi" w:cstheme="majorBidi"/>
        </w:rPr>
        <w:t>. To examine shedding response</w:t>
      </w:r>
      <w:r w:rsidR="0084598D">
        <w:rPr>
          <w:rFonts w:asciiTheme="majorBidi" w:eastAsia="Times New Roman" w:hAnsiTheme="majorBidi" w:cstheme="majorBidi"/>
        </w:rPr>
        <w:t>s</w:t>
      </w:r>
      <w:r w:rsidRPr="005136E6">
        <w:rPr>
          <w:rFonts w:asciiTheme="majorBidi" w:eastAsia="Times New Roman" w:hAnsiTheme="majorBidi" w:cstheme="majorBidi"/>
        </w:rPr>
        <w:t xml:space="preserve"> to stimuli</w:t>
      </w:r>
      <w:r w:rsidR="0084598D">
        <w:rPr>
          <w:rFonts w:asciiTheme="majorBidi" w:eastAsia="Times New Roman" w:hAnsiTheme="majorBidi" w:cstheme="majorBidi"/>
        </w:rPr>
        <w:t>,</w:t>
      </w:r>
      <w:r w:rsidRPr="005136E6">
        <w:rPr>
          <w:rFonts w:asciiTheme="majorBidi" w:eastAsia="Times New Roman" w:hAnsiTheme="majorBidi" w:cstheme="majorBidi"/>
        </w:rPr>
        <w:t xml:space="preserve"> platelets (</w:t>
      </w:r>
      <w:r w:rsidRPr="005136E6">
        <w:rPr>
          <w:rFonts w:asciiTheme="majorBidi" w:eastAsia="Times New Roman" w:hAnsiTheme="majorBidi" w:cstheme="majorBidi"/>
        </w:rPr>
        <w:t>5×10</w:t>
      </w:r>
      <w:r w:rsidRPr="005136E6">
        <w:rPr>
          <w:rFonts w:asciiTheme="majorBidi" w:eastAsia="Times New Roman" w:hAnsiTheme="majorBidi" w:cstheme="majorBidi"/>
          <w:vertAlign w:val="superscript"/>
        </w:rPr>
        <w:t>8</w:t>
      </w:r>
      <w:r w:rsidRPr="005136E6">
        <w:rPr>
          <w:rFonts w:asciiTheme="majorBidi" w:eastAsia="Times New Roman" w:hAnsiTheme="majorBidi" w:cstheme="majorBidi"/>
        </w:rPr>
        <w:t xml:space="preserve"> /ml</w:t>
      </w:r>
      <w:r w:rsidRPr="005136E6">
        <w:rPr>
          <w:rFonts w:asciiTheme="majorBidi" w:eastAsia="Times New Roman" w:hAnsiTheme="majorBidi" w:cstheme="majorBidi"/>
        </w:rPr>
        <w:t xml:space="preserve">) were incubated with either </w:t>
      </w:r>
      <w:r w:rsidRPr="005136E6">
        <w:rPr>
          <w:rFonts w:asciiTheme="majorBidi" w:hAnsiTheme="majorBidi" w:cstheme="majorBidi"/>
        </w:rPr>
        <w:t xml:space="preserve">100 </w:t>
      </w:r>
      <w:proofErr w:type="spellStart"/>
      <w:r w:rsidRPr="005136E6">
        <w:rPr>
          <w:rFonts w:asciiTheme="majorBidi" w:hAnsiTheme="majorBidi" w:cstheme="majorBidi"/>
        </w:rPr>
        <w:t>μM</w:t>
      </w:r>
      <w:proofErr w:type="spellEnd"/>
      <w:r w:rsidRPr="005136E6">
        <w:rPr>
          <w:rFonts w:asciiTheme="majorBidi" w:hAnsiTheme="majorBidi" w:cstheme="majorBidi"/>
        </w:rPr>
        <w:t xml:space="preserve"> CCCP (carbonyl cyanide m-</w:t>
      </w:r>
      <w:proofErr w:type="spellStart"/>
      <w:r w:rsidRPr="005136E6">
        <w:rPr>
          <w:rFonts w:asciiTheme="majorBidi" w:hAnsiTheme="majorBidi" w:cstheme="majorBidi"/>
        </w:rPr>
        <w:t>chlorophenylhydrazone</w:t>
      </w:r>
      <w:proofErr w:type="spellEnd"/>
      <w:r w:rsidRPr="005136E6">
        <w:rPr>
          <w:rFonts w:asciiTheme="majorBidi" w:hAnsiTheme="majorBidi" w:cstheme="majorBidi"/>
        </w:rPr>
        <w:t xml:space="preserve">) or </w:t>
      </w:r>
      <w:r w:rsidRPr="005136E6">
        <w:rPr>
          <w:rFonts w:asciiTheme="majorBidi" w:hAnsiTheme="majorBidi" w:cstheme="majorBidi"/>
        </w:rPr>
        <w:t>10</w:t>
      </w:r>
      <w:r w:rsidRPr="005136E6">
        <w:rPr>
          <w:rFonts w:asciiTheme="majorBidi" w:hAnsiTheme="majorBidi" w:cstheme="majorBidi"/>
        </w:rPr>
        <w:t xml:space="preserve"> </w:t>
      </w:r>
      <w:proofErr w:type="spellStart"/>
      <w:r w:rsidRPr="005136E6">
        <w:rPr>
          <w:rFonts w:asciiTheme="majorBidi" w:hAnsiTheme="majorBidi" w:cstheme="majorBidi"/>
        </w:rPr>
        <w:t>μM</w:t>
      </w:r>
      <w:proofErr w:type="spellEnd"/>
      <w:r w:rsidRPr="005136E6">
        <w:rPr>
          <w:rFonts w:asciiTheme="majorBidi" w:hAnsiTheme="majorBidi" w:cstheme="majorBidi"/>
        </w:rPr>
        <w:t xml:space="preserve"> PMA (</w:t>
      </w:r>
      <w:proofErr w:type="spellStart"/>
      <w:r w:rsidRPr="005136E6">
        <w:rPr>
          <w:rFonts w:asciiTheme="majorBidi" w:hAnsiTheme="majorBidi" w:cstheme="majorBidi"/>
        </w:rPr>
        <w:t>phorbol</w:t>
      </w:r>
      <w:proofErr w:type="spellEnd"/>
      <w:r w:rsidRPr="005136E6">
        <w:rPr>
          <w:rFonts w:asciiTheme="majorBidi" w:hAnsiTheme="majorBidi" w:cstheme="majorBidi"/>
        </w:rPr>
        <w:t xml:space="preserve"> 12-myristate13-acetate) for 30 minutes</w:t>
      </w:r>
      <w:r w:rsidRPr="005136E6">
        <w:rPr>
          <w:rFonts w:asciiTheme="majorBidi" w:hAnsiTheme="majorBidi" w:cstheme="majorBidi"/>
        </w:rPr>
        <w:t xml:space="preserve"> prior to fractionation.</w:t>
      </w:r>
      <w:r w:rsidRPr="005136E6">
        <w:rPr>
          <w:rFonts w:asciiTheme="majorBidi" w:eastAsia="Times New Roman" w:hAnsiTheme="majorBidi" w:cstheme="majorBidi"/>
        </w:rPr>
        <w:t xml:space="preserve"> </w:t>
      </w:r>
      <w:proofErr w:type="spellStart"/>
      <w:r w:rsidR="00BC1524" w:rsidRPr="005136E6">
        <w:rPr>
          <w:rFonts w:asciiTheme="majorBidi" w:hAnsiTheme="majorBidi" w:cstheme="majorBidi"/>
        </w:rPr>
        <w:t>Microparticle</w:t>
      </w:r>
      <w:proofErr w:type="spellEnd"/>
      <w:r w:rsidR="00BC1524" w:rsidRPr="005136E6">
        <w:rPr>
          <w:rFonts w:asciiTheme="majorBidi" w:hAnsiTheme="majorBidi" w:cstheme="majorBidi"/>
        </w:rPr>
        <w:t xml:space="preserve">-free samples were subjected to SDS-PAGE and western blotting analysis to identify soluble GPVI. To prevent interfere with the proteins bands, albumin was fractionated from samples before experiments </w:t>
      </w:r>
      <w:r w:rsidR="00BC1524" w:rsidRPr="005136E6">
        <w:rPr>
          <w:rFonts w:asciiTheme="majorBidi" w:hAnsiTheme="majorBidi" w:cstheme="majorBidi"/>
        </w:rPr>
        <w:fldChar w:fldCharType="begin"/>
      </w:r>
      <w:r w:rsidR="006573A3" w:rsidRPr="005136E6">
        <w:rPr>
          <w:rFonts w:asciiTheme="majorBidi" w:hAnsiTheme="majorBidi" w:cstheme="majorBidi"/>
        </w:rPr>
        <w:instrText xml:space="preserve"> ADDIN EN.CITE &lt;EndNote&gt;&lt;Cite&gt;&lt;Author&gt;Fu&lt;/Author&gt;&lt;Year&gt;2005&lt;/Year&gt;&lt;RecNum&gt;163&lt;/RecNum&gt;&lt;DisplayText&gt;[3]&lt;/DisplayText&gt;&lt;record&gt;&lt;rec-number&gt;163&lt;/rec-number&gt;&lt;foreign-keys&gt;&lt;key app="EN" db-id="z5pdtxxegt0er3e0vx05erzaddvspap5z50p"&gt;163&lt;/key&gt;&lt;/foreign-keys&gt;&lt;ref-type name="Journal Article"&gt;17&lt;/ref-type&gt;&lt;contributors&gt;&lt;authors&gt;&lt;author&gt;Fu, Q.&lt;/author&gt;&lt;author&gt;Garnham, C. P.&lt;/author&gt;&lt;author&gt;Elliott, S. T.&lt;/author&gt;&lt;author&gt;Bovenkamp, D. E.&lt;/author&gt;&lt;author&gt;Van Eyk, J. E.&lt;/author&gt;&lt;/authors&gt;&lt;/contributors&gt;&lt;auth-address&gt;Department of Medicine, Johns Hopkins University, Baltimore, MD, USA.&lt;/auth-address&gt;&lt;titles&gt;&lt;title&gt;A robust, streamlined, and reproducible method for proteomic analysis of serum by delipidation, albumin and IgG depletion, and two-dimensional gel electrophoresis&lt;/title&gt;&lt;secondary-title&gt;Proteomics&lt;/secondary-title&gt;&lt;alt-title&gt;Proteomics&lt;/alt-title&gt;&lt;/titles&gt;&lt;pages&gt;2656-64&lt;/pages&gt;&lt;volume&gt;5&lt;/volume&gt;&lt;number&gt;10&lt;/number&gt;&lt;edition&gt;2005/06/01&lt;/edition&gt;&lt;keywords&gt;&lt;keyword&gt;Blood Proteins/chemistry/*isolation &amp;amp; purification&lt;/keyword&gt;&lt;keyword&gt;Electrophoresis, Gel, Two-Dimensional&lt;/keyword&gt;&lt;keyword&gt;Electrophoresis, Polyacrylamide Gel&lt;/keyword&gt;&lt;keyword&gt;Humans&lt;/keyword&gt;&lt;keyword&gt;Image Processing, Computer-Assisted&lt;/keyword&gt;&lt;keyword&gt;Immunoglobulin G/*blood/*isolation &amp;amp; purification&lt;/keyword&gt;&lt;keyword&gt;Lipids/*blood/isolation &amp;amp; purification&lt;/keyword&gt;&lt;keyword&gt;*Proteome&lt;/keyword&gt;&lt;keyword&gt;Reproducibility of Results&lt;/keyword&gt;&lt;keyword&gt;Serum Albumin/*isolation &amp;amp; purification&lt;/keyword&gt;&lt;/keywords&gt;&lt;dates&gt;&lt;year&gt;2005&lt;/year&gt;&lt;pub-dates&gt;&lt;date&gt;Jul&lt;/date&gt;&lt;/pub-dates&gt;&lt;/dates&gt;&lt;isbn&gt;1615-9853 (Print)&amp;#xD;1615-9853 (Linking)&lt;/isbn&gt;&lt;accession-num&gt;15924293&lt;/accession-num&gt;&lt;work-type&gt;Research Support, Non-U.S. Gov&amp;apos;t&lt;/work-type&gt;&lt;urls&gt;&lt;related-urls&gt;&lt;url&gt;http://www.ncbi.nlm.nih.gov/pubmed/15924293&lt;/url&gt;&lt;/related-urls&gt;&lt;/urls&gt;&lt;electronic-resource-num&gt;10.1002/pmic.200402048&lt;/electronic-resource-num&gt;&lt;language&gt;eng&lt;/language&gt;&lt;/record&gt;&lt;/Cite&gt;&lt;/EndNote&gt;</w:instrText>
      </w:r>
      <w:r w:rsidR="00BC1524" w:rsidRPr="005136E6">
        <w:rPr>
          <w:rFonts w:asciiTheme="majorBidi" w:hAnsiTheme="majorBidi" w:cstheme="majorBidi"/>
        </w:rPr>
        <w:fldChar w:fldCharType="separate"/>
      </w:r>
      <w:r w:rsidR="006573A3" w:rsidRPr="005136E6">
        <w:rPr>
          <w:rFonts w:asciiTheme="majorBidi" w:hAnsiTheme="majorBidi" w:cstheme="majorBidi"/>
          <w:noProof/>
        </w:rPr>
        <w:t>[</w:t>
      </w:r>
      <w:hyperlink w:anchor="_ENREF_3" w:tooltip="Fu, 2005 #163" w:history="1">
        <w:r w:rsidR="006573A3" w:rsidRPr="005136E6">
          <w:rPr>
            <w:rFonts w:asciiTheme="majorBidi" w:hAnsiTheme="majorBidi" w:cstheme="majorBidi"/>
            <w:noProof/>
          </w:rPr>
          <w:t>3</w:t>
        </w:r>
      </w:hyperlink>
      <w:r w:rsidR="006573A3" w:rsidRPr="005136E6">
        <w:rPr>
          <w:rFonts w:asciiTheme="majorBidi" w:hAnsiTheme="majorBidi" w:cstheme="majorBidi"/>
          <w:noProof/>
        </w:rPr>
        <w:t>]</w:t>
      </w:r>
      <w:r w:rsidR="00BC1524" w:rsidRPr="005136E6">
        <w:rPr>
          <w:rFonts w:asciiTheme="majorBidi" w:hAnsiTheme="majorBidi" w:cstheme="majorBidi"/>
        </w:rPr>
        <w:fldChar w:fldCharType="end"/>
      </w:r>
      <w:r w:rsidR="00BC1524" w:rsidRPr="005136E6">
        <w:rPr>
          <w:rFonts w:asciiTheme="majorBidi" w:hAnsiTheme="majorBidi" w:cstheme="majorBidi"/>
        </w:rPr>
        <w:t xml:space="preserve">. Proteins were then Immunoblotted using primary specific monoclonal antibody, HRP-conjugated secondary antibody and enhanced </w:t>
      </w:r>
      <w:proofErr w:type="spellStart"/>
      <w:r w:rsidR="00BC1524" w:rsidRPr="005136E6">
        <w:rPr>
          <w:rFonts w:asciiTheme="majorBidi" w:hAnsiTheme="majorBidi" w:cstheme="majorBidi"/>
        </w:rPr>
        <w:t>chemiluminescence</w:t>
      </w:r>
      <w:proofErr w:type="spellEnd"/>
      <w:r w:rsidR="00BC1524" w:rsidRPr="005136E6">
        <w:rPr>
          <w:rFonts w:asciiTheme="majorBidi" w:hAnsiTheme="majorBidi" w:cstheme="majorBidi"/>
        </w:rPr>
        <w:t xml:space="preserve"> </w:t>
      </w:r>
      <w:r w:rsidR="00BC1524" w:rsidRPr="005136E6">
        <w:rPr>
          <w:rFonts w:asciiTheme="majorBidi" w:hAnsiTheme="majorBidi" w:cstheme="majorBidi"/>
        </w:rPr>
        <w:lastRenderedPageBreak/>
        <w:t xml:space="preserve">reagent. Finally, bands were visualized by </w:t>
      </w:r>
      <w:proofErr w:type="spellStart"/>
      <w:r w:rsidR="00BC1524" w:rsidRPr="005136E6">
        <w:rPr>
          <w:rFonts w:asciiTheme="majorBidi" w:hAnsiTheme="majorBidi" w:cstheme="majorBidi"/>
        </w:rPr>
        <w:t>ChemiDoc</w:t>
      </w:r>
      <w:proofErr w:type="spellEnd"/>
      <w:r w:rsidR="00BC1524" w:rsidRPr="005136E6">
        <w:rPr>
          <w:rFonts w:asciiTheme="majorBidi" w:hAnsiTheme="majorBidi" w:cstheme="majorBidi"/>
        </w:rPr>
        <w:t xml:space="preserve"> XRS+ system using image Lab software (Bio-Rad Laboratories, </w:t>
      </w:r>
      <w:proofErr w:type="spellStart"/>
      <w:r w:rsidR="00BC1524" w:rsidRPr="005136E6">
        <w:rPr>
          <w:rFonts w:asciiTheme="majorBidi" w:hAnsiTheme="majorBidi" w:cstheme="majorBidi"/>
        </w:rPr>
        <w:t>inc.</w:t>
      </w:r>
      <w:proofErr w:type="spellEnd"/>
      <w:r w:rsidR="00BC1524" w:rsidRPr="005136E6">
        <w:rPr>
          <w:rFonts w:asciiTheme="majorBidi" w:hAnsiTheme="majorBidi" w:cstheme="majorBidi"/>
        </w:rPr>
        <w:t xml:space="preserve"> USA). For each run of shedding analysis, the free-MPs supernatant of samples obtained from PRP-PCs (with the same count of platelets) were subjected to western blot analysis along with a positive control of shedding. For each run, the intensities of samples were calculated in order to </w:t>
      </w:r>
      <w:hyperlink r:id="rId5" w:history="1">
        <w:r w:rsidR="00BC1524" w:rsidRPr="005136E6">
          <w:rPr>
            <w:rFonts w:asciiTheme="majorBidi" w:hAnsiTheme="majorBidi" w:cstheme="majorBidi"/>
          </w:rPr>
          <w:t>semi-quantitative</w:t>
        </w:r>
      </w:hyperlink>
      <w:r w:rsidR="00BC1524" w:rsidRPr="005136E6">
        <w:rPr>
          <w:rFonts w:asciiTheme="majorBidi" w:hAnsiTheme="majorBidi" w:cstheme="majorBidi"/>
        </w:rPr>
        <w:t xml:space="preserve">ly analyze and compare the amounts of shed receptors from day 1 to day 5 of storage. </w:t>
      </w:r>
    </w:p>
    <w:p w:rsidR="00F55B4B" w:rsidRPr="005136E6" w:rsidRDefault="00F55B4B" w:rsidP="00133419">
      <w:pPr>
        <w:autoSpaceDE w:val="0"/>
        <w:autoSpaceDN w:val="0"/>
        <w:adjustRightInd w:val="0"/>
        <w:spacing w:after="0"/>
        <w:jc w:val="both"/>
        <w:rPr>
          <w:rFonts w:asciiTheme="majorBidi" w:eastAsia="Calibri" w:hAnsiTheme="majorBidi" w:cstheme="majorBidi"/>
          <w:b/>
          <w:bCs/>
          <w:lang w:bidi="fa-IR"/>
        </w:rPr>
      </w:pPr>
    </w:p>
    <w:p w:rsidR="00133419" w:rsidRPr="005136E6" w:rsidRDefault="00133419" w:rsidP="00133419">
      <w:pPr>
        <w:autoSpaceDE w:val="0"/>
        <w:autoSpaceDN w:val="0"/>
        <w:adjustRightInd w:val="0"/>
        <w:spacing w:after="0"/>
        <w:jc w:val="both"/>
        <w:rPr>
          <w:rFonts w:asciiTheme="majorBidi" w:eastAsia="Calibri" w:hAnsiTheme="majorBidi" w:cstheme="majorBidi"/>
          <w:b/>
          <w:bCs/>
          <w:lang w:bidi="fa-IR"/>
        </w:rPr>
      </w:pPr>
      <w:r w:rsidRPr="005136E6">
        <w:rPr>
          <w:rFonts w:asciiTheme="majorBidi" w:eastAsia="Calibri" w:hAnsiTheme="majorBidi" w:cstheme="majorBidi"/>
          <w:b/>
          <w:bCs/>
          <w:lang w:bidi="fa-IR"/>
        </w:rPr>
        <w:t xml:space="preserve">Flow </w:t>
      </w:r>
      <w:proofErr w:type="spellStart"/>
      <w:r w:rsidRPr="005136E6">
        <w:rPr>
          <w:rFonts w:asciiTheme="majorBidi" w:eastAsia="Calibri" w:hAnsiTheme="majorBidi" w:cstheme="majorBidi"/>
          <w:b/>
          <w:bCs/>
          <w:lang w:bidi="fa-IR"/>
        </w:rPr>
        <w:t>cytometery</w:t>
      </w:r>
      <w:proofErr w:type="spellEnd"/>
      <w:r w:rsidRPr="005136E6">
        <w:rPr>
          <w:rFonts w:asciiTheme="majorBidi" w:eastAsia="Calibri" w:hAnsiTheme="majorBidi" w:cstheme="majorBidi"/>
          <w:b/>
          <w:bCs/>
          <w:lang w:bidi="fa-IR"/>
        </w:rPr>
        <w:t xml:space="preserve"> analysis of GPVI expression</w:t>
      </w:r>
    </w:p>
    <w:p w:rsidR="00133419" w:rsidRPr="005136E6" w:rsidRDefault="00236179" w:rsidP="0084598D">
      <w:pPr>
        <w:autoSpaceDE w:val="0"/>
        <w:autoSpaceDN w:val="0"/>
        <w:adjustRightInd w:val="0"/>
        <w:spacing w:after="0"/>
        <w:jc w:val="both"/>
        <w:rPr>
          <w:rFonts w:asciiTheme="majorBidi" w:eastAsia="Times New Roman" w:hAnsiTheme="majorBidi" w:cstheme="majorBidi"/>
        </w:rPr>
      </w:pPr>
      <w:r w:rsidRPr="005136E6">
        <w:rPr>
          <w:rFonts w:asciiTheme="majorBidi" w:eastAsia="Times New Roman" w:hAnsiTheme="majorBidi" w:cstheme="majorBidi"/>
        </w:rPr>
        <w:t xml:space="preserve">Washed platelets obtained from 6 PRP-PCs were re-suspended in </w:t>
      </w:r>
      <w:proofErr w:type="spellStart"/>
      <w:r w:rsidRPr="005136E6">
        <w:rPr>
          <w:rFonts w:asciiTheme="majorBidi" w:eastAsia="Times New Roman" w:hAnsiTheme="majorBidi" w:cstheme="majorBidi"/>
        </w:rPr>
        <w:t>Tyrode</w:t>
      </w:r>
      <w:proofErr w:type="spellEnd"/>
      <w:r w:rsidRPr="005136E6">
        <w:rPr>
          <w:rFonts w:asciiTheme="majorBidi" w:eastAsia="Times New Roman" w:hAnsiTheme="majorBidi" w:cstheme="majorBidi"/>
        </w:rPr>
        <w:t xml:space="preserve"> buffer with count adjusted to 2×10</w:t>
      </w:r>
      <w:r w:rsidRPr="0084598D">
        <w:rPr>
          <w:rFonts w:asciiTheme="majorBidi" w:eastAsia="Times New Roman" w:hAnsiTheme="majorBidi" w:cstheme="majorBidi"/>
          <w:vertAlign w:val="superscript"/>
        </w:rPr>
        <w:t>7</w:t>
      </w:r>
      <w:r w:rsidRPr="005136E6">
        <w:rPr>
          <w:rFonts w:asciiTheme="majorBidi" w:eastAsia="Times New Roman" w:hAnsiTheme="majorBidi" w:cstheme="majorBidi"/>
        </w:rPr>
        <w:t>/ml. Platelets</w:t>
      </w:r>
      <w:r w:rsidR="0084598D">
        <w:rPr>
          <w:rFonts w:asciiTheme="majorBidi" w:eastAsia="Times New Roman" w:hAnsiTheme="majorBidi" w:cstheme="majorBidi"/>
        </w:rPr>
        <w:t xml:space="preserve"> </w:t>
      </w:r>
      <w:r w:rsidRPr="005136E6">
        <w:rPr>
          <w:rFonts w:asciiTheme="majorBidi" w:eastAsia="Times New Roman" w:hAnsiTheme="majorBidi" w:cstheme="majorBidi"/>
        </w:rPr>
        <w:t>were incubated with FITC mouse anti human GPVI for 30 minutes at 37ºC, in the presence and absence of either 100μM CCCP (carbonyl cyanide m-</w:t>
      </w:r>
      <w:proofErr w:type="spellStart"/>
      <w:r w:rsidRPr="005136E6">
        <w:rPr>
          <w:rFonts w:asciiTheme="majorBidi" w:eastAsia="Times New Roman" w:hAnsiTheme="majorBidi" w:cstheme="majorBidi"/>
        </w:rPr>
        <w:t>chlorophenylhydrazone</w:t>
      </w:r>
      <w:proofErr w:type="spellEnd"/>
      <w:r w:rsidRPr="005136E6">
        <w:rPr>
          <w:rFonts w:asciiTheme="majorBidi" w:eastAsia="Times New Roman" w:hAnsiTheme="majorBidi" w:cstheme="majorBidi"/>
        </w:rPr>
        <w:t xml:space="preserve">) or </w:t>
      </w:r>
      <w:r w:rsidRPr="005136E6">
        <w:rPr>
          <w:rFonts w:asciiTheme="majorBidi" w:eastAsia="Times New Roman" w:hAnsiTheme="majorBidi" w:cstheme="majorBidi"/>
        </w:rPr>
        <w:t>2</w:t>
      </w:r>
      <w:r w:rsidRPr="005136E6">
        <w:rPr>
          <w:rFonts w:asciiTheme="majorBidi" w:eastAsia="Times New Roman" w:hAnsiTheme="majorBidi" w:cstheme="majorBidi"/>
        </w:rPr>
        <w:t>μM PMA (</w:t>
      </w:r>
      <w:proofErr w:type="spellStart"/>
      <w:r w:rsidRPr="005136E6">
        <w:rPr>
          <w:rFonts w:asciiTheme="majorBidi" w:eastAsia="Times New Roman" w:hAnsiTheme="majorBidi" w:cstheme="majorBidi"/>
        </w:rPr>
        <w:t>phorbol</w:t>
      </w:r>
      <w:proofErr w:type="spellEnd"/>
      <w:r w:rsidRPr="005136E6">
        <w:rPr>
          <w:rFonts w:asciiTheme="majorBidi" w:eastAsia="Times New Roman" w:hAnsiTheme="majorBidi" w:cstheme="majorBidi"/>
        </w:rPr>
        <w:t xml:space="preserve"> 12-myristate13-acetate) respectively (both compounds pre-incubated with platelets for 30 minutes)</w:t>
      </w:r>
      <w:r w:rsidRPr="005136E6">
        <w:rPr>
          <w:rFonts w:asciiTheme="majorBidi" w:eastAsia="Times New Roman" w:hAnsiTheme="majorBidi" w:cstheme="majorBidi"/>
        </w:rPr>
        <w:t xml:space="preserve">. </w:t>
      </w:r>
      <w:r w:rsidR="00133419" w:rsidRPr="005136E6">
        <w:rPr>
          <w:rFonts w:asciiTheme="majorBidi" w:eastAsia="Times New Roman" w:hAnsiTheme="majorBidi" w:cstheme="majorBidi"/>
        </w:rPr>
        <w:t>Platelets were stained with anti-GPVI for 30 min. Isotype-matched control antibodies were used to determine background staining created by non-specific binding. Cells were then fixed in 1% paraformaldehyde in PBS and subjected to flow cytometer (</w:t>
      </w:r>
      <w:proofErr w:type="spellStart"/>
      <w:r w:rsidR="00133419" w:rsidRPr="005136E6">
        <w:rPr>
          <w:rFonts w:asciiTheme="majorBidi" w:eastAsia="Times New Roman" w:hAnsiTheme="majorBidi" w:cstheme="majorBidi"/>
        </w:rPr>
        <w:t>CyFlow®Space</w:t>
      </w:r>
      <w:proofErr w:type="spellEnd"/>
      <w:r w:rsidR="00133419" w:rsidRPr="005136E6">
        <w:rPr>
          <w:rFonts w:asciiTheme="majorBidi" w:eastAsia="Times New Roman" w:hAnsiTheme="majorBidi" w:cstheme="majorBidi"/>
        </w:rPr>
        <w:t xml:space="preserve">, </w:t>
      </w:r>
      <w:proofErr w:type="spellStart"/>
      <w:r w:rsidR="00133419" w:rsidRPr="005136E6">
        <w:rPr>
          <w:rFonts w:asciiTheme="majorBidi" w:eastAsia="Times New Roman" w:hAnsiTheme="majorBidi" w:cstheme="majorBidi"/>
        </w:rPr>
        <w:t>Partec</w:t>
      </w:r>
      <w:proofErr w:type="spellEnd"/>
      <w:r w:rsidR="00133419" w:rsidRPr="005136E6">
        <w:rPr>
          <w:rFonts w:asciiTheme="majorBidi" w:eastAsia="Times New Roman" w:hAnsiTheme="majorBidi" w:cstheme="majorBidi"/>
        </w:rPr>
        <w:t xml:space="preserve"> GmbH, Germany) where a total of 20,000 platelet events were acquired. The flow cytometer settings were optimized for the acquisition of platelets by logarithmic signal amplification in all four detectors (forward and side scatter channels and fluorescence channels FL1 and FL2). For analysis, the gate was set around intact platelet population as defined by forward and side scatter characteristics and GPVI expression was quantified as the mean fluorescence intensity (MFI). Data were analyzed with FLOWJO software (Tree Star Inc., OR, USA).</w:t>
      </w:r>
    </w:p>
    <w:p w:rsidR="00133419" w:rsidRPr="005136E6" w:rsidRDefault="00133419" w:rsidP="00BC1524">
      <w:pPr>
        <w:autoSpaceDE w:val="0"/>
        <w:autoSpaceDN w:val="0"/>
        <w:adjustRightInd w:val="0"/>
        <w:spacing w:after="0"/>
        <w:jc w:val="both"/>
        <w:rPr>
          <w:rFonts w:asciiTheme="majorBidi" w:hAnsiTheme="majorBidi" w:cstheme="majorBidi"/>
        </w:rPr>
      </w:pPr>
    </w:p>
    <w:p w:rsidR="00033ADB" w:rsidRPr="005136E6" w:rsidRDefault="00033ADB" w:rsidP="00033ADB">
      <w:pPr>
        <w:autoSpaceDE w:val="0"/>
        <w:autoSpaceDN w:val="0"/>
        <w:adjustRightInd w:val="0"/>
        <w:spacing w:after="0" w:line="360" w:lineRule="auto"/>
        <w:jc w:val="both"/>
        <w:rPr>
          <w:rFonts w:asciiTheme="majorBidi" w:hAnsiTheme="majorBidi" w:cstheme="majorBidi"/>
          <w:b/>
          <w:bCs/>
        </w:rPr>
      </w:pPr>
      <w:r w:rsidRPr="005136E6">
        <w:rPr>
          <w:rFonts w:asciiTheme="majorBidi" w:hAnsiTheme="majorBidi" w:cstheme="majorBidi"/>
          <w:b/>
          <w:bCs/>
        </w:rPr>
        <w:t>Bacterial cultures</w:t>
      </w:r>
    </w:p>
    <w:p w:rsidR="00033ADB" w:rsidRPr="005136E6" w:rsidRDefault="00033ADB" w:rsidP="00033ADB">
      <w:pPr>
        <w:autoSpaceDE w:val="0"/>
        <w:autoSpaceDN w:val="0"/>
        <w:adjustRightInd w:val="0"/>
        <w:spacing w:after="0"/>
        <w:jc w:val="both"/>
        <w:rPr>
          <w:rFonts w:asciiTheme="majorBidi" w:hAnsiTheme="majorBidi" w:cstheme="majorBidi"/>
        </w:rPr>
      </w:pPr>
      <w:r w:rsidRPr="005136E6">
        <w:rPr>
          <w:rFonts w:asciiTheme="majorBidi" w:hAnsiTheme="majorBidi" w:cstheme="majorBidi"/>
        </w:rPr>
        <w:t>Bacterial cultures were performed on day 5 for each bag of platelets, including both aerobic and anaerobic cultures</w:t>
      </w:r>
    </w:p>
    <w:p w:rsidR="00033ADB" w:rsidRPr="005136E6" w:rsidRDefault="00033ADB" w:rsidP="00033ADB">
      <w:pPr>
        <w:autoSpaceDE w:val="0"/>
        <w:autoSpaceDN w:val="0"/>
        <w:adjustRightInd w:val="0"/>
        <w:spacing w:after="0" w:line="360" w:lineRule="auto"/>
        <w:jc w:val="both"/>
        <w:rPr>
          <w:rFonts w:asciiTheme="majorBidi" w:hAnsiTheme="majorBidi" w:cstheme="majorBidi"/>
        </w:rPr>
      </w:pPr>
    </w:p>
    <w:p w:rsidR="00033ADB" w:rsidRPr="005136E6" w:rsidRDefault="00033ADB" w:rsidP="00033ADB">
      <w:pPr>
        <w:autoSpaceDE w:val="0"/>
        <w:autoSpaceDN w:val="0"/>
        <w:adjustRightInd w:val="0"/>
        <w:spacing w:after="0" w:line="360" w:lineRule="auto"/>
        <w:jc w:val="both"/>
        <w:rPr>
          <w:rFonts w:asciiTheme="majorBidi" w:hAnsiTheme="majorBidi" w:cstheme="majorBidi"/>
          <w:b/>
          <w:bCs/>
        </w:rPr>
      </w:pPr>
      <w:r w:rsidRPr="005136E6">
        <w:rPr>
          <w:rFonts w:asciiTheme="majorBidi" w:hAnsiTheme="majorBidi" w:cstheme="majorBidi"/>
          <w:b/>
          <w:bCs/>
        </w:rPr>
        <w:t>Statistical analysis</w:t>
      </w:r>
    </w:p>
    <w:p w:rsidR="00033ADB" w:rsidRPr="005136E6" w:rsidRDefault="00033ADB" w:rsidP="00033ADB">
      <w:pPr>
        <w:autoSpaceDE w:val="0"/>
        <w:autoSpaceDN w:val="0"/>
        <w:adjustRightInd w:val="0"/>
        <w:spacing w:after="0" w:line="360" w:lineRule="auto"/>
        <w:jc w:val="both"/>
        <w:rPr>
          <w:rFonts w:asciiTheme="majorBidi" w:eastAsia="Times New Roman" w:hAnsiTheme="majorBidi" w:cstheme="majorBidi"/>
        </w:rPr>
      </w:pPr>
      <w:r w:rsidRPr="005136E6">
        <w:rPr>
          <w:rFonts w:asciiTheme="majorBidi" w:eastAsia="Times New Roman" w:hAnsiTheme="majorBidi" w:cstheme="majorBidi"/>
        </w:rPr>
        <w:t xml:space="preserve">For comparison of the parameters in different days, data were analyzed by </w:t>
      </w:r>
      <w:proofErr w:type="spellStart"/>
      <w:r w:rsidRPr="005136E6">
        <w:rPr>
          <w:rFonts w:asciiTheme="majorBidi" w:eastAsia="Times New Roman" w:hAnsiTheme="majorBidi" w:cstheme="majorBidi"/>
        </w:rPr>
        <w:t>Kruskal</w:t>
      </w:r>
      <w:proofErr w:type="spellEnd"/>
      <w:r w:rsidRPr="005136E6">
        <w:rPr>
          <w:rFonts w:asciiTheme="majorBidi" w:eastAsia="Times New Roman" w:hAnsiTheme="majorBidi" w:cstheme="majorBidi"/>
        </w:rPr>
        <w:t xml:space="preserve">-Wallis test with Dunn’s multiple comparison </w:t>
      </w:r>
      <w:proofErr w:type="gramStart"/>
      <w:r w:rsidRPr="005136E6">
        <w:rPr>
          <w:rFonts w:asciiTheme="majorBidi" w:eastAsia="Times New Roman" w:hAnsiTheme="majorBidi" w:cstheme="majorBidi"/>
        </w:rPr>
        <w:t>test</w:t>
      </w:r>
      <w:proofErr w:type="gramEnd"/>
      <w:r w:rsidRPr="005136E6">
        <w:rPr>
          <w:rFonts w:asciiTheme="majorBidi" w:eastAsia="Times New Roman" w:hAnsiTheme="majorBidi" w:cstheme="majorBidi"/>
        </w:rPr>
        <w:t xml:space="preserve">. Mann–Whitney U test was also applied to compare parameters between two groups (platelets treated with different agents compared to control). Correlations were </w:t>
      </w:r>
      <w:r w:rsidR="002C1B0F" w:rsidRPr="005136E6">
        <w:rPr>
          <w:rFonts w:asciiTheme="majorBidi" w:eastAsia="Times New Roman" w:hAnsiTheme="majorBidi" w:cstheme="majorBidi"/>
        </w:rPr>
        <w:t>analyzed</w:t>
      </w:r>
      <w:r w:rsidRPr="005136E6">
        <w:rPr>
          <w:rFonts w:asciiTheme="majorBidi" w:eastAsia="Times New Roman" w:hAnsiTheme="majorBidi" w:cstheme="majorBidi"/>
        </w:rPr>
        <w:t xml:space="preserve"> by Spearman's rank correlation test. P values of less than 0.05 were considered to be significant, using </w:t>
      </w:r>
      <w:proofErr w:type="spellStart"/>
      <w:r w:rsidRPr="005136E6">
        <w:rPr>
          <w:rFonts w:asciiTheme="majorBidi" w:eastAsia="Times New Roman" w:hAnsiTheme="majorBidi" w:cstheme="majorBidi"/>
        </w:rPr>
        <w:t>GraphPad</w:t>
      </w:r>
      <w:proofErr w:type="spellEnd"/>
      <w:r w:rsidRPr="005136E6">
        <w:rPr>
          <w:rFonts w:asciiTheme="majorBidi" w:eastAsia="Times New Roman" w:hAnsiTheme="majorBidi" w:cstheme="majorBidi"/>
        </w:rPr>
        <w:t xml:space="preserve"> Prism software (</w:t>
      </w:r>
      <w:proofErr w:type="spellStart"/>
      <w:r w:rsidRPr="005136E6">
        <w:rPr>
          <w:rFonts w:asciiTheme="majorBidi" w:eastAsia="Times New Roman" w:hAnsiTheme="majorBidi" w:cstheme="majorBidi"/>
        </w:rPr>
        <w:t>GraphPad</w:t>
      </w:r>
      <w:proofErr w:type="spellEnd"/>
      <w:r w:rsidRPr="005136E6">
        <w:rPr>
          <w:rFonts w:asciiTheme="majorBidi" w:eastAsia="Times New Roman" w:hAnsiTheme="majorBidi" w:cstheme="majorBidi"/>
        </w:rPr>
        <w:t xml:space="preserve"> Prism Software, Inc., San Diego, CA). </w:t>
      </w:r>
    </w:p>
    <w:p w:rsidR="005136E6" w:rsidRPr="005136E6" w:rsidRDefault="005136E6" w:rsidP="00033ADB">
      <w:pPr>
        <w:autoSpaceDE w:val="0"/>
        <w:autoSpaceDN w:val="0"/>
        <w:adjustRightInd w:val="0"/>
        <w:spacing w:after="0" w:line="360" w:lineRule="auto"/>
        <w:jc w:val="both"/>
        <w:rPr>
          <w:rFonts w:asciiTheme="majorBidi" w:hAnsiTheme="majorBidi" w:cstheme="majorBidi"/>
        </w:rPr>
      </w:pPr>
    </w:p>
    <w:p w:rsidR="006573A3" w:rsidRPr="005136E6" w:rsidRDefault="005136E6" w:rsidP="005136E6">
      <w:pPr>
        <w:autoSpaceDE w:val="0"/>
        <w:autoSpaceDN w:val="0"/>
        <w:adjustRightInd w:val="0"/>
        <w:spacing w:after="0" w:line="360" w:lineRule="auto"/>
        <w:jc w:val="both"/>
        <w:rPr>
          <w:rFonts w:asciiTheme="majorBidi" w:hAnsiTheme="majorBidi" w:cstheme="majorBidi"/>
          <w:b/>
          <w:bCs/>
          <w:color w:val="000000" w:themeColor="text1"/>
        </w:rPr>
      </w:pPr>
      <w:r w:rsidRPr="005136E6">
        <w:rPr>
          <w:rFonts w:asciiTheme="majorBidi" w:hAnsiTheme="majorBidi" w:cstheme="majorBidi"/>
          <w:b/>
          <w:bCs/>
          <w:color w:val="000000" w:themeColor="text1"/>
        </w:rPr>
        <w:t>References:</w:t>
      </w:r>
    </w:p>
    <w:p w:rsidR="006573A3" w:rsidRPr="005136E6" w:rsidRDefault="006573A3" w:rsidP="006573A3">
      <w:pPr>
        <w:spacing w:after="0" w:line="240" w:lineRule="auto"/>
        <w:rPr>
          <w:rFonts w:ascii="Calibri" w:hAnsi="Calibri"/>
          <w:noProof/>
        </w:rPr>
      </w:pPr>
      <w:r w:rsidRPr="005136E6">
        <w:fldChar w:fldCharType="begin"/>
      </w:r>
      <w:r w:rsidRPr="005136E6">
        <w:instrText xml:space="preserve"> ADDIN EN.REFLIST </w:instrText>
      </w:r>
      <w:r w:rsidRPr="005136E6">
        <w:fldChar w:fldCharType="separate"/>
      </w:r>
      <w:bookmarkStart w:id="0" w:name="_ENREF_1"/>
      <w:r w:rsidRPr="005136E6">
        <w:rPr>
          <w:rFonts w:ascii="Calibri" w:hAnsi="Calibri"/>
          <w:noProof/>
        </w:rPr>
        <w:t>[1] G. Rothe, A. Emmendorffer, A. Oser, J. Roesler, G. Valet, Flow cytometric measurement of the respiratory burst activity of phagocytes using dihydrorhodamine 123, J Immunol Methods 138(1) (1991) 133-5.</w:t>
      </w:r>
      <w:bookmarkEnd w:id="0"/>
    </w:p>
    <w:p w:rsidR="006573A3" w:rsidRPr="005136E6" w:rsidRDefault="006573A3" w:rsidP="006573A3">
      <w:pPr>
        <w:spacing w:after="0" w:line="240" w:lineRule="auto"/>
        <w:rPr>
          <w:rFonts w:ascii="Calibri" w:hAnsi="Calibri"/>
          <w:noProof/>
        </w:rPr>
      </w:pPr>
      <w:bookmarkStart w:id="1" w:name="_ENREF_2"/>
      <w:r w:rsidRPr="005136E6">
        <w:rPr>
          <w:rFonts w:ascii="Calibri" w:hAnsi="Calibri"/>
          <w:noProof/>
        </w:rPr>
        <w:t>[2] J. Yee, B. Giannias, B. Kapadia, L. Chartrand, N.V. Christou, Exudative neutrophils. Modulation of microbicidal function in the inflammatory microenvironment, Arch Surg 129(1) (1994) 99-105.</w:t>
      </w:r>
      <w:bookmarkEnd w:id="1"/>
    </w:p>
    <w:p w:rsidR="006573A3" w:rsidRPr="005136E6" w:rsidRDefault="006573A3" w:rsidP="006573A3">
      <w:pPr>
        <w:spacing w:line="240" w:lineRule="auto"/>
        <w:rPr>
          <w:rFonts w:ascii="Calibri" w:hAnsi="Calibri"/>
          <w:noProof/>
        </w:rPr>
      </w:pPr>
      <w:bookmarkStart w:id="2" w:name="_ENREF_3"/>
      <w:r w:rsidRPr="005136E6">
        <w:rPr>
          <w:rFonts w:ascii="Calibri" w:hAnsi="Calibri"/>
          <w:noProof/>
        </w:rPr>
        <w:t>[3] Q. Fu, C.P. Garnham, S.T. Elliott, D.E. Bovenkamp, J.E. Van Eyk, A robust, streamlined, and reproducible method for proteomic analysis of serum by delipidation, albumin and IgG depletion, and two-dimensional gel electrophoresis, Proteomics 5(10) (2005) 2656-64.</w:t>
      </w:r>
      <w:bookmarkEnd w:id="2"/>
    </w:p>
    <w:p w:rsidR="00726F8A" w:rsidRDefault="006573A3" w:rsidP="004F3337">
      <w:r w:rsidRPr="005136E6">
        <w:fldChar w:fldCharType="end"/>
      </w:r>
      <w:bookmarkStart w:id="3" w:name="_GoBack"/>
      <w:bookmarkEnd w:id="3"/>
    </w:p>
    <w:sectPr w:rsidR="00726F8A" w:rsidSect="0015187F">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Thrombosis Research (1)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sp02rde5drr95evv90pafv9t92rd2ddv0wv&quot;&gt;Platelet neutrophils&lt;record-ids&gt;&lt;item&gt;137&lt;/item&gt;&lt;item&gt;138&lt;/item&gt;&lt;/record-ids&gt;&lt;/item&gt;&lt;/Libraries&gt;"/>
  </w:docVars>
  <w:rsids>
    <w:rsidRoot w:val="00BC1524"/>
    <w:rsid w:val="00033ADB"/>
    <w:rsid w:val="00133419"/>
    <w:rsid w:val="00137D65"/>
    <w:rsid w:val="0015187F"/>
    <w:rsid w:val="001A11D9"/>
    <w:rsid w:val="00236179"/>
    <w:rsid w:val="002C1B0F"/>
    <w:rsid w:val="00431474"/>
    <w:rsid w:val="004F3337"/>
    <w:rsid w:val="005136E6"/>
    <w:rsid w:val="00603F41"/>
    <w:rsid w:val="006573A3"/>
    <w:rsid w:val="006D6677"/>
    <w:rsid w:val="00726F8A"/>
    <w:rsid w:val="007D3B50"/>
    <w:rsid w:val="0084598D"/>
    <w:rsid w:val="009531F4"/>
    <w:rsid w:val="00A14B13"/>
    <w:rsid w:val="00A3134A"/>
    <w:rsid w:val="00B3137C"/>
    <w:rsid w:val="00BC1524"/>
    <w:rsid w:val="00C14BAD"/>
    <w:rsid w:val="00C84A0D"/>
    <w:rsid w:val="00D861A1"/>
    <w:rsid w:val="00F55B4B"/>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524"/>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73A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524"/>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73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ogle.com/url?sa=t&amp;rct=j&amp;q=&amp;esrc=s&amp;source=web&amp;cd=1&amp;cad=rja&amp;uact=8&amp;ved=0CBwQFjAAahUKEwiUitu7kZfJAhXDvhQKHcaABXc&amp;url=http%3A%2F%2Fwww.merriam-webster.com%2Fdictionary%2Fsemiquantitative&amp;usg=AFQjCNFUOTYtf7jD_QHzmaUhy46VDCXkvw&amp;bvm=bv.107467506,d.bG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1798</Words>
  <Characters>10250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mehran</dc:creator>
  <cp:lastModifiedBy>Mehran Ghasemzadeh</cp:lastModifiedBy>
  <cp:revision>20</cp:revision>
  <dcterms:created xsi:type="dcterms:W3CDTF">2020-01-17T14:00:00Z</dcterms:created>
  <dcterms:modified xsi:type="dcterms:W3CDTF">2020-07-12T13:04:00Z</dcterms:modified>
</cp:coreProperties>
</file>