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C9F98" w14:textId="77777777" w:rsidR="00CC299A" w:rsidRPr="003A2793" w:rsidRDefault="00CC299A" w:rsidP="00CC299A">
      <w:pPr>
        <w:spacing w:line="480" w:lineRule="auto"/>
        <w:rPr>
          <w:rFonts w:ascii="Arial" w:hAnsi="Arial" w:cs="Arial"/>
          <w:b/>
          <w:color w:val="000000" w:themeColor="text1"/>
          <w:sz w:val="20"/>
          <w:szCs w:val="20"/>
        </w:rPr>
      </w:pPr>
      <w:r>
        <w:rPr>
          <w:rFonts w:ascii="Arial" w:hAnsi="Arial" w:cs="Arial"/>
          <w:b/>
          <w:color w:val="000000" w:themeColor="text1"/>
          <w:sz w:val="20"/>
          <w:szCs w:val="20"/>
        </w:rPr>
        <w:t xml:space="preserve">Online </w:t>
      </w:r>
      <w:r w:rsidRPr="003A2793">
        <w:rPr>
          <w:rFonts w:ascii="Arial" w:hAnsi="Arial" w:cs="Arial"/>
          <w:b/>
          <w:color w:val="000000" w:themeColor="text1"/>
          <w:sz w:val="20"/>
          <w:szCs w:val="20"/>
        </w:rPr>
        <w:t xml:space="preserve">Methods </w:t>
      </w:r>
    </w:p>
    <w:p w14:paraId="473364CF"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b/>
          <w:color w:val="000000" w:themeColor="text1"/>
          <w:sz w:val="20"/>
          <w:szCs w:val="20"/>
        </w:rPr>
        <w:t>Ethics statement, Patient acquisition, and Isolation of human peripheral blood B cells</w:t>
      </w:r>
    </w:p>
    <w:p w14:paraId="5395297C" w14:textId="77777777" w:rsidR="000B775A" w:rsidRDefault="000B775A" w:rsidP="000B775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The use of </w:t>
      </w:r>
      <w:r>
        <w:rPr>
          <w:rFonts w:ascii="Arial" w:hAnsi="Arial" w:cs="Arial"/>
          <w:color w:val="000000" w:themeColor="text1"/>
          <w:sz w:val="20"/>
          <w:szCs w:val="20"/>
        </w:rPr>
        <w:t xml:space="preserve">human blood </w:t>
      </w:r>
      <w:r w:rsidRPr="003A2793">
        <w:rPr>
          <w:rFonts w:ascii="Arial" w:hAnsi="Arial" w:cs="Arial"/>
          <w:color w:val="000000" w:themeColor="text1"/>
          <w:sz w:val="20"/>
          <w:szCs w:val="20"/>
        </w:rPr>
        <w:t>specimens was reviewed and approved by the Institutional Review Board (IRB) of Kaohsiung Medical University (IRB No. KMUHIRB-E (II)-20180092). The donor</w:t>
      </w:r>
      <w:r>
        <w:rPr>
          <w:rFonts w:ascii="Arial" w:hAnsi="Arial" w:cs="Arial"/>
          <w:color w:val="000000" w:themeColor="text1"/>
          <w:sz w:val="20"/>
          <w:szCs w:val="20"/>
        </w:rPr>
        <w:t>s</w:t>
      </w:r>
      <w:r w:rsidRPr="003A2793">
        <w:rPr>
          <w:rFonts w:ascii="Arial" w:hAnsi="Arial" w:cs="Arial"/>
          <w:color w:val="000000" w:themeColor="text1"/>
          <w:sz w:val="20"/>
          <w:szCs w:val="20"/>
        </w:rPr>
        <w:t xml:space="preserve"> signed a written informed consent before any data collection. All data were anonymized.</w:t>
      </w:r>
    </w:p>
    <w:p w14:paraId="19AF23D5" w14:textId="3C3076A3" w:rsidR="00CC299A" w:rsidRDefault="00CC299A" w:rsidP="00CC299A">
      <w:pPr>
        <w:spacing w:line="480" w:lineRule="auto"/>
        <w:ind w:firstLine="720"/>
        <w:jc w:val="both"/>
        <w:rPr>
          <w:rFonts w:ascii="Arial" w:hAnsi="Arial" w:cs="Arial"/>
          <w:color w:val="000000" w:themeColor="text1"/>
          <w:sz w:val="20"/>
          <w:szCs w:val="20"/>
        </w:rPr>
      </w:pPr>
      <w:r w:rsidRPr="00456D1F">
        <w:rPr>
          <w:rFonts w:ascii="Arial" w:hAnsi="Arial" w:cs="Arial"/>
          <w:color w:val="000000"/>
          <w:sz w:val="20"/>
          <w:szCs w:val="20"/>
        </w:rPr>
        <w:t xml:space="preserve">The archived febrile patients’ </w:t>
      </w:r>
      <w:r>
        <w:rPr>
          <w:rFonts w:ascii="Arial" w:hAnsi="Arial" w:cs="Arial"/>
          <w:color w:val="000000"/>
          <w:sz w:val="20"/>
          <w:szCs w:val="20"/>
        </w:rPr>
        <w:t>plasma samples</w:t>
      </w:r>
      <w:r w:rsidRPr="00456D1F">
        <w:rPr>
          <w:rFonts w:ascii="Arial" w:hAnsi="Arial" w:cs="Arial"/>
          <w:color w:val="000000"/>
          <w:sz w:val="20"/>
          <w:szCs w:val="20"/>
        </w:rPr>
        <w:t xml:space="preserve"> </w:t>
      </w:r>
      <w:r>
        <w:rPr>
          <w:rFonts w:ascii="Arial" w:hAnsi="Arial" w:cs="Arial"/>
          <w:color w:val="000000"/>
          <w:sz w:val="20"/>
          <w:szCs w:val="20"/>
        </w:rPr>
        <w:t xml:space="preserve">were </w:t>
      </w:r>
      <w:r w:rsidRPr="00456D1F">
        <w:rPr>
          <w:rFonts w:ascii="Arial" w:hAnsi="Arial" w:cs="Arial"/>
          <w:color w:val="000000"/>
          <w:sz w:val="20"/>
          <w:szCs w:val="20"/>
        </w:rPr>
        <w:t xml:space="preserve">obtained from </w:t>
      </w:r>
      <w:r>
        <w:rPr>
          <w:rFonts w:ascii="Arial" w:hAnsi="Arial" w:cs="Arial"/>
          <w:color w:val="000000"/>
          <w:sz w:val="20"/>
          <w:szCs w:val="20"/>
        </w:rPr>
        <w:t>the dengue clinical cohort study of Kaohsiung Medical University Hospital (KMUH) in southern Taiwan</w:t>
      </w:r>
      <w:r w:rsidRPr="00456D1F">
        <w:rPr>
          <w:rFonts w:ascii="Arial" w:hAnsi="Arial" w:cs="Arial"/>
          <w:color w:val="000000"/>
          <w:sz w:val="20"/>
          <w:szCs w:val="20"/>
        </w:rPr>
        <w:t xml:space="preserve"> </w:t>
      </w:r>
      <w:r>
        <w:rPr>
          <w:rFonts w:ascii="Arial" w:hAnsi="Arial" w:cs="Arial"/>
          <w:color w:val="000000"/>
          <w:sz w:val="20"/>
          <w:szCs w:val="20"/>
        </w:rPr>
        <w:t xml:space="preserve">through an ongoing study that enrolled subjects </w:t>
      </w:r>
      <w:r w:rsidRPr="006D433F">
        <w:rPr>
          <w:rFonts w:ascii="Arial" w:hAnsi="Arial" w:cs="Arial"/>
          <w:color w:val="000000"/>
          <w:sz w:val="20"/>
          <w:szCs w:val="20"/>
        </w:rPr>
        <w:t>with febrile symptoms suspected of dengue viral infection during the acute phase (i.e., two weeks post-infection (poi)) in 2014-2015, during the two largest DENV-1 and DENV-2 outbreaks in southern Taiwan</w:t>
      </w:r>
      <w:r w:rsidRPr="006D433F">
        <w:rPr>
          <w:rFonts w:ascii="Arial" w:hAnsi="Arial" w:cs="Arial"/>
          <w:color w:val="000000"/>
          <w:sz w:val="20"/>
          <w:szCs w:val="20"/>
        </w:rPr>
        <w:fldChar w:fldCharType="begin" w:fldLock="1"/>
      </w:r>
      <w:r w:rsidR="00457718">
        <w:rPr>
          <w:rFonts w:ascii="Arial" w:hAnsi="Arial" w:cs="Arial"/>
          <w:color w:val="000000"/>
          <w:sz w:val="20"/>
          <w:szCs w:val="20"/>
        </w:rPr>
        <w:instrText>ADDIN CSL_CITATION {"citationItems":[{"id":"ITEM-1","itemData":{"DOI":"10.1016/j.ijid.2020.01.031","ISSN":"18783511","PMID":"31982624","abstract":"Objectives: This study was performed to examine the current status of Zika and the effects of pre-existing dengue immunity on Zika virus (ZIKV) infection in Southern Taiwan. Methods: A phylogenetic tree was used to analyze the phylogeny of detected ZIKVs. Paired sera from dengue patients were collected for the determination of dengue and Zika infection. Plaque reduction neutralization tests (PRNT) and quantitative reverse transcription PCR (qRT-PCR) were used to determine the titers of neutralizing antibodies and viruses, respectively. An antibody-dependent enhancement (ADE) assay was used to evaluate the effect of anti-dengue antibodies on ZIKV infection. Results: Epidemiological data indicated the continuous importation of ZIKV infection from neighboring Zika epidemic countries into Taiwan. A total of 78 dengue patients were enrolled and 21 paired serum samples were obtained. PRNT90 results for the 21 samples identified eight cases of primary dengue infection and 13 cases of secondary dengue infection; two samples were positive for ZIKV (MR766). Results from the ADE assay indicated that convalescent sera from primary and secondary dengue infection patients displayed significant ADE of the ZIKV infection when compared to healthy controls (p &lt; 0.05). Conclusions: This study suggests that pre-existing dengue immunity facilitates ZIKV infection and that the continuous importation of ZIKV infection may pose a threat to indigenous Zika emergence in Southern Taiwan.","author":[{"dropping-particle":"","family":"Wang","given":"Wen Hung","non-dropping-particle":"","parse-names":false,"suffix":""},{"dropping-particle":"","family":"Urbina","given":"Aspiro Nayim","non-dropping-particle":"","parse-names":false,"suffix":""},{"dropping-particle":"","family":"Wu","given":"Chia Ching","non-dropping-particle":"","parse-names":false,"suffix":""},{"dropping-particle":"","family":"Lin","given":"Chih Yen","non-dropping-particle":"","parse-names":false,"suffix":""},{"dropping-particle":"","family":"Thitithanyanont","given":"Arunee","non-dropping-particle":"","parse-names":false,"suffix":""},{"dropping-particle":"","family":"Assavalapsakul","given":"Wanchai","non-dropping-particle":"","parse-names":false,"suffix":""},{"dropping-particle":"","family":"Lu","given":"Po Liang","non-dropping-particle":"","parse-names":false,"suffix":""},{"dropping-particle":"","family":"Chen","given":"Yen Hsu","non-dropping-particle":"","parse-names":false,"suffix":""},{"dropping-particle":"","family":"Wang","given":"Sheng Fan","non-dropping-particle":"","parse-names":false,"suffix":""}],"container-title":"International Journal of Infectious Diseases","id":"ITEM-1","issued":{"date-parts":[["2020"]]},"page":"151-159","publisher":"International Society for Infectious Diseases","title":"An epidemiological survey of the current status of Zika and the immune interaction between dengue and Zika infection in Southern Taiwan","type":"article-journal","volume":"93"},"uris":["http://www.mendeley.com/documents/?uuid=08286fd3-ccee-431d-9db7-030d5b9d0d27"]}],"mendeley":{"formattedCitation":"&lt;sup&gt;1&lt;/sup&gt;","plainTextFormattedCitation":"1","previouslyFormattedCitation":"&lt;sup&gt;1&lt;/sup&gt;"},"properties":{"noteIndex":0},"schema":"https://github.com/citation-style-language/schema/raw/master/csl-citation.json"}</w:instrText>
      </w:r>
      <w:r w:rsidRPr="006D433F">
        <w:rPr>
          <w:rFonts w:ascii="Arial" w:hAnsi="Arial" w:cs="Arial"/>
          <w:color w:val="000000"/>
          <w:sz w:val="20"/>
          <w:szCs w:val="20"/>
        </w:rPr>
        <w:fldChar w:fldCharType="separate"/>
      </w:r>
      <w:r w:rsidR="00D40F9A" w:rsidRPr="00D40F9A">
        <w:rPr>
          <w:rFonts w:ascii="Arial" w:hAnsi="Arial" w:cs="Arial"/>
          <w:noProof/>
          <w:color w:val="000000"/>
          <w:sz w:val="20"/>
          <w:szCs w:val="20"/>
          <w:vertAlign w:val="superscript"/>
        </w:rPr>
        <w:t>1</w:t>
      </w:r>
      <w:r w:rsidRPr="006D433F">
        <w:rPr>
          <w:rFonts w:ascii="Arial" w:hAnsi="Arial" w:cs="Arial"/>
          <w:color w:val="000000"/>
          <w:sz w:val="20"/>
          <w:szCs w:val="20"/>
        </w:rPr>
        <w:fldChar w:fldCharType="end"/>
      </w:r>
      <w:r w:rsidRPr="006D433F">
        <w:rPr>
          <w:rFonts w:ascii="Arial" w:hAnsi="Arial" w:cs="Arial"/>
          <w:sz w:val="20"/>
          <w:szCs w:val="20"/>
        </w:rPr>
        <w:t>.</w:t>
      </w:r>
      <w:r w:rsidRPr="006D433F">
        <w:rPr>
          <w:rFonts w:ascii="Arial" w:hAnsi="Arial" w:cs="Arial"/>
          <w:color w:val="000000"/>
          <w:sz w:val="20"/>
          <w:szCs w:val="20"/>
        </w:rPr>
        <w:t xml:space="preserve"> The plasma samples comprised 60 </w:t>
      </w:r>
      <w:r w:rsidR="00CA570B">
        <w:rPr>
          <w:rFonts w:ascii="Arial" w:hAnsi="Arial" w:cs="Arial"/>
          <w:color w:val="000000"/>
          <w:sz w:val="20"/>
          <w:szCs w:val="20"/>
        </w:rPr>
        <w:t>dengue-</w:t>
      </w:r>
      <w:r w:rsidRPr="006D433F">
        <w:rPr>
          <w:rFonts w:ascii="Arial" w:hAnsi="Arial" w:cs="Arial"/>
          <w:color w:val="000000"/>
          <w:sz w:val="20"/>
          <w:szCs w:val="20"/>
        </w:rPr>
        <w:t xml:space="preserve">confirmed </w:t>
      </w:r>
      <w:r w:rsidR="00CA570B">
        <w:rPr>
          <w:rFonts w:ascii="Arial" w:hAnsi="Arial" w:cs="Arial"/>
          <w:color w:val="000000"/>
          <w:sz w:val="20"/>
          <w:szCs w:val="20"/>
        </w:rPr>
        <w:t>individuals</w:t>
      </w:r>
      <w:r w:rsidRPr="006D433F">
        <w:rPr>
          <w:rFonts w:ascii="Arial" w:hAnsi="Arial" w:cs="Arial"/>
          <w:color w:val="000000"/>
          <w:sz w:val="20"/>
          <w:szCs w:val="20"/>
        </w:rPr>
        <w:t xml:space="preserve"> and 80 dengue-negative control</w:t>
      </w:r>
      <w:r w:rsidR="00CA570B">
        <w:rPr>
          <w:rFonts w:ascii="Arial" w:hAnsi="Arial" w:cs="Arial"/>
          <w:color w:val="000000"/>
          <w:sz w:val="20"/>
          <w:szCs w:val="20"/>
        </w:rPr>
        <w:t>s, also termed as healthy in this study,</w:t>
      </w:r>
      <w:r w:rsidRPr="006D433F">
        <w:rPr>
          <w:rFonts w:ascii="Arial" w:hAnsi="Arial" w:cs="Arial"/>
          <w:color w:val="000000"/>
          <w:sz w:val="20"/>
          <w:szCs w:val="20"/>
        </w:rPr>
        <w:t xml:space="preserve"> based on the clinical and laboratory diagnosis upon collection. </w:t>
      </w:r>
      <w:r w:rsidR="00992EAE">
        <w:rPr>
          <w:rFonts w:ascii="Arial" w:hAnsi="Arial" w:cs="Arial"/>
          <w:color w:val="000000" w:themeColor="text1"/>
          <w:sz w:val="20"/>
          <w:szCs w:val="20"/>
        </w:rPr>
        <w:t>T</w:t>
      </w:r>
      <w:r w:rsidR="00992EAE" w:rsidRPr="003A2793">
        <w:rPr>
          <w:rFonts w:ascii="Arial" w:hAnsi="Arial" w:cs="Arial"/>
          <w:color w:val="000000" w:themeColor="text1"/>
          <w:sz w:val="20"/>
          <w:szCs w:val="20"/>
        </w:rPr>
        <w:t xml:space="preserve">he nationwide JEV pediatric vaccination program </w:t>
      </w:r>
      <w:r w:rsidR="00992EAE">
        <w:rPr>
          <w:rFonts w:ascii="Arial" w:hAnsi="Arial" w:cs="Arial"/>
          <w:color w:val="000000" w:themeColor="text1"/>
          <w:sz w:val="20"/>
          <w:szCs w:val="20"/>
        </w:rPr>
        <w:t xml:space="preserve">in Taiwan </w:t>
      </w:r>
      <w:r w:rsidR="00992EAE" w:rsidRPr="003A2793">
        <w:rPr>
          <w:rFonts w:ascii="Arial" w:hAnsi="Arial" w:cs="Arial"/>
          <w:color w:val="000000" w:themeColor="text1"/>
          <w:sz w:val="20"/>
          <w:szCs w:val="20"/>
        </w:rPr>
        <w:t>has been implemented since 1968</w:t>
      </w:r>
      <w:r w:rsidR="00992EAE" w:rsidRPr="003A2793">
        <w:rPr>
          <w:rFonts w:ascii="Arial" w:hAnsi="Arial" w:cs="Arial"/>
          <w:color w:val="000000" w:themeColor="text1"/>
          <w:sz w:val="20"/>
          <w:szCs w:val="20"/>
        </w:rPr>
        <w:fldChar w:fldCharType="begin" w:fldLock="1"/>
      </w:r>
      <w:r w:rsidR="00457718">
        <w:rPr>
          <w:rFonts w:ascii="Arial" w:hAnsi="Arial" w:cs="Arial"/>
          <w:color w:val="000000" w:themeColor="text1"/>
          <w:sz w:val="20"/>
          <w:szCs w:val="20"/>
        </w:rPr>
        <w:instrText>ADDIN CSL_CITATION {"citationItems":[{"id":"ITEM-1","itemData":{"DOI":"10.1371/journal.pntd.0003030","ISBN":"1935-2735 (Electronic) 1935-2727 (Linking)","ISSN":"19352735","PMID":"25058573","abstract":"BACKGROUND: A mass Japanese encephalitis (JE) vaccination program targeting children was launched in Taiwan in 1968, and the number of pediatric JE cases substantially decreased thereafter. The aim of this study was to elucidate the long-term trend of JE incidence, and to investigate the age-specific seroprevalence of JE-neutralizing antibodies.\\n\\nMETHODOLOGY/PRINCIPAL FINDINGS: A total of 2,948 laboratory-confirmed JE cases that occurred between 1966 and 2012 were analyzed using a mandatory notification system managed by the Centers for Disease Control, Taiwan. A total of 6,594 randomly-sampled serum specimens obtained in a nationwide population-based survey in 2002 were analyzed to estimate the seroprevalence of JE-neutralizing antibodies in the general population. The average annual JE incidence rate of the group aged 30 years and older was 0.167 cases per 100,000 people between 2001 and 2012, which was higher than the 0.052 cases per 100,000 people among those aged under 30 years. These seroepidemiological findings indicate that the cohort born between 1963 and 1975, who generally received two or three doses of the vaccine and were administered the last booster dose more than 20 years ago, exhibited the lowest positive rate of JE-neutralizing antibodies (54%). The highest and second highest antibody rates were observed, respectively, in the oldest unvaccinated cohort (86%) and in the youngest cohort born between 1981 and 1986, who received four doses 10-15 years ago (74%).\\n\\nCONCLUSION/SIGNIFICANCE: Over the past decade, the main age group of the confirmed JE cases in Taiwan shifted from young children to adults over 30 years of age. People who were born between 1963 and 1975 exhibited the lowest seroprevalence of JE-neutralizing antibodies. Thus, the key issue for JE control in Taiwan is to reduce adult JE cases through a cost-effective analysis of various immunization strategies.","author":[{"dropping-particle":"","family":"Hsu","given":"Li Ching","non-dropping-particle":"","parse-names":false,"suffix":""},{"dropping-particle":"","family":"Chen","given":"Yu Ju","non-dropping-particle":"","parse-names":false,"suffix":""},{"dropping-particle":"","family":"Hsu","given":"Feng Kuang","non-dropping-particle":"","parse-names":false,"suffix":""},{"dropping-particle":"","family":"Huang","given":"Jyh Hsiung","non-dropping-particle":"","parse-names":false,"suffix":""},{"dropping-particle":"","family":"Chang","given":"Chi Ming","non-dropping-particle":"","parse-names":false,"suffix":""},{"dropping-particle":"","family":"Chou","given":"Pesus","non-dropping-particle":"","parse-names":false,"suffix":""},{"dropping-particle":"","family":"Lin","given":"I. Feng","non-dropping-particle":"","parse-names":false,"suffix":""},{"dropping-particle":"","family":"Chang","given":"Feng Yee","non-dropping-particle":"","parse-names":false,"suffix":""}],"container-title":"PLoS Neglected Tropical Diseases","id":"ITEM-1","issue":"7","issued":{"date-parts":[["2014"]]},"title":"The Incidence of Japanese Encephalitis in Taiwan-A Population-Based Study","type":"article-journal","volume":"8"},"uris":["http://www.mendeley.com/documents/?uuid=471090ac-3ca8-4ae7-aa12-9495e39e00dd"]},{"id":"ITEM-2","itemData":{"DOI":"10.4269/ajtmh.1999.61.78","ISSN":"00029637","PMID":"10432061","abstract":"Japanese encephalitis (JE) is an endemic disease in Taiwan. A mass vaccination program of children against JE was first implemented in 1968. Along with general improvements in various aspects of living conditions over the years, the program has brought JE well under control. The main characteristics of JE epidemiology in Taiwan in the past 3 decades are as follows. The transmission mode remains unchanged-that is, the amplification stage of the virus in pigs is followed by a human epidemic each year. The frequency of JE incidence has dropped significantly. The incidence rate of confirmed cases was 2.05 per 100,000 in 1967, the highest in record, and merely 0.03 per 100,000 in 1997. Confirmed cases occur sporadically all over the island. The peak of the epidemic season has shifted from August in the 1960s to June since the 1980s. The age distribution of confirmed cases has shifted gradually from mainly children to adults. Vaccine efficacy for those having received more than 2 doses of the vaccine is estimated to be about 85%.","author":[{"dropping-particle":"","family":"Wu","given":"Ying Chang","non-dropping-particle":"","parse-names":false,"suffix":""},{"dropping-particle":"","family":"Huang","given":"Yaw Shyong","non-dropping-particle":"","parse-names":false,"suffix":""},{"dropping-particle":"","family":"Chien","given":"Li Jung","non-dropping-particle":"","parse-names":false,"suffix":""},{"dropping-particle":"","family":"Lin","given":"Tsuey Li","non-dropping-particle":"","parse-names":false,"suffix":""},{"dropping-particle":"","family":"Yueh","given":"Yi Yung","non-dropping-particle":"","parse-names":false,"suffix":""},{"dropping-particle":"","family":"Tseng","given":"Wuu Luh","non-dropping-particle":"","parse-names":false,"suffix":""},{"dropping-particle":"","family":"Chang","given":"Kwo Jiing","non-dropping-particle":"","parse-names":false,"suffix":""},{"dropping-particle":"","family":"Wang","given":"Gong Ren","non-dropping-particle":"","parse-names":false,"suffix":""}],"container-title":"American Journal of Tropical Medicine and Hygiene","id":"ITEM-2","issue":"1","issued":{"date-parts":[["1999"]]},"page":"78-84","title":"The epidemiology of Japanese encephalitis on Taiwan during 1966-1997","type":"article-journal","volume":"61"},"uris":["http://www.mendeley.com/documents/?uuid=9ba33495-2e07-49c2-a664-6aa50968af67"]}],"mendeley":{"formattedCitation":"&lt;sup&gt;2,3&lt;/sup&gt;","plainTextFormattedCitation":"2,3","previouslyFormattedCitation":"&lt;sup&gt;2,3&lt;/sup&gt;"},"properties":{"noteIndex":0},"schema":"https://github.com/citation-style-language/schema/raw/master/csl-citation.json"}</w:instrText>
      </w:r>
      <w:r w:rsidR="00992EAE" w:rsidRPr="003A2793">
        <w:rPr>
          <w:rFonts w:ascii="Arial" w:hAnsi="Arial" w:cs="Arial"/>
          <w:color w:val="000000" w:themeColor="text1"/>
          <w:sz w:val="20"/>
          <w:szCs w:val="20"/>
        </w:rPr>
        <w:fldChar w:fldCharType="separate"/>
      </w:r>
      <w:r w:rsidR="00D40F9A" w:rsidRPr="00D40F9A">
        <w:rPr>
          <w:rFonts w:ascii="Arial" w:hAnsi="Arial" w:cs="Arial"/>
          <w:noProof/>
          <w:color w:val="000000" w:themeColor="text1"/>
          <w:sz w:val="20"/>
          <w:szCs w:val="20"/>
          <w:vertAlign w:val="superscript"/>
        </w:rPr>
        <w:t>2,3</w:t>
      </w:r>
      <w:r w:rsidR="00992EAE" w:rsidRPr="003A2793">
        <w:rPr>
          <w:rFonts w:ascii="Arial" w:hAnsi="Arial" w:cs="Arial"/>
          <w:color w:val="000000" w:themeColor="text1"/>
          <w:sz w:val="20"/>
          <w:szCs w:val="20"/>
        </w:rPr>
        <w:fldChar w:fldCharType="end"/>
      </w:r>
      <w:r w:rsidR="00992EAE">
        <w:rPr>
          <w:rFonts w:ascii="Arial" w:hAnsi="Arial" w:cs="Arial"/>
          <w:color w:val="000000" w:themeColor="text1"/>
          <w:sz w:val="20"/>
          <w:szCs w:val="20"/>
        </w:rPr>
        <w:t xml:space="preserve">. </w:t>
      </w:r>
      <w:r w:rsidRPr="003A2793">
        <w:rPr>
          <w:rFonts w:ascii="Arial" w:hAnsi="Arial" w:cs="Arial"/>
          <w:color w:val="000000" w:themeColor="text1"/>
          <w:sz w:val="20"/>
          <w:szCs w:val="20"/>
        </w:rPr>
        <w:t xml:space="preserve">To distinguish between individuals that have been immune to JEV due to vaccination or potential natural infection, the study population was divided into two age groups, namely 20-30-year old </w:t>
      </w:r>
      <w:r w:rsidR="00992EAE">
        <w:rPr>
          <w:rFonts w:ascii="Arial" w:hAnsi="Arial" w:cs="Arial"/>
          <w:color w:val="000000" w:themeColor="text1"/>
          <w:sz w:val="20"/>
          <w:szCs w:val="20"/>
        </w:rPr>
        <w:t xml:space="preserve">(post-JEV vaccination program) </w:t>
      </w:r>
      <w:r w:rsidRPr="003A2793">
        <w:rPr>
          <w:rFonts w:ascii="Arial" w:hAnsi="Arial" w:cs="Arial"/>
          <w:color w:val="000000" w:themeColor="text1"/>
          <w:sz w:val="20"/>
          <w:szCs w:val="20"/>
        </w:rPr>
        <w:t>and 50-70 years old</w:t>
      </w:r>
      <w:r w:rsidR="00992EAE">
        <w:rPr>
          <w:rFonts w:ascii="Arial" w:hAnsi="Arial" w:cs="Arial"/>
          <w:color w:val="000000" w:themeColor="text1"/>
          <w:sz w:val="20"/>
          <w:szCs w:val="20"/>
        </w:rPr>
        <w:t xml:space="preserve"> (pre-JEV vaccination program)</w:t>
      </w:r>
      <w:r w:rsidRPr="003A2793">
        <w:rPr>
          <w:rFonts w:ascii="Arial" w:hAnsi="Arial" w:cs="Arial"/>
          <w:color w:val="000000" w:themeColor="text1"/>
          <w:sz w:val="20"/>
          <w:szCs w:val="20"/>
        </w:rPr>
        <w:t xml:space="preserve">, respectively. </w:t>
      </w:r>
      <w:r w:rsidRPr="006D433F">
        <w:rPr>
          <w:rFonts w:ascii="Arial" w:hAnsi="Arial" w:cs="Arial"/>
          <w:sz w:val="20"/>
          <w:szCs w:val="20"/>
        </w:rPr>
        <w:t>Laboratory confirmation of DENV infection consisted of quantitative reverse transcription-polymerase chain reaction (</w:t>
      </w:r>
      <w:proofErr w:type="spellStart"/>
      <w:r w:rsidR="00992EAE">
        <w:rPr>
          <w:rFonts w:ascii="Arial" w:hAnsi="Arial" w:cs="Arial"/>
          <w:sz w:val="20"/>
          <w:szCs w:val="20"/>
        </w:rPr>
        <w:t>q</w:t>
      </w:r>
      <w:r w:rsidRPr="006D433F">
        <w:rPr>
          <w:rFonts w:ascii="Arial" w:hAnsi="Arial" w:cs="Arial"/>
          <w:sz w:val="20"/>
          <w:szCs w:val="20"/>
        </w:rPr>
        <w:t>RT</w:t>
      </w:r>
      <w:proofErr w:type="spellEnd"/>
      <w:r w:rsidRPr="006D433F">
        <w:rPr>
          <w:rFonts w:ascii="Arial" w:hAnsi="Arial" w:cs="Arial"/>
          <w:sz w:val="20"/>
          <w:szCs w:val="20"/>
        </w:rPr>
        <w:t>-PCR) and virus isolation, as described previously</w:t>
      </w:r>
      <w:r w:rsidRPr="006D433F">
        <w:rPr>
          <w:rFonts w:ascii="Arial" w:hAnsi="Arial" w:cs="Arial"/>
          <w:sz w:val="20"/>
          <w:szCs w:val="20"/>
        </w:rPr>
        <w:fldChar w:fldCharType="begin" w:fldLock="1"/>
      </w:r>
      <w:r w:rsidR="00457718">
        <w:rPr>
          <w:rFonts w:ascii="Arial" w:hAnsi="Arial" w:cs="Arial"/>
          <w:sz w:val="20"/>
          <w:szCs w:val="20"/>
        </w:rPr>
        <w:instrText>ADDIN CSL_CITATION {"citationItems":[{"id":"ITEM-1","itemData":{"DOI":"10.1016/j.ijid.2020.01.031","ISSN":"18783511","PMID":"31982624","abstract":"Objectives: This study was performed to examine the current status of Zika and the effects of pre-existing dengue immunity on Zika virus (ZIKV) infection in Southern Taiwan. Methods: A phylogenetic tree was used to analyze the phylogeny of detected ZIKVs. Paired sera from dengue patients were collected for the determination of dengue and Zika infection. Plaque reduction neutralization tests (PRNT) and quantitative reverse transcription PCR (qRT-PCR) were used to determine the titers of neutralizing antibodies and viruses, respectively. An antibody-dependent enhancement (ADE) assay was used to evaluate the effect of anti-dengue antibodies on ZIKV infection. Results: Epidemiological data indicated the continuous importation of ZIKV infection from neighboring Zika epidemic countries into Taiwan. A total of 78 dengue patients were enrolled and 21 paired serum samples were obtained. PRNT90 results for the 21 samples identified eight cases of primary dengue infection and 13 cases of secondary dengue infection; two samples were positive for ZIKV (MR766). Results from the ADE assay indicated that convalescent sera from primary and secondary dengue infection patients displayed significant ADE of the ZIKV infection when compared to healthy controls (p &lt; 0.05). Conclusions: This study suggests that pre-existing dengue immunity facilitates ZIKV infection and that the continuous importation of ZIKV infection may pose a threat to indigenous Zika emergence in Southern Taiwan.","author":[{"dropping-particle":"","family":"Wang","given":"Wen Hung","non-dropping-particle":"","parse-names":false,"suffix":""},{"dropping-particle":"","family":"Urbina","given":"Aspiro Nayim","non-dropping-particle":"","parse-names":false,"suffix":""},{"dropping-particle":"","family":"Wu","given":"Chia Ching","non-dropping-particle":"","parse-names":false,"suffix":""},{"dropping-particle":"","family":"Lin","given":"Chih Yen","non-dropping-particle":"","parse-names":false,"suffix":""},{"dropping-particle":"","family":"Thitithanyanont","given":"Arunee","non-dropping-particle":"","parse-names":false,"suffix":""},{"dropping-particle":"","family":"Assavalapsakul","given":"Wanchai","non-dropping-particle":"","parse-names":false,"suffix":""},{"dropping-particle":"","family":"Lu","given":"Po Liang","non-dropping-particle":"","parse-names":false,"suffix":""},{"dropping-particle":"","family":"Chen","given":"Yen Hsu","non-dropping-particle":"","parse-names":false,"suffix":""},{"dropping-particle":"","family":"Wang","given":"Sheng Fan","non-dropping-particle":"","parse-names":false,"suffix":""}],"container-title":"International Journal of Infectious Diseases","id":"ITEM-1","issued":{"date-parts":[["2020"]]},"page":"151-159","publisher":"International Society for Infectious Diseases","title":"An epidemiological survey of the current status of Zika and the immune interaction between dengue and Zika infection in Southern Taiwan","type":"article-journal","volume":"93"},"uris":["http://www.mendeley.com/documents/?uuid=08286fd3-ccee-431d-9db7-030d5b9d0d27"]}],"mendeley":{"formattedCitation":"&lt;sup&gt;1&lt;/sup&gt;","plainTextFormattedCitation":"1","previouslyFormattedCitation":"&lt;sup&gt;1&lt;/sup&gt;"},"properties":{"noteIndex":0},"schema":"https://github.com/citation-style-language/schema/raw/master/csl-citation.json"}</w:instrText>
      </w:r>
      <w:r w:rsidRPr="006D433F">
        <w:rPr>
          <w:rFonts w:ascii="Arial" w:hAnsi="Arial" w:cs="Arial"/>
          <w:sz w:val="20"/>
          <w:szCs w:val="20"/>
        </w:rPr>
        <w:fldChar w:fldCharType="separate"/>
      </w:r>
      <w:r w:rsidR="00D40F9A" w:rsidRPr="00D40F9A">
        <w:rPr>
          <w:rFonts w:ascii="Arial" w:hAnsi="Arial" w:cs="Arial"/>
          <w:noProof/>
          <w:sz w:val="20"/>
          <w:szCs w:val="20"/>
          <w:vertAlign w:val="superscript"/>
        </w:rPr>
        <w:t>1</w:t>
      </w:r>
      <w:r w:rsidRPr="006D433F">
        <w:rPr>
          <w:rFonts w:ascii="Arial" w:hAnsi="Arial" w:cs="Arial"/>
          <w:sz w:val="20"/>
          <w:szCs w:val="20"/>
        </w:rPr>
        <w:fldChar w:fldCharType="end"/>
      </w:r>
      <w:r w:rsidRPr="006D433F">
        <w:rPr>
          <w:rFonts w:ascii="Arial" w:hAnsi="Arial" w:cs="Arial"/>
          <w:sz w:val="20"/>
          <w:szCs w:val="20"/>
        </w:rPr>
        <w:t xml:space="preserve">. </w:t>
      </w:r>
      <w:r w:rsidRPr="006D433F">
        <w:rPr>
          <w:rFonts w:ascii="Arial" w:hAnsi="Arial" w:cs="Arial"/>
          <w:sz w:val="20"/>
          <w:szCs w:val="20"/>
        </w:rPr>
        <w:lastRenderedPageBreak/>
        <w:t>Epidemiological data, including demographic, travel, and vaccination histories, were also obtained. All subjects were not</w:t>
      </w:r>
      <w:r>
        <w:rPr>
          <w:rFonts w:ascii="Arial" w:hAnsi="Arial" w:cs="Arial"/>
          <w:sz w:val="20"/>
          <w:szCs w:val="20"/>
        </w:rPr>
        <w:t xml:space="preserve"> vaccinated against YFV. De-identified serum samples were evaluated for</w:t>
      </w:r>
      <w:r w:rsidRPr="00456D1F">
        <w:rPr>
          <w:rFonts w:ascii="Arial" w:hAnsi="Arial" w:cs="Arial"/>
          <w:color w:val="2E2E2E"/>
          <w:sz w:val="20"/>
          <w:szCs w:val="20"/>
        </w:rPr>
        <w:t xml:space="preserve"> </w:t>
      </w:r>
      <w:r w:rsidRPr="00456D1F">
        <w:rPr>
          <w:rFonts w:ascii="Arial" w:hAnsi="Arial" w:cs="Arial"/>
          <w:sz w:val="20"/>
          <w:szCs w:val="20"/>
        </w:rPr>
        <w:t>neutralizing antibodies against JEV, DENV-1 to -4, ZIKV</w:t>
      </w:r>
      <w:r>
        <w:rPr>
          <w:rFonts w:ascii="Arial" w:hAnsi="Arial" w:cs="Arial"/>
          <w:sz w:val="20"/>
          <w:szCs w:val="20"/>
        </w:rPr>
        <w:t>,</w:t>
      </w:r>
      <w:r w:rsidRPr="00456D1F">
        <w:rPr>
          <w:rFonts w:ascii="Arial" w:hAnsi="Arial" w:cs="Arial"/>
          <w:sz w:val="20"/>
          <w:szCs w:val="20"/>
        </w:rPr>
        <w:t xml:space="preserve"> and YFV</w:t>
      </w:r>
      <w:r>
        <w:rPr>
          <w:rFonts w:ascii="Arial" w:hAnsi="Arial" w:cs="Arial"/>
          <w:sz w:val="20"/>
          <w:szCs w:val="20"/>
        </w:rPr>
        <w:t>.</w:t>
      </w:r>
      <w:r>
        <w:rPr>
          <w:rFonts w:ascii="Arial" w:hAnsi="Arial" w:cs="Arial"/>
          <w:color w:val="2E2E2E"/>
          <w:sz w:val="20"/>
          <w:szCs w:val="20"/>
        </w:rPr>
        <w:t xml:space="preserve"> </w:t>
      </w:r>
    </w:p>
    <w:p w14:paraId="780422ED" w14:textId="5E3960D6" w:rsidR="00B66E46" w:rsidRPr="00353F28" w:rsidRDefault="00B66E46" w:rsidP="00353F28">
      <w:pPr>
        <w:spacing w:line="480" w:lineRule="auto"/>
        <w:ind w:firstLine="480"/>
        <w:jc w:val="both"/>
        <w:rPr>
          <w:rFonts w:ascii="Arial" w:hAnsi="Arial" w:cs="Arial"/>
          <w:color w:val="000000" w:themeColor="text1"/>
          <w:sz w:val="20"/>
          <w:szCs w:val="20"/>
          <w:lang w:val="en-PH"/>
        </w:rPr>
      </w:pPr>
      <w:r w:rsidRPr="003A2793">
        <w:rPr>
          <w:rFonts w:ascii="Arial" w:hAnsi="Arial" w:cs="Arial"/>
          <w:color w:val="000000" w:themeColor="text1"/>
          <w:sz w:val="20"/>
          <w:szCs w:val="20"/>
          <w:lang w:val="en-PH"/>
        </w:rPr>
        <w:t xml:space="preserve">To comprehensively determine the impact of JEV and DENV immunity on the ZIKV-specific </w:t>
      </w:r>
      <w:r>
        <w:rPr>
          <w:rFonts w:ascii="Arial" w:hAnsi="Arial" w:cs="Arial"/>
          <w:color w:val="000000" w:themeColor="text1"/>
          <w:sz w:val="20"/>
          <w:szCs w:val="20"/>
          <w:lang w:val="en-PH"/>
        </w:rPr>
        <w:t xml:space="preserve">antibody </w:t>
      </w:r>
      <w:r w:rsidRPr="003A2793">
        <w:rPr>
          <w:rFonts w:ascii="Arial" w:hAnsi="Arial" w:cs="Arial"/>
          <w:color w:val="000000" w:themeColor="text1"/>
          <w:sz w:val="20"/>
          <w:szCs w:val="20"/>
          <w:lang w:val="en-PH"/>
        </w:rPr>
        <w:t xml:space="preserve">response, we further classified the donors into four groups: (1)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pos</w:t>
      </w:r>
      <w:r w:rsidRPr="003A2793">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high</w:t>
      </w:r>
      <w:proofErr w:type="spellEnd"/>
      <w:r w:rsidRPr="003A2793">
        <w:rPr>
          <w:rFonts w:ascii="Arial" w:hAnsi="Arial" w:cs="Arial"/>
          <w:color w:val="000000" w:themeColor="text1"/>
          <w:sz w:val="20"/>
          <w:szCs w:val="20"/>
          <w:lang w:val="en-PH"/>
        </w:rPr>
        <w:t xml:space="preserve">; (2)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pos</w:t>
      </w:r>
      <w:r w:rsidRPr="003A2793">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low</w:t>
      </w:r>
      <w:proofErr w:type="spellEnd"/>
      <w:r w:rsidRPr="003A2793">
        <w:rPr>
          <w:rFonts w:ascii="Arial" w:hAnsi="Arial" w:cs="Arial"/>
          <w:color w:val="000000" w:themeColor="text1"/>
          <w:sz w:val="20"/>
          <w:szCs w:val="20"/>
          <w:lang w:val="en-PH"/>
        </w:rPr>
        <w:t xml:space="preserve">; (3)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neg</w:t>
      </w:r>
      <w:r w:rsidRPr="003A2793">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high</w:t>
      </w:r>
      <w:proofErr w:type="spellEnd"/>
      <w:r w:rsidRPr="003A2793">
        <w:rPr>
          <w:rFonts w:ascii="Arial" w:hAnsi="Arial" w:cs="Arial"/>
          <w:color w:val="000000" w:themeColor="text1"/>
          <w:sz w:val="20"/>
          <w:szCs w:val="20"/>
          <w:lang w:val="en-PH"/>
        </w:rPr>
        <w:t xml:space="preserve">; and (4)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neg</w:t>
      </w:r>
      <w:r w:rsidRPr="003A2793">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low</w:t>
      </w:r>
      <w:proofErr w:type="spellEnd"/>
      <w:r w:rsidRPr="003A2793">
        <w:rPr>
          <w:rFonts w:ascii="Arial" w:hAnsi="Arial" w:cs="Arial"/>
          <w:color w:val="000000" w:themeColor="text1"/>
          <w:sz w:val="20"/>
          <w:szCs w:val="20"/>
          <w:lang w:val="en-PH"/>
        </w:rPr>
        <w:t xml:space="preserve"> by dichotomizing those with JEV FRμNT90 titers ≥ 10 as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pos</w:t>
      </w:r>
      <w:proofErr w:type="spellEnd"/>
      <w:r w:rsidRPr="003A2793">
        <w:rPr>
          <w:rFonts w:ascii="Arial" w:hAnsi="Arial" w:cs="Arial"/>
          <w:color w:val="000000" w:themeColor="text1"/>
          <w:sz w:val="20"/>
          <w:szCs w:val="20"/>
          <w:lang w:val="en-PH"/>
        </w:rPr>
        <w:t xml:space="preserve"> or &lt;10 as </w:t>
      </w:r>
      <w:proofErr w:type="spellStart"/>
      <w:r w:rsidRPr="003A2793">
        <w:rPr>
          <w:rFonts w:ascii="Arial" w:hAnsi="Arial" w:cs="Arial"/>
          <w:color w:val="000000" w:themeColor="text1"/>
          <w:sz w:val="20"/>
          <w:szCs w:val="20"/>
          <w:lang w:val="en-PH"/>
        </w:rPr>
        <w:t>JEV</w:t>
      </w:r>
      <w:r w:rsidRPr="003A2793">
        <w:rPr>
          <w:rFonts w:ascii="Arial" w:hAnsi="Arial" w:cs="Arial"/>
          <w:color w:val="000000" w:themeColor="text1"/>
          <w:sz w:val="20"/>
          <w:szCs w:val="20"/>
          <w:vertAlign w:val="superscript"/>
          <w:lang w:val="en-PH"/>
        </w:rPr>
        <w:t>neg</w:t>
      </w:r>
      <w:proofErr w:type="spellEnd"/>
      <w:r w:rsidRPr="003A2793">
        <w:rPr>
          <w:rFonts w:ascii="Arial" w:hAnsi="Arial" w:cs="Arial"/>
          <w:color w:val="000000" w:themeColor="text1"/>
          <w:sz w:val="20"/>
          <w:szCs w:val="20"/>
          <w:lang w:val="en-PH"/>
        </w:rPr>
        <w:t xml:space="preserve">, and those </w:t>
      </w:r>
      <w:r w:rsidRPr="00FD3C6B">
        <w:rPr>
          <w:rFonts w:ascii="Arial" w:hAnsi="Arial" w:cs="Arial"/>
          <w:color w:val="000000" w:themeColor="text1"/>
          <w:sz w:val="20"/>
          <w:szCs w:val="20"/>
          <w:lang w:val="en-PH"/>
        </w:rPr>
        <w:t xml:space="preserve">with DENV FRμNT90 titers ≥ 80 as </w:t>
      </w:r>
      <w:proofErr w:type="spellStart"/>
      <w:r w:rsidRPr="00FD3C6B">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high</w:t>
      </w:r>
      <w:proofErr w:type="spellEnd"/>
      <w:r w:rsidRPr="00FD3C6B">
        <w:rPr>
          <w:rFonts w:ascii="Arial" w:hAnsi="Arial" w:cs="Arial"/>
          <w:color w:val="000000" w:themeColor="text1"/>
          <w:sz w:val="20"/>
          <w:szCs w:val="20"/>
          <w:lang w:val="en-PH"/>
        </w:rPr>
        <w:t xml:space="preserve"> or </w:t>
      </w:r>
      <w:proofErr w:type="spellStart"/>
      <w:r w:rsidRPr="00FD3C6B">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low</w:t>
      </w:r>
      <w:proofErr w:type="spellEnd"/>
      <w:r w:rsidRPr="00FD3C6B">
        <w:rPr>
          <w:rFonts w:ascii="Arial" w:hAnsi="Arial" w:cs="Arial"/>
          <w:color w:val="000000" w:themeColor="text1"/>
          <w:sz w:val="20"/>
          <w:szCs w:val="20"/>
          <w:lang w:val="en-PH"/>
        </w:rPr>
        <w:t xml:space="preserve"> (FRμN</w:t>
      </w:r>
      <w:r w:rsidRPr="003A2793">
        <w:rPr>
          <w:rFonts w:ascii="Arial" w:hAnsi="Arial" w:cs="Arial"/>
          <w:color w:val="000000" w:themeColor="text1"/>
          <w:sz w:val="20"/>
          <w:szCs w:val="20"/>
          <w:lang w:val="en-PH"/>
        </w:rPr>
        <w:t>T90 &lt; 80).</w:t>
      </w:r>
      <w:r>
        <w:rPr>
          <w:rFonts w:ascii="Arial" w:hAnsi="Arial" w:cs="Arial"/>
          <w:color w:val="000000" w:themeColor="text1"/>
          <w:sz w:val="20"/>
          <w:szCs w:val="20"/>
          <w:lang w:val="en-PH"/>
        </w:rPr>
        <w:t xml:space="preserve"> Previous criteria on serum neutralizing antibodies (NT50) </w:t>
      </w:r>
      <w:r w:rsidRPr="003A2793">
        <w:rPr>
          <w:rFonts w:ascii="Arial" w:hAnsi="Arial" w:cs="Arial"/>
          <w:color w:val="000000" w:themeColor="text1"/>
          <w:sz w:val="20"/>
          <w:szCs w:val="20"/>
          <w:lang w:val="en-PH"/>
        </w:rPr>
        <w:t xml:space="preserve">≥ </w:t>
      </w:r>
      <w:r>
        <w:rPr>
          <w:rFonts w:ascii="Arial" w:hAnsi="Arial" w:cs="Arial"/>
          <w:color w:val="000000" w:themeColor="text1"/>
          <w:sz w:val="20"/>
          <w:szCs w:val="20"/>
          <w:lang w:val="en-PH"/>
        </w:rPr>
        <w:t>30 indicate primary dengue infections</w:t>
      </w:r>
      <w:r>
        <w:rPr>
          <w:rFonts w:ascii="Arial" w:hAnsi="Arial" w:cs="Arial"/>
          <w:color w:val="000000" w:themeColor="text1"/>
          <w:sz w:val="20"/>
          <w:szCs w:val="20"/>
          <w:lang w:val="en-PH"/>
        </w:rPr>
        <w:fldChar w:fldCharType="begin" w:fldLock="1"/>
      </w:r>
      <w:r w:rsidR="00C937AB">
        <w:rPr>
          <w:rFonts w:ascii="Arial" w:hAnsi="Arial" w:cs="Arial"/>
          <w:color w:val="000000" w:themeColor="text1"/>
          <w:sz w:val="20"/>
          <w:szCs w:val="20"/>
          <w:lang w:val="en-PH"/>
        </w:rPr>
        <w:instrText>ADDIN CSL_CITATION {"citationItems":[{"id":"ITEM-1","itemData":{"DOI":"10.3201/eid1302.060539","ISSN":"10806059","PMID":"17479892","abstract":"Severity of disease is markedly increased when infection with dengue virus type 2 (DENV-2) follows infection with DENV-1 at an interval of 20 years. Studies have shown that heterologous neutralizing antibody titers are inversely correlated with severity of a second infection. If this mechanism controlled disease severity in Cuba, heterotypic antibody titers should have declined over time. To determine whether phenotypic changes in dengue antibodies occur over time, we analyzed serum samples collected 4-8 and 20-22 years after DENV-1 infection. We found a significant increase in mean titer of homologous DENV-1 neutralizing antibodies and a significant decrease in heterologous antibodies to 1 of 2 genotypes of DENV-2 virus (the American genotype). Asian DENV-2 viruses were not neutralized during either interval; however, the American genotype underwent phenotypic changes in heterotypic viral neutralizing antibodies in the predicted direction. This finding may be related to the time-dependent changes in severity of disease found with secondary dengue infection.","author":[{"dropping-particle":"","family":"Guzman","given":"Maria G.","non-dropping-particle":"","parse-names":false,"suffix":""},{"dropping-particle":"","family":"Alvarez","given":"Mayling","non-dropping-particle":"","parse-names":false,"suffix":""},{"dropping-particle":"","family":"Rodriguez-Roche","given":"Rosmari","non-dropping-particle":"","parse-names":false,"suffix":""},{"dropping-particle":"","family":"Bernardo","given":"Lídice","non-dropping-particle":"","parse-names":false,"suffix":""},{"dropping-particle":"","family":"Montes","given":"Tibaire","non-dropping-particle":"","parse-names":false,"suffix":""},{"dropping-particle":"","family":"Vazquez","given":"Susana","non-dropping-particle":"","parse-names":false,"suffix":""},{"dropping-particle":"","family":"Morier","given":"Luis","non-dropping-particle":"","parse-names":false,"suffix":""},{"dropping-particle":"","family":"Alvarez","given":"Angel","non-dropping-particle":"","parse-names":false,"suffix":""},{"dropping-particle":"","family":"Gould","given":"Ernest A.","non-dropping-particle":"","parse-names":false,"suffix":""},{"dropping-particle":"","family":"Kourí","given":"Gustavo","non-dropping-particle":"","parse-names":false,"suffix":""},{"dropping-particle":"","family":"Halstead","given":"Scott B.","non-dropping-particle":"","parse-names":false,"suffix":""}],"container-title":"Emerging Infectious Diseases","id":"ITEM-1","issue":"2","issued":{"date-parts":[["2007"]]},"page":"282-286","title":"Neutralizing antibodies after infection with dengue 1 virus","type":"article-journal","volume":"13"},"uris":["http://www.mendeley.com/documents/?uuid=4c95474b-4127-4a90-86f6-eae08ac6171e"]}],"mendeley":{"formattedCitation":"&lt;sup&gt;4&lt;/sup&gt;","plainTextFormattedCitation":"4","previouslyFormattedCitation":"&lt;sup&gt;4&lt;/sup&gt;"},"properties":{"noteIndex":0},"schema":"https://github.com/citation-style-language/schema/raw/master/csl-citation.json"}</w:instrText>
      </w:r>
      <w:r>
        <w:rPr>
          <w:rFonts w:ascii="Arial" w:hAnsi="Arial" w:cs="Arial"/>
          <w:color w:val="000000" w:themeColor="text1"/>
          <w:sz w:val="20"/>
          <w:szCs w:val="20"/>
          <w:lang w:val="en-PH"/>
        </w:rPr>
        <w:fldChar w:fldCharType="separate"/>
      </w:r>
      <w:r w:rsidR="00420BD1" w:rsidRPr="00420BD1">
        <w:rPr>
          <w:rFonts w:ascii="Arial" w:hAnsi="Arial" w:cs="Arial"/>
          <w:noProof/>
          <w:color w:val="000000" w:themeColor="text1"/>
          <w:sz w:val="20"/>
          <w:szCs w:val="20"/>
          <w:vertAlign w:val="superscript"/>
          <w:lang w:val="en-PH"/>
        </w:rPr>
        <w:t>4</w:t>
      </w:r>
      <w:r>
        <w:rPr>
          <w:rFonts w:ascii="Arial" w:hAnsi="Arial" w:cs="Arial"/>
          <w:color w:val="000000" w:themeColor="text1"/>
          <w:sz w:val="20"/>
          <w:szCs w:val="20"/>
          <w:lang w:val="en-PH"/>
        </w:rPr>
        <w:fldChar w:fldCharType="end"/>
      </w:r>
      <w:r>
        <w:rPr>
          <w:rFonts w:ascii="Arial" w:hAnsi="Arial" w:cs="Arial"/>
          <w:color w:val="000000" w:themeColor="text1"/>
          <w:sz w:val="20"/>
          <w:szCs w:val="20"/>
          <w:lang w:val="en-PH"/>
        </w:rPr>
        <w:t xml:space="preserve"> while the neutralizing antibodies (NT50) among homotypic and heterotypic dengue infected individuals at the acute phase of infection ranged from 1:40 to &lt;1:1280</w:t>
      </w:r>
      <w:r>
        <w:rPr>
          <w:rFonts w:ascii="Arial" w:hAnsi="Arial" w:cs="Arial"/>
          <w:color w:val="000000" w:themeColor="text1"/>
          <w:sz w:val="20"/>
          <w:szCs w:val="20"/>
          <w:lang w:val="en-PH"/>
        </w:rPr>
        <w:fldChar w:fldCharType="begin" w:fldLock="1"/>
      </w:r>
      <w:r w:rsidR="00C937AB">
        <w:rPr>
          <w:rFonts w:ascii="Arial" w:hAnsi="Arial" w:cs="Arial"/>
          <w:color w:val="000000" w:themeColor="text1"/>
          <w:sz w:val="20"/>
          <w:szCs w:val="20"/>
          <w:lang w:val="en-PH"/>
        </w:rPr>
        <w:instrText>ADDIN CSL_CITATION {"citationItems":[{"id":"ITEM-1","itemData":{"DOI":"10.1093/infdis/jiy164","ISSN":"15376613","PMID":"29618091","abstract":"Background The 4 dengue virus serotypes (DENV1-4) and Zika virus (ZIKV) are related mosquito-borne flaviviruses of major importance globally. While monoclonal antibodies and plasma from DENV-immune donors can neutralize or enhance ZIKV in vitro and in small-animal models, and vice versa, the extent, duration, and significance of cross-reactivity in humans remains unknown, particularly in flavivirus-endemic regions. Methods We studied neutralizing antibodies to ZIKV and DENV1-4 in longitudinal serologic specimens collected through 3 years after infection from people in Latin America and Asia with laboratory-confirmed DENV infections. We also evaluated neutralizing antibodies to ZIKV and DENV1-4 in patients with Zika through 6 months after infection. Results In patients with Zika, the highest neutralizing antibody titers were to ZIKV, with low-level cross-reactivity to DENV1-4 that was greater in DENV-immune individuals. We found that, in primary and secondary DENV infections, neutralizing antibody titers to ZIKV were markedly lower than to the infecting DENV and heterologous DENV serotypes. Cross-neutralization was greatest in early convalescence, then ZIKV neutralization decreased, remaining at low levels over time. Conclusions Patterns of antibody cross-neutralization suggest that ZIKV lies outside the DENV serocomplex. Neutralizing antibody titers can distinguish ZIKV from DENV infections when all viruses are analyzed simultaneously. These findings have implications for understanding natural immunity and vaccines.","author":[{"dropping-particle":"","family":"Montoya","given":"Magelda","non-dropping-particle":"","parse-names":false,"suffix":""},{"dropping-particle":"","family":"Collins","given":"Matthew","non-dropping-particle":"","parse-names":false,"suffix":""},{"dropping-particle":"","family":"Dejnirattisai","given":"Wanwisa","non-dropping-particle":"","parse-names":false,"suffix":""},{"dropping-particle":"","family":"Katzelnick","given":"Leah C.","non-dropping-particle":"","parse-names":false,"suffix":""},{"dropping-particle":"","family":"Puerta-Guardo","given":"Henry","non-dropping-particle":"","parse-names":false,"suffix":""},{"dropping-particle":"","family":"Jadi","given":"Ramesh","non-dropping-particle":"","parse-names":false,"suffix":""},{"dropping-particle":"","family":"Schildhauer","given":"Samuel","non-dropping-particle":"","parse-names":false,"suffix":""},{"dropping-particle":"","family":"Supasa","given":"Piyada","non-dropping-particle":"","parse-names":false,"suffix":""},{"dropping-particle":"","family":"Vasanawathana","given":"Sirijitt","non-dropping-particle":"","parse-names":false,"suffix":""},{"dropping-particle":"","family":"Malasit","given":"Prida","non-dropping-particle":"","parse-names":false,"suffix":""},{"dropping-particle":"","family":"Mongkolsapaya","given":"Juthathip","non-dropping-particle":"","parse-names":false,"suffix":""},{"dropping-particle":"","family":"Silva","given":"Aruna D.","non-dropping-particle":"De","parse-names":false,"suffix":""},{"dropping-particle":"","family":"Tissera","given":"Hasitha","non-dropping-particle":"","parse-names":false,"suffix":""},{"dropping-particle":"","family":"Balmaseda","given":"Angel","non-dropping-particle":"","parse-names":false,"suffix":""},{"dropping-particle":"","family":"Screaton","given":"Gavin","non-dropping-particle":"","parse-names":false,"suffix":""},{"dropping-particle":"","family":"Silva","given":"Aravinda M.","non-dropping-particle":"De","parse-names":false,"suffix":""},{"dropping-particle":"","family":"Harris","given":"Eva","non-dropping-particle":"","parse-names":false,"suffix":""}],"container-title":"Journal of Infectious Diseases","id":"ITEM-1","issue":"4","issued":{"date-parts":[["2018"]]},"page":"536-545","title":"Longitudinal analysis of antibody cross-neutralization following zika virus and dengue virus infection in Asia and the Americas","type":"article-journal","volume":"218"},"uris":["http://www.mendeley.com/documents/?uuid=a75a7746-4aff-4757-8ba8-84910dbf8ed2"]}],"mendeley":{"formattedCitation":"&lt;sup&gt;5&lt;/sup&gt;","plainTextFormattedCitation":"5","previouslyFormattedCitation":"&lt;sup&gt;5&lt;/sup&gt;"},"properties":{"noteIndex":0},"schema":"https://github.com/citation-style-language/schema/raw/master/csl-citation.json"}</w:instrText>
      </w:r>
      <w:r>
        <w:rPr>
          <w:rFonts w:ascii="Arial" w:hAnsi="Arial" w:cs="Arial"/>
          <w:color w:val="000000" w:themeColor="text1"/>
          <w:sz w:val="20"/>
          <w:szCs w:val="20"/>
          <w:lang w:val="en-PH"/>
        </w:rPr>
        <w:fldChar w:fldCharType="separate"/>
      </w:r>
      <w:r w:rsidR="00420BD1" w:rsidRPr="00420BD1">
        <w:rPr>
          <w:rFonts w:ascii="Arial" w:hAnsi="Arial" w:cs="Arial"/>
          <w:noProof/>
          <w:color w:val="000000" w:themeColor="text1"/>
          <w:sz w:val="20"/>
          <w:szCs w:val="20"/>
          <w:vertAlign w:val="superscript"/>
          <w:lang w:val="en-PH"/>
        </w:rPr>
        <w:t>5</w:t>
      </w:r>
      <w:r>
        <w:rPr>
          <w:rFonts w:ascii="Arial" w:hAnsi="Arial" w:cs="Arial"/>
          <w:color w:val="000000" w:themeColor="text1"/>
          <w:sz w:val="20"/>
          <w:szCs w:val="20"/>
          <w:lang w:val="en-PH"/>
        </w:rPr>
        <w:fldChar w:fldCharType="end"/>
      </w:r>
      <w:r>
        <w:rPr>
          <w:rFonts w:ascii="Arial" w:hAnsi="Arial" w:cs="Arial"/>
          <w:color w:val="000000" w:themeColor="text1"/>
          <w:sz w:val="20"/>
          <w:szCs w:val="20"/>
          <w:lang w:val="en-PH"/>
        </w:rPr>
        <w:t xml:space="preserve">. Considering the epidemiology of dengue infections in Taiwan and the more stringent threshold of neutralization </w:t>
      </w:r>
      <w:r w:rsidR="00353F28">
        <w:rPr>
          <w:rFonts w:ascii="Arial" w:hAnsi="Arial" w:cs="Arial"/>
          <w:color w:val="000000" w:themeColor="text1"/>
          <w:sz w:val="20"/>
          <w:szCs w:val="20"/>
          <w:lang w:val="en-PH"/>
        </w:rPr>
        <w:t xml:space="preserve">(NT90) </w:t>
      </w:r>
      <w:r>
        <w:rPr>
          <w:rFonts w:ascii="Arial" w:hAnsi="Arial" w:cs="Arial"/>
          <w:color w:val="000000" w:themeColor="text1"/>
          <w:sz w:val="20"/>
          <w:szCs w:val="20"/>
          <w:lang w:val="en-PH"/>
        </w:rPr>
        <w:t>we previously set, we considered serum neutralizing (</w:t>
      </w:r>
      <w:r w:rsidRPr="00FD3C6B">
        <w:rPr>
          <w:rFonts w:ascii="Arial" w:hAnsi="Arial" w:cs="Arial"/>
          <w:color w:val="000000" w:themeColor="text1"/>
          <w:sz w:val="20"/>
          <w:szCs w:val="20"/>
          <w:lang w:val="en-PH"/>
        </w:rPr>
        <w:t>N</w:t>
      </w:r>
      <w:r w:rsidRPr="003A2793">
        <w:rPr>
          <w:rFonts w:ascii="Arial" w:hAnsi="Arial" w:cs="Arial"/>
          <w:color w:val="000000" w:themeColor="text1"/>
          <w:sz w:val="20"/>
          <w:szCs w:val="20"/>
          <w:lang w:val="en-PH"/>
        </w:rPr>
        <w:t>T90</w:t>
      </w:r>
      <w:r>
        <w:rPr>
          <w:rFonts w:ascii="Arial" w:hAnsi="Arial" w:cs="Arial"/>
          <w:color w:val="000000" w:themeColor="text1"/>
          <w:sz w:val="20"/>
          <w:szCs w:val="20"/>
          <w:lang w:val="en-PH"/>
        </w:rPr>
        <w:t xml:space="preserve">) antibodies </w:t>
      </w:r>
      <w:r w:rsidRPr="003A2793">
        <w:rPr>
          <w:rFonts w:ascii="Arial" w:hAnsi="Arial" w:cs="Arial"/>
          <w:color w:val="000000" w:themeColor="text1"/>
          <w:sz w:val="20"/>
          <w:szCs w:val="20"/>
          <w:lang w:val="en-PH"/>
        </w:rPr>
        <w:t xml:space="preserve">≥ </w:t>
      </w:r>
      <w:r>
        <w:rPr>
          <w:rFonts w:ascii="Arial" w:hAnsi="Arial" w:cs="Arial"/>
          <w:color w:val="000000" w:themeColor="text1"/>
          <w:sz w:val="20"/>
          <w:szCs w:val="20"/>
          <w:lang w:val="en-PH"/>
        </w:rPr>
        <w:t>80 as evidence of durable dengue infections (</w:t>
      </w:r>
      <w:proofErr w:type="spellStart"/>
      <w:r w:rsidRPr="00FD3C6B">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high</w:t>
      </w:r>
      <w:proofErr w:type="spellEnd"/>
      <w:r w:rsidRPr="00A26CDF">
        <w:rPr>
          <w:rFonts w:ascii="Arial" w:hAnsi="Arial" w:cs="Arial"/>
          <w:color w:val="000000" w:themeColor="text1"/>
          <w:sz w:val="20"/>
          <w:szCs w:val="20"/>
          <w:lang w:val="en-PH"/>
        </w:rPr>
        <w:t>)</w:t>
      </w:r>
      <w:r>
        <w:rPr>
          <w:rFonts w:ascii="Arial" w:hAnsi="Arial" w:cs="Arial"/>
          <w:color w:val="000000" w:themeColor="text1"/>
          <w:sz w:val="20"/>
          <w:szCs w:val="20"/>
          <w:lang w:val="en-PH"/>
        </w:rPr>
        <w:t xml:space="preserve"> or &lt;80 for confirmed yet low dengue titers (</w:t>
      </w:r>
      <w:proofErr w:type="spellStart"/>
      <w:r w:rsidRPr="00FD3C6B">
        <w:rPr>
          <w:rFonts w:ascii="Arial" w:hAnsi="Arial" w:cs="Arial"/>
          <w:color w:val="000000" w:themeColor="text1"/>
          <w:sz w:val="20"/>
          <w:szCs w:val="20"/>
          <w:lang w:val="en-PH"/>
        </w:rPr>
        <w:t>DENV</w:t>
      </w:r>
      <w:r>
        <w:rPr>
          <w:rFonts w:ascii="Arial" w:hAnsi="Arial" w:cs="Arial"/>
          <w:color w:val="000000" w:themeColor="text1"/>
          <w:sz w:val="20"/>
          <w:szCs w:val="20"/>
          <w:vertAlign w:val="superscript"/>
          <w:lang w:val="en-PH"/>
        </w:rPr>
        <w:t>low</w:t>
      </w:r>
      <w:proofErr w:type="spellEnd"/>
      <w:r w:rsidRPr="00A26CDF">
        <w:rPr>
          <w:rFonts w:ascii="Arial" w:hAnsi="Arial" w:cs="Arial"/>
          <w:color w:val="000000" w:themeColor="text1"/>
          <w:sz w:val="20"/>
          <w:szCs w:val="20"/>
          <w:lang w:val="en-PH"/>
        </w:rPr>
        <w:t>)</w:t>
      </w:r>
      <w:r>
        <w:rPr>
          <w:rFonts w:ascii="Arial" w:hAnsi="Arial" w:cs="Arial"/>
          <w:color w:val="000000" w:themeColor="text1"/>
          <w:sz w:val="20"/>
          <w:szCs w:val="20"/>
          <w:lang w:val="en-PH"/>
        </w:rPr>
        <w:t xml:space="preserve">. Additionally, JEV-infected individuals with serum neutralizing antibodies </w:t>
      </w:r>
      <w:r w:rsidRPr="003A2793">
        <w:rPr>
          <w:rFonts w:ascii="Arial" w:hAnsi="Arial" w:cs="Arial"/>
          <w:color w:val="000000" w:themeColor="text1"/>
          <w:sz w:val="20"/>
          <w:szCs w:val="20"/>
          <w:lang w:val="en-PH"/>
        </w:rPr>
        <w:t>≥</w:t>
      </w:r>
      <w:r>
        <w:rPr>
          <w:rFonts w:ascii="Arial" w:hAnsi="Arial" w:cs="Arial"/>
          <w:color w:val="000000" w:themeColor="text1"/>
          <w:sz w:val="20"/>
          <w:szCs w:val="20"/>
          <w:lang w:val="en-PH"/>
        </w:rPr>
        <w:t xml:space="preserve"> 10 were considered seropositive and protective</w:t>
      </w:r>
      <w:r>
        <w:rPr>
          <w:rFonts w:ascii="Arial" w:hAnsi="Arial" w:cs="Arial"/>
          <w:color w:val="000000" w:themeColor="text1"/>
          <w:sz w:val="20"/>
          <w:szCs w:val="20"/>
          <w:lang w:val="en-PH"/>
        </w:rPr>
        <w:fldChar w:fldCharType="begin" w:fldLock="1"/>
      </w:r>
      <w:r w:rsidR="00C937AB">
        <w:rPr>
          <w:rFonts w:ascii="Arial" w:hAnsi="Arial" w:cs="Arial"/>
          <w:color w:val="000000" w:themeColor="text1"/>
          <w:sz w:val="20"/>
          <w:szCs w:val="20"/>
          <w:lang w:val="en-PH"/>
        </w:rPr>
        <w:instrText xml:space="preserve">ADDIN CSL_CITATION {"citationItems":[{"id":"ITEM-1","itemData":{"DOI":"10.1371/journal.pntd.0007269","ISBN":"1111111111","ISSN":"19352735","PMID":"30986252","abstract":"The live attenuated Japanese encephalitis (JE) vaccine SA14-14-2 has been used in Nepal for catch-up campaigns and is now included in the routine immunisation schedule. Previous studies have shown good vaccine efficacy after one dose in districts with a high incidence of JE. The first well-documented dengue outbreak occurred in Nepal in 2006 with ongoing cases now thought to be secondary to migration from India. Previous infection with dengue virus (DENV) partially protects against JE and might also influence serum neutralising antibody titres against JEV. This study aimed to determine whether serum anti-JEV neutralisation titres are: 1. maintained over time since vaccination, 2. vary with historic local JE incidence, and 3. are associated with DENV neutralising antibody levels. We conducted a cross-sectional study in three districts of Nepal: Banke, Rupandehi and Udayapur. Udayapur district had been vaccinated against JE most recently (2009), but had been the focus of only one campaign, compared with two in Banke and three in Rupandehi. Participants answered a short questionnaire and serum was assayed for anti-JEV and anti-DENV IgM and IgG (by ELISA) and 50% plaque reduction neutralisation titres (PRNT50) against JEV and DENV serotypes 1-4. A titre of </w:instrText>
      </w:r>
      <w:r w:rsidR="00C937AB">
        <w:rPr>
          <w:rFonts w:ascii="Cambria Math" w:hAnsi="Cambria Math" w:cs="Cambria Math"/>
          <w:color w:val="000000" w:themeColor="text1"/>
          <w:sz w:val="20"/>
          <w:szCs w:val="20"/>
          <w:lang w:val="en-PH"/>
        </w:rPr>
        <w:instrText>≽</w:instrText>
      </w:r>
      <w:r w:rsidR="00C937AB">
        <w:rPr>
          <w:rFonts w:ascii="Arial" w:hAnsi="Arial" w:cs="Arial"/>
          <w:color w:val="000000" w:themeColor="text1"/>
          <w:sz w:val="20"/>
          <w:szCs w:val="20"/>
          <w:lang w:val="en-PH"/>
        </w:rPr>
        <w:instrText xml:space="preserve">1:10 was considered seropositive to the respective virus. JEV neutralising antibody seroprevalence (PRNT50 </w:instrText>
      </w:r>
      <w:r w:rsidR="00C937AB">
        <w:rPr>
          <w:rFonts w:ascii="Cambria Math" w:hAnsi="Cambria Math" w:cs="Cambria Math"/>
          <w:color w:val="000000" w:themeColor="text1"/>
          <w:sz w:val="20"/>
          <w:szCs w:val="20"/>
          <w:lang w:val="en-PH"/>
        </w:rPr>
        <w:instrText>≽</w:instrText>
      </w:r>
      <w:r w:rsidR="00C937AB">
        <w:rPr>
          <w:rFonts w:ascii="Arial" w:hAnsi="Arial" w:cs="Arial"/>
          <w:color w:val="000000" w:themeColor="text1"/>
          <w:sz w:val="20"/>
          <w:szCs w:val="20"/>
          <w:lang w:val="en-PH"/>
        </w:rPr>
        <w:instrText xml:space="preserve"> 1:10) was 81% in Banke and Rupandehi, but only 41% in Udayapur, despite this district being vaccinated more recently. Sensitivity of ELISA for both anti-JEV and anti-DENV antibodies was low compared with PRNT50. DENV neutralising antibody correlated with the JEV PRNT50 </w:instrText>
      </w:r>
      <w:r w:rsidR="00C937AB">
        <w:rPr>
          <w:rFonts w:ascii="Cambria Math" w:hAnsi="Cambria Math" w:cs="Cambria Math"/>
          <w:color w:val="000000" w:themeColor="text1"/>
          <w:sz w:val="20"/>
          <w:szCs w:val="20"/>
          <w:lang w:val="en-PH"/>
        </w:rPr>
        <w:instrText>≽</w:instrText>
      </w:r>
      <w:r w:rsidR="00C937AB">
        <w:rPr>
          <w:rFonts w:ascii="Arial" w:hAnsi="Arial" w:cs="Arial"/>
          <w:color w:val="000000" w:themeColor="text1"/>
          <w:sz w:val="20"/>
          <w:szCs w:val="20"/>
          <w:lang w:val="en-PH"/>
        </w:rPr>
        <w:instrText>1:10, though the effect was modest. IgM (indicating recent infection) against both viruses was detected in a small number of participants. We also show that DENV IgM is present in Nepali subjects who have not travelled to India, suggesting that DENV may have become established in Nepal. We therefore propose that further JE vaccine campaigns should be considered in Udayapur district, and similar areas that have had fewer vaccination campaigns.","author":[{"dropping-particle":"","family":"Turtle","given":"Lance","non-dropping-particle":"","parse-names":false,"suffix":""},{"dropping-particle":"","family":"Brindle","given":"Hannah E.","non-dropping-particle":"","parse-names":false,"suffix":""},{"dropping-particle":"","family":"William Schluter","given":"W.","non-dropping-particle":"","parse-names":false,"suffix":""},{"dropping-particle":"","family":"Faragher","given":"Brian","non-dropping-particle":"","parse-names":false,"suffix":""},{"dropping-particle":"","family":"Rayamajhi","given":"Ajit","non-dropping-particle":"","parse-names":false,"suffix":""},{"dropping-particle":"","family":"Bohara","given":"Rajendra","non-dropping-particle":"","parse-names":false,"suffix":""},{"dropping-particle":"","family":"Gurung","given":"Santosh","non-dropping-particle":"","parse-names":false,"suffix":""},{"dropping-particle":"","family":"Shakya","given":"Geeta","non-dropping-particle":"","parse-names":false,"suffix":""},{"dropping-particle":"","family":"Yoksan","given":"Sutee","non-dropping-particle":"","parse-names":false,"suffix":""},{"dropping-particle":"","family":"Dixit","given":"Sameer","non-dropping-particle":"","parse-names":false,"suffix":""},{"dropping-particle":"","family":"Rajbhandari","given":"Rajesh","non-dropping-particle":"","parse-names":false,"suffix":""},{"dropping-particle":"","family":"Paudel","given":"Bimal","non-dropping-particle":"","parse-names":false,"suffix":""},{"dropping-particle":"","family":"Adhikari","given":"Shailaja","non-dropping-particle":"","parse-names":false,"suffix":""},{"dropping-particle":"","family":"Solomon","given":"Tom","non-dropping-particle":"","parse-names":false,"suffix":""},{"dropping-particle":"","family":"Griffiths","given":"Mike J.","non-dropping-particle":"","parse-names":false,"suffix":""}],"container-title":"PLoS Neglected Tropical Diseases","id":"ITEM-1","issue":"4","issued":{"date-parts":[["2019"]]},"page":"1-19","title":"Low population Japanese encephalitis virus (JEV) seroprevalence in Udayapur district, Nepal, three years after a JE vaccination programme: A case for further catch up campaigns?","type":"article-journal","volume":"13"},"uris":["http://www.mendeley.com/documents/?uuid=51e49dc8-1293-4219-9889-638a928e80eb"]}],"mendeley":{"formattedCitation":"&lt;sup&gt;6&lt;/sup&gt;","plainTextFormattedCitation":"6","previouslyFormattedCitation":"&lt;sup&gt;6&lt;/sup&gt;"},"properties":{"noteIndex":0},"schema":"https://github.com/citation-style-language/schema/raw/master/csl-citation.json"}</w:instrText>
      </w:r>
      <w:r>
        <w:rPr>
          <w:rFonts w:ascii="Arial" w:hAnsi="Arial" w:cs="Arial"/>
          <w:color w:val="000000" w:themeColor="text1"/>
          <w:sz w:val="20"/>
          <w:szCs w:val="20"/>
          <w:lang w:val="en-PH"/>
        </w:rPr>
        <w:fldChar w:fldCharType="separate"/>
      </w:r>
      <w:r w:rsidR="00420BD1" w:rsidRPr="00420BD1">
        <w:rPr>
          <w:rFonts w:ascii="Arial" w:hAnsi="Arial" w:cs="Arial"/>
          <w:noProof/>
          <w:color w:val="000000" w:themeColor="text1"/>
          <w:sz w:val="20"/>
          <w:szCs w:val="20"/>
          <w:vertAlign w:val="superscript"/>
          <w:lang w:val="en-PH"/>
        </w:rPr>
        <w:t>6</w:t>
      </w:r>
      <w:r>
        <w:rPr>
          <w:rFonts w:ascii="Arial" w:hAnsi="Arial" w:cs="Arial"/>
          <w:color w:val="000000" w:themeColor="text1"/>
          <w:sz w:val="20"/>
          <w:szCs w:val="20"/>
          <w:lang w:val="en-PH"/>
        </w:rPr>
        <w:fldChar w:fldCharType="end"/>
      </w:r>
      <w:r>
        <w:rPr>
          <w:rFonts w:ascii="Arial" w:hAnsi="Arial" w:cs="Arial"/>
          <w:color w:val="000000" w:themeColor="text1"/>
          <w:sz w:val="20"/>
          <w:szCs w:val="20"/>
          <w:lang w:val="en-PH"/>
        </w:rPr>
        <w:t>. Since most primary or dengue-infected individuals also showed lower cross-neutralization titers against ZIKV than the infecting DENV or heterologous DENV serotypes</w:t>
      </w:r>
      <w:r>
        <w:rPr>
          <w:rFonts w:ascii="Arial" w:hAnsi="Arial" w:cs="Arial"/>
          <w:color w:val="000000" w:themeColor="text1"/>
          <w:sz w:val="20"/>
          <w:szCs w:val="20"/>
          <w:lang w:val="en-PH"/>
        </w:rPr>
        <w:fldChar w:fldCharType="begin" w:fldLock="1"/>
      </w:r>
      <w:r w:rsidR="00C937AB">
        <w:rPr>
          <w:rFonts w:ascii="Arial" w:hAnsi="Arial" w:cs="Arial"/>
          <w:color w:val="000000" w:themeColor="text1"/>
          <w:sz w:val="20"/>
          <w:szCs w:val="20"/>
          <w:lang w:val="en-PH"/>
        </w:rPr>
        <w:instrText>ADDIN CSL_CITATION {"citationItems":[{"id":"ITEM-1","itemData":{"DOI":"10.1093/infdis/jiy164","ISSN":"15376613","PMID":"29618091","abstract":"Background The 4 dengue virus serotypes (DENV1-4) and Zika virus (ZIKV) are related mosquito-borne flaviviruses of major importance globally. While monoclonal antibodies and plasma from DENV-immune donors can neutralize or enhance ZIKV in vitro and in small-animal models, and vice versa, the extent, duration, and significance of cross-reactivity in humans remains unknown, particularly in flavivirus-endemic regions. Methods We studied neutralizing antibodies to ZIKV and DENV1-4 in longitudinal serologic specimens collected through 3 years after infection from people in Latin America and Asia with laboratory-confirmed DENV infections. We also evaluated neutralizing antibodies to ZIKV and DENV1-4 in patients with Zika through 6 months after infection. Results In patients with Zika, the highest neutralizing antibody titers were to ZIKV, with low-level cross-reactivity to DENV1-4 that was greater in DENV-immune individuals. We found that, in primary and secondary DENV infections, neutralizing antibody titers to ZIKV were markedly lower than to the infecting DENV and heterologous DENV serotypes. Cross-neutralization was greatest in early convalescence, then ZIKV neutralization decreased, remaining at low levels over time. Conclusions Patterns of antibody cross-neutralization suggest that ZIKV lies outside the DENV serocomplex. Neutralizing antibody titers can distinguish ZIKV from DENV infections when all viruses are analyzed simultaneously. These findings have implications for understanding natural immunity and vaccines.","author":[{"dropping-particle":"","family":"Montoya","given":"Magelda","non-dropping-particle":"","parse-names":false,"suffix":""},{"dropping-particle":"","family":"Collins","given":"Matthew","non-dropping-particle":"","parse-names":false,"suffix":""},{"dropping-particle":"","family":"Dejnirattisai","given":"Wanwisa","non-dropping-particle":"","parse-names":false,"suffix":""},{"dropping-particle":"","family":"Katzelnick","given":"Leah C.","non-dropping-particle":"","parse-names":false,"suffix":""},{"dropping-particle":"","family":"Puerta-Guardo","given":"Henry","non-dropping-particle":"","parse-names":false,"suffix":""},{"dropping-particle":"","family":"Jadi","given":"Ramesh","non-dropping-particle":"","parse-names":false,"suffix":""},{"dropping-particle":"","family":"Schildhauer","given":"Samuel","non-dropping-particle":"","parse-names":false,"suffix":""},{"dropping-particle":"","family":"Supasa","given":"Piyada","non-dropping-particle":"","parse-names":false,"suffix":""},{"dropping-particle":"","family":"Vasanawathana","given":"Sirijitt","non-dropping-particle":"","parse-names":false,"suffix":""},{"dropping-particle":"","family":"Malasit","given":"Prida","non-dropping-particle":"","parse-names":false,"suffix":""},{"dropping-particle":"","family":"Mongkolsapaya","given":"Juthathip","non-dropping-particle":"","parse-names":false,"suffix":""},{"dropping-particle":"","family":"Silva","given":"Aruna D.","non-dropping-particle":"De","parse-names":false,"suffix":""},{"dropping-particle":"","family":"Tissera","given":"Hasitha","non-dropping-particle":"","parse-names":false,"suffix":""},{"dropping-particle":"","family":"Balmaseda","given":"Angel","non-dropping-particle":"","parse-names":false,"suffix":""},{"dropping-particle":"","family":"Screaton","given":"Gavin","non-dropping-particle":"","parse-names":false,"suffix":""},{"dropping-particle":"","family":"Silva","given":"Aravinda M.","non-dropping-particle":"De","parse-names":false,"suffix":""},{"dropping-particle":"","family":"Harris","given":"Eva","non-dropping-particle":"","parse-names":false,"suffix":""}],"container-title":"Journal of Infectious Diseases","id":"ITEM-1","issue":"4","issued":{"date-parts":[["2018"]]},"page":"536-545","title":"Longitudinal analysis of antibody cross-neutralization following zika virus and dengue virus infection in Asia and the Americas","type":"article-journal","volume":"218"},"uris":["http://www.mendeley.com/documents/?uuid=a75a7746-4aff-4757-8ba8-84910dbf8ed2"]}],"mendeley":{"formattedCitation":"&lt;sup&gt;5&lt;/sup&gt;","plainTextFormattedCitation":"5","previouslyFormattedCitation":"&lt;sup&gt;5&lt;/sup&gt;"},"properties":{"noteIndex":0},"schema":"https://github.com/citation-style-language/schema/raw/master/csl-citation.json"}</w:instrText>
      </w:r>
      <w:r>
        <w:rPr>
          <w:rFonts w:ascii="Arial" w:hAnsi="Arial" w:cs="Arial"/>
          <w:color w:val="000000" w:themeColor="text1"/>
          <w:sz w:val="20"/>
          <w:szCs w:val="20"/>
          <w:lang w:val="en-PH"/>
        </w:rPr>
        <w:fldChar w:fldCharType="separate"/>
      </w:r>
      <w:r w:rsidR="00420BD1" w:rsidRPr="00420BD1">
        <w:rPr>
          <w:rFonts w:ascii="Arial" w:hAnsi="Arial" w:cs="Arial"/>
          <w:noProof/>
          <w:color w:val="000000" w:themeColor="text1"/>
          <w:sz w:val="20"/>
          <w:szCs w:val="20"/>
          <w:vertAlign w:val="superscript"/>
          <w:lang w:val="en-PH"/>
        </w:rPr>
        <w:t>5</w:t>
      </w:r>
      <w:r>
        <w:rPr>
          <w:rFonts w:ascii="Arial" w:hAnsi="Arial" w:cs="Arial"/>
          <w:color w:val="000000" w:themeColor="text1"/>
          <w:sz w:val="20"/>
          <w:szCs w:val="20"/>
          <w:lang w:val="en-PH"/>
        </w:rPr>
        <w:fldChar w:fldCharType="end"/>
      </w:r>
      <w:r>
        <w:rPr>
          <w:rFonts w:ascii="Arial" w:hAnsi="Arial" w:cs="Arial"/>
          <w:color w:val="000000" w:themeColor="text1"/>
          <w:sz w:val="20"/>
          <w:szCs w:val="20"/>
          <w:lang w:val="en-PH"/>
        </w:rPr>
        <w:t xml:space="preserve">, </w:t>
      </w:r>
      <w:r w:rsidRPr="003A2793">
        <w:rPr>
          <w:rFonts w:ascii="Arial" w:hAnsi="Arial" w:cs="Arial"/>
          <w:color w:val="000000" w:themeColor="text1"/>
          <w:sz w:val="20"/>
          <w:szCs w:val="20"/>
          <w:lang w:val="en-PH"/>
        </w:rPr>
        <w:t xml:space="preserve">we further classified </w:t>
      </w:r>
      <w:r>
        <w:rPr>
          <w:rFonts w:ascii="Arial" w:hAnsi="Arial" w:cs="Arial"/>
          <w:color w:val="000000" w:themeColor="text1"/>
          <w:sz w:val="20"/>
          <w:szCs w:val="20"/>
          <w:lang w:val="en-PH"/>
        </w:rPr>
        <w:t>the varying ZIKV neutralization titers from DF individuals</w:t>
      </w:r>
      <w:r w:rsidRPr="003A2793">
        <w:rPr>
          <w:rFonts w:ascii="Arial" w:hAnsi="Arial" w:cs="Arial"/>
          <w:color w:val="000000" w:themeColor="text1"/>
          <w:sz w:val="20"/>
          <w:szCs w:val="20"/>
          <w:lang w:val="en-PH"/>
        </w:rPr>
        <w:t xml:space="preserve"> as </w:t>
      </w:r>
      <w:proofErr w:type="spellStart"/>
      <w:r w:rsidRPr="003A2793">
        <w:rPr>
          <w:rFonts w:ascii="Arial" w:hAnsi="Arial" w:cs="Arial"/>
          <w:color w:val="000000" w:themeColor="text1"/>
          <w:sz w:val="20"/>
          <w:szCs w:val="20"/>
          <w:lang w:val="en-PH"/>
        </w:rPr>
        <w:t>ZIKV</w:t>
      </w:r>
      <w:r>
        <w:rPr>
          <w:rFonts w:ascii="Arial" w:hAnsi="Arial" w:cs="Arial"/>
          <w:color w:val="000000" w:themeColor="text1"/>
          <w:sz w:val="20"/>
          <w:szCs w:val="20"/>
          <w:vertAlign w:val="superscript"/>
          <w:lang w:val="en-PH"/>
        </w:rPr>
        <w:t>pos</w:t>
      </w:r>
      <w:proofErr w:type="spellEnd"/>
      <w:r>
        <w:rPr>
          <w:rFonts w:ascii="Arial" w:hAnsi="Arial" w:cs="Arial"/>
          <w:color w:val="000000" w:themeColor="text1"/>
          <w:sz w:val="20"/>
          <w:szCs w:val="20"/>
          <w:vertAlign w:val="superscript"/>
          <w:lang w:val="en-PH"/>
        </w:rPr>
        <w:t xml:space="preserve"> </w:t>
      </w:r>
      <w:r w:rsidRPr="003A2793">
        <w:rPr>
          <w:rFonts w:ascii="Arial" w:hAnsi="Arial" w:cs="Arial"/>
          <w:color w:val="000000" w:themeColor="text1"/>
          <w:sz w:val="20"/>
          <w:szCs w:val="20"/>
          <w:lang w:val="en-PH"/>
        </w:rPr>
        <w:t xml:space="preserve">(ZIKV FRμNT90 ≥ 20) and </w:t>
      </w:r>
      <w:proofErr w:type="spellStart"/>
      <w:r w:rsidRPr="003A2793">
        <w:rPr>
          <w:rFonts w:ascii="Arial" w:hAnsi="Arial" w:cs="Arial"/>
          <w:color w:val="000000" w:themeColor="text1"/>
          <w:sz w:val="20"/>
          <w:szCs w:val="20"/>
          <w:lang w:val="en-PH"/>
        </w:rPr>
        <w:t>ZIKV</w:t>
      </w:r>
      <w:r>
        <w:rPr>
          <w:rFonts w:ascii="Arial" w:hAnsi="Arial" w:cs="Arial"/>
          <w:color w:val="000000" w:themeColor="text1"/>
          <w:sz w:val="20"/>
          <w:szCs w:val="20"/>
          <w:vertAlign w:val="superscript"/>
          <w:lang w:val="en-PH"/>
        </w:rPr>
        <w:t>neg</w:t>
      </w:r>
      <w:proofErr w:type="spellEnd"/>
      <w:r w:rsidRPr="003A2793">
        <w:rPr>
          <w:rFonts w:ascii="Arial" w:hAnsi="Arial" w:cs="Arial"/>
          <w:color w:val="000000" w:themeColor="text1"/>
          <w:sz w:val="20"/>
          <w:szCs w:val="20"/>
          <w:lang w:val="en-PH"/>
        </w:rPr>
        <w:t xml:space="preserve"> (ZIKV FRμNT90 &lt; 20)</w:t>
      </w:r>
      <w:r>
        <w:rPr>
          <w:rFonts w:ascii="Arial" w:hAnsi="Arial" w:cs="Arial"/>
          <w:color w:val="000000" w:themeColor="text1"/>
          <w:sz w:val="20"/>
          <w:szCs w:val="20"/>
          <w:lang w:val="en-PH"/>
        </w:rPr>
        <w:t xml:space="preserve">. </w:t>
      </w:r>
    </w:p>
    <w:p w14:paraId="2DB209EC" w14:textId="4F122B47" w:rsidR="00CC299A" w:rsidRPr="003A2793"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lastRenderedPageBreak/>
        <w:t>Whole-blood samples were collected into EDTA pre-coated blood collection tubes (Becton Dickinson) from one of the recalled dengue-immune individuals (KH1891) at late convalescence (</w:t>
      </w:r>
      <w:r w:rsidR="003717CD">
        <w:rPr>
          <w:rFonts w:ascii="Arial" w:hAnsi="Arial" w:cs="Arial"/>
          <w:color w:val="000000" w:themeColor="text1"/>
          <w:sz w:val="20"/>
          <w:szCs w:val="20"/>
        </w:rPr>
        <w:t>&gt;</w:t>
      </w:r>
      <w:r w:rsidRPr="003A2793">
        <w:rPr>
          <w:rFonts w:ascii="Arial" w:hAnsi="Arial" w:cs="Arial"/>
          <w:color w:val="000000" w:themeColor="text1"/>
          <w:sz w:val="20"/>
          <w:szCs w:val="20"/>
        </w:rPr>
        <w:t xml:space="preserve">18 months after recovery). Human peripheral blood mononuclear cells (PBMCs) were isolated using the </w:t>
      </w:r>
      <w:proofErr w:type="spellStart"/>
      <w:r w:rsidRPr="003A2793">
        <w:rPr>
          <w:rFonts w:ascii="Arial" w:hAnsi="Arial" w:cs="Arial"/>
          <w:color w:val="000000" w:themeColor="text1"/>
          <w:sz w:val="20"/>
          <w:szCs w:val="20"/>
        </w:rPr>
        <w:t>Ficoll-Paque</w:t>
      </w:r>
      <w:proofErr w:type="spellEnd"/>
      <w:r w:rsidRPr="003A2793">
        <w:rPr>
          <w:rFonts w:ascii="Arial" w:hAnsi="Arial" w:cs="Arial"/>
          <w:color w:val="000000" w:themeColor="text1"/>
          <w:sz w:val="20"/>
          <w:szCs w:val="20"/>
        </w:rPr>
        <w:t xml:space="preserve"> medium (GE Healthcare, Uppsala, SWE) and density gradient method under sterile conditions for sorting. </w:t>
      </w:r>
    </w:p>
    <w:p w14:paraId="223371C9" w14:textId="77777777" w:rsidR="00CC299A" w:rsidRPr="003A2793" w:rsidRDefault="00CC299A" w:rsidP="00CC299A">
      <w:pPr>
        <w:spacing w:line="480" w:lineRule="auto"/>
        <w:rPr>
          <w:rFonts w:ascii="Arial" w:hAnsi="Arial" w:cs="Arial"/>
          <w:b/>
          <w:color w:val="000000" w:themeColor="text1"/>
          <w:sz w:val="20"/>
          <w:szCs w:val="20"/>
        </w:rPr>
      </w:pPr>
    </w:p>
    <w:p w14:paraId="2AA0F7B3"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hint="eastAsia"/>
          <w:b/>
          <w:color w:val="000000" w:themeColor="text1"/>
          <w:sz w:val="20"/>
          <w:szCs w:val="20"/>
        </w:rPr>
        <w:t>C</w:t>
      </w:r>
      <w:r w:rsidRPr="003A2793">
        <w:rPr>
          <w:rFonts w:ascii="Arial" w:hAnsi="Arial" w:cs="Arial"/>
          <w:b/>
          <w:color w:val="000000" w:themeColor="text1"/>
          <w:sz w:val="20"/>
          <w:szCs w:val="20"/>
        </w:rPr>
        <w:t>ells, Antibodies, and Virus Propagations</w:t>
      </w:r>
    </w:p>
    <w:p w14:paraId="7C4B5308" w14:textId="77777777" w:rsidR="00CC299A" w:rsidRPr="003A2793" w:rsidRDefault="00CC299A" w:rsidP="00CC299A">
      <w:pPr>
        <w:spacing w:line="480" w:lineRule="auto"/>
        <w:jc w:val="both"/>
        <w:rPr>
          <w:rFonts w:ascii="Arial" w:hAnsi="Arial" w:cs="Arial"/>
          <w:color w:val="000000" w:themeColor="text1"/>
          <w:sz w:val="20"/>
          <w:szCs w:val="20"/>
        </w:rPr>
      </w:pPr>
      <w:r w:rsidRPr="003A2793">
        <w:rPr>
          <w:rFonts w:ascii="Arial" w:hAnsi="Arial" w:cs="Arial"/>
          <w:b/>
          <w:color w:val="000000" w:themeColor="text1"/>
          <w:sz w:val="20"/>
          <w:szCs w:val="20"/>
        </w:rPr>
        <w:tab/>
      </w:r>
      <w:r w:rsidRPr="003A2793">
        <w:rPr>
          <w:rFonts w:ascii="Arial" w:hAnsi="Arial" w:cs="Arial"/>
          <w:color w:val="000000" w:themeColor="text1"/>
          <w:sz w:val="20"/>
          <w:szCs w:val="20"/>
        </w:rPr>
        <w:t>Vero (CRL 1587; ATCC, Manassas, VA, USA) and HEK293T (CRL-3216; ATTC, Manassas, VA, USA) cells were grown at 37°C with 5% CO</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in Dulbecco’s modified Eagle’s minimal essential medium (DMEM; Gibco, Grand Island, NY, USA) supplemented with 10% heat-inactivated FBS, 110 mg/L sodium pyruvate, 0.1 </w:t>
      </w:r>
      <w:proofErr w:type="spellStart"/>
      <w:r w:rsidRPr="003A2793">
        <w:rPr>
          <w:rFonts w:ascii="Arial" w:hAnsi="Arial" w:cs="Arial"/>
          <w:color w:val="000000" w:themeColor="text1"/>
          <w:sz w:val="20"/>
          <w:szCs w:val="20"/>
        </w:rPr>
        <w:t>mM</w:t>
      </w:r>
      <w:proofErr w:type="spellEnd"/>
      <w:r w:rsidRPr="003A2793">
        <w:rPr>
          <w:rFonts w:ascii="Arial" w:hAnsi="Arial" w:cs="Arial"/>
          <w:color w:val="000000" w:themeColor="text1"/>
          <w:sz w:val="20"/>
          <w:szCs w:val="20"/>
        </w:rPr>
        <w:t xml:space="preserve"> nonessential amino acids (Gibco, Life Technologies, Grand Island, NY, USA), 2mM L-glutamine, 20 mL/L 7.5% NaHCO</w:t>
      </w:r>
      <w:r w:rsidRPr="003A2793">
        <w:rPr>
          <w:rFonts w:ascii="Arial" w:hAnsi="Arial" w:cs="Arial"/>
          <w:color w:val="000000" w:themeColor="text1"/>
          <w:sz w:val="20"/>
          <w:szCs w:val="20"/>
          <w:vertAlign w:val="subscript"/>
        </w:rPr>
        <w:t>3</w:t>
      </w:r>
      <w:r w:rsidRPr="003A2793">
        <w:rPr>
          <w:rFonts w:ascii="Arial" w:hAnsi="Arial" w:cs="Arial"/>
          <w:color w:val="000000" w:themeColor="text1"/>
          <w:sz w:val="20"/>
          <w:szCs w:val="20"/>
        </w:rPr>
        <w:t xml:space="preserve">, </w:t>
      </w:r>
      <w:r>
        <w:rPr>
          <w:rFonts w:ascii="Arial" w:hAnsi="Arial" w:cs="Arial"/>
          <w:color w:val="000000" w:themeColor="text1"/>
          <w:sz w:val="20"/>
          <w:szCs w:val="20"/>
        </w:rPr>
        <w:t>100</w:t>
      </w:r>
      <w:r w:rsidRPr="003A2793">
        <w:rPr>
          <w:rFonts w:ascii="Arial" w:hAnsi="Arial" w:cs="Arial"/>
          <w:color w:val="000000" w:themeColor="text1"/>
          <w:sz w:val="20"/>
          <w:szCs w:val="20"/>
        </w:rPr>
        <w:t xml:space="preserve"> </w:t>
      </w:r>
      <w:r>
        <w:rPr>
          <w:rFonts w:ascii="Arial" w:hAnsi="Arial" w:cs="Arial"/>
          <w:color w:val="000000" w:themeColor="text1"/>
          <w:sz w:val="20"/>
          <w:szCs w:val="20"/>
        </w:rPr>
        <w:t>I</w:t>
      </w:r>
      <w:r w:rsidRPr="003A2793">
        <w:rPr>
          <w:rFonts w:ascii="Arial" w:hAnsi="Arial" w:cs="Arial"/>
          <w:color w:val="000000" w:themeColor="text1"/>
          <w:sz w:val="20"/>
          <w:szCs w:val="20"/>
        </w:rPr>
        <w:t xml:space="preserve">U/mL </w:t>
      </w:r>
      <w:r>
        <w:rPr>
          <w:rFonts w:ascii="Arial" w:hAnsi="Arial" w:cs="Arial"/>
          <w:color w:val="000000" w:themeColor="text1"/>
          <w:sz w:val="20"/>
          <w:szCs w:val="20"/>
        </w:rPr>
        <w:t>p</w:t>
      </w:r>
      <w:r w:rsidRPr="003A2793">
        <w:rPr>
          <w:rFonts w:ascii="Arial" w:hAnsi="Arial" w:cs="Arial"/>
          <w:color w:val="000000" w:themeColor="text1"/>
          <w:sz w:val="20"/>
          <w:szCs w:val="20"/>
        </w:rPr>
        <w:t>enicillin</w:t>
      </w:r>
      <w:r>
        <w:rPr>
          <w:rFonts w:ascii="Arial" w:hAnsi="Arial" w:cs="Arial"/>
          <w:color w:val="000000" w:themeColor="text1"/>
          <w:sz w:val="20"/>
          <w:szCs w:val="20"/>
        </w:rPr>
        <w:t xml:space="preserve"> and </w:t>
      </w:r>
      <w:r w:rsidRPr="003A2793">
        <w:rPr>
          <w:rFonts w:ascii="Arial" w:hAnsi="Arial" w:cs="Arial"/>
          <w:color w:val="000000" w:themeColor="text1"/>
          <w:sz w:val="20"/>
          <w:szCs w:val="20"/>
        </w:rPr>
        <w:t xml:space="preserve">100μg/mL </w:t>
      </w:r>
      <w:r>
        <w:rPr>
          <w:rFonts w:ascii="Arial" w:hAnsi="Arial" w:cs="Arial"/>
          <w:color w:val="000000" w:themeColor="text1"/>
          <w:sz w:val="20"/>
          <w:szCs w:val="20"/>
        </w:rPr>
        <w:t>s</w:t>
      </w:r>
      <w:r w:rsidRPr="003A2793">
        <w:rPr>
          <w:rFonts w:ascii="Arial" w:hAnsi="Arial" w:cs="Arial"/>
          <w:color w:val="000000" w:themeColor="text1"/>
          <w:sz w:val="20"/>
          <w:szCs w:val="20"/>
        </w:rPr>
        <w:t>treptomycin. All the cells used were free of mycoplasma contamination checked regularly by following the commercial protocol (</w:t>
      </w:r>
      <w:proofErr w:type="spellStart"/>
      <w:r w:rsidRPr="003A2793">
        <w:rPr>
          <w:rFonts w:ascii="Arial" w:hAnsi="Arial" w:cs="Arial"/>
          <w:color w:val="000000" w:themeColor="text1"/>
          <w:sz w:val="20"/>
          <w:szCs w:val="20"/>
        </w:rPr>
        <w:t>InvivoGen</w:t>
      </w:r>
      <w:proofErr w:type="spellEnd"/>
      <w:r w:rsidRPr="003A2793">
        <w:rPr>
          <w:rFonts w:ascii="Arial" w:hAnsi="Arial" w:cs="Arial"/>
          <w:color w:val="000000" w:themeColor="text1"/>
          <w:sz w:val="20"/>
          <w:szCs w:val="20"/>
        </w:rPr>
        <w:t xml:space="preserve">, Hong Kong). </w:t>
      </w:r>
    </w:p>
    <w:p w14:paraId="70BD6545" w14:textId="4E5E818C" w:rsidR="00CC299A" w:rsidRPr="003A2793" w:rsidRDefault="00CC299A" w:rsidP="00CC299A">
      <w:pPr>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t xml:space="preserve">Serotype-specific anti-DENV VLP, anti-JEV VLP, and anti-ZIKV VLP sera were </w:t>
      </w:r>
      <w:r w:rsidR="003717CD">
        <w:rPr>
          <w:rFonts w:ascii="Arial" w:hAnsi="Arial" w:cs="Arial"/>
          <w:color w:val="000000" w:themeColor="text1"/>
          <w:sz w:val="20"/>
          <w:szCs w:val="20"/>
        </w:rPr>
        <w:t xml:space="preserve">either in-house prepared as previously described </w:t>
      </w:r>
      <w:r w:rsidR="00420BD1">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{"citationItems":[{"id":"ITEM-1","itemData":{"DOI":"10.1128/jvi.00810-14","ISSN":"0022-538X","PMID":"25008922","abstract":" Dengue virus (DENV), composed of four distinct serotypes, is the most important and rapidly emerging arthropod-borne pathogen and imposes substantial economic and public health burdens. We constructed candidate vaccines containing the DNA of five of the genotypes of dengue virus serotype 2 (DENV-2) and evaluated the immunogenicity, the neutralizing (Nt) activity of the elicited antibodies, and the protective efficacy elicited in mice immunized with the vaccine candidates. We observed a significant correlation between the level of in vitro virus-like particle secretion, the elicited antibody response, and the protective efficacy of the vaccines containing the DNA of the different DENV genotypes in immunized mice. However, higher total IgG antibody levels did not always translate into higher Nt antibodies against homologous and heterologous viruses. We also found that, in contrast to previous reports, more than 50% of total IgG targeted ectodomain III (EDIII) of the E protein, and a substantial fraction of this population was interdomain highly neutralizing flavivirus subgroup-cross-reactive antibodies, such as monoclonal antibody 1B7-5. In addition, the lack of a critical epitope(s) in the Sylvatic genotype virus recognized by interdomain antibodies could be the major cause of the poor protection of mice vaccinated with the Asian 1 genotype vaccine (pVD2-Asian 1) from lethal challenge with virus of the Sylvatic genotype. In conclusion, although the pVD2-Asian 1 vaccine was immunogenic, elicited sufficient titers of Nt antibodies against all DENV-2 genotypes, and provided 100% protection against challenge with virus of the homologous Asian 1 genotype and virus of the heterologous Cosmopolitan genotype, it is critical to monitor the potential emergence of Sylvatic genotype viruses, since vaccine candidates under development may not protect vaccinated humans from these viruses.  IMPORTANCE Five genotype-specific dengue virus serotype 2 (DENV-2) DNA vaccine candidates were evaluated for their immunogenicity, homologous and heterologous neutralizing (Nt) antibody titers, and cross-genotype protection in a murine model. The immunity elicited by our prototype vaccine candidate (Asian 1 genotype strain 16681) in mice was protective against viruses of other genotypes but not against virus of the Sylvatic genotype, whose emergence and potential risk after introduction into the human population have previously been demonstrated. The underlying mechanism of a lack …","author":[{"dropping-particle":"","family":"Galula","given":"Jedhan U.","non-dropping-particle":"","parse-names":false,"suffix":""},{"dropping-particle":"","family":"Shen","given":"Wen-Fan","non-dropping-particle":"","parse-names":false,"suffix":""},{"dropping-particle":"","family":"Chuang","given":"Shih-Te","non-dropping-particle":"","parse-names":false,"suffix":""},{"dropping-particle":"","family":"Chang","given":"Gwong-Jen J.","non-dropping-particle":"","parse-names":false,"suffix":""},{"dropping-particle":"","family":"Chao","given":"Day-Yu","non-dropping-particle":"","parse-names":false,"suffix":""}],"container-title":"Journal of Virology","id":"ITEM-1","issue":"18","issued":{"date-parts":[["2014"]]},"page":"10813-10830","title":"Virus-Like Particle Secretion and Genotype-Dependent Immunogenicity of Dengue Virus Serotype 2 DNA Vaccine","type":"article-journal","volume":"88"},"uris":["http://www.mendeley.com/documents/?uuid=e85a9dbe-307c-46da-8a5e-42372fd93b47"]}],"mendeley":{"formattedCitation":"&lt;sup&gt;7&lt;/sup&gt;","plainTextFormattedCitation":"7","previouslyFormattedCitation":"&lt;sup&gt;7&lt;/sup&gt;"},"properties":{"noteIndex":0},"schema":"https://github.com/citation-style-language/schema/raw/master/csl-citation.json"}</w:instrText>
      </w:r>
      <w:r w:rsidR="00420BD1">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7</w:t>
      </w:r>
      <w:r w:rsidR="00420BD1">
        <w:rPr>
          <w:rFonts w:ascii="Arial" w:hAnsi="Arial" w:cs="Arial"/>
          <w:color w:val="000000" w:themeColor="text1"/>
          <w:sz w:val="20"/>
          <w:szCs w:val="20"/>
        </w:rPr>
        <w:fldChar w:fldCharType="end"/>
      </w:r>
      <w:r w:rsidR="00420BD1">
        <w:rPr>
          <w:rFonts w:ascii="Arial" w:hAnsi="Arial" w:cs="Arial"/>
          <w:color w:val="000000" w:themeColor="text1"/>
          <w:sz w:val="20"/>
          <w:szCs w:val="20"/>
        </w:rPr>
        <w:t xml:space="preserve"> </w:t>
      </w:r>
      <w:r w:rsidR="003717CD">
        <w:rPr>
          <w:rFonts w:ascii="Arial" w:hAnsi="Arial" w:cs="Arial"/>
          <w:color w:val="000000" w:themeColor="text1"/>
          <w:sz w:val="20"/>
          <w:szCs w:val="20"/>
        </w:rPr>
        <w:t xml:space="preserve">or </w:t>
      </w:r>
      <w:r w:rsidRPr="003A2793">
        <w:rPr>
          <w:rFonts w:ascii="Arial" w:hAnsi="Arial" w:cs="Arial"/>
          <w:color w:val="000000" w:themeColor="text1"/>
          <w:sz w:val="20"/>
          <w:szCs w:val="20"/>
        </w:rPr>
        <w:t>kindly provided by Dr. G.-J. Chang (</w:t>
      </w:r>
      <w:r w:rsidR="003717CD">
        <w:rPr>
          <w:rFonts w:ascii="Arial" w:hAnsi="Arial" w:cs="Arial"/>
          <w:color w:val="000000" w:themeColor="text1"/>
          <w:sz w:val="20"/>
          <w:szCs w:val="20"/>
        </w:rPr>
        <w:t xml:space="preserve">recently retired from </w:t>
      </w:r>
      <w:r w:rsidR="00353F28">
        <w:rPr>
          <w:rFonts w:ascii="Arial" w:hAnsi="Arial" w:cs="Arial"/>
          <w:color w:val="000000" w:themeColor="text1"/>
          <w:sz w:val="20"/>
          <w:szCs w:val="20"/>
        </w:rPr>
        <w:t xml:space="preserve">Division of Vector-borne Diseases, Centers for Disease Control and Prevention, </w:t>
      </w:r>
      <w:r w:rsidRPr="003A2793">
        <w:rPr>
          <w:rFonts w:ascii="Arial" w:hAnsi="Arial" w:cs="Arial"/>
          <w:color w:val="000000" w:themeColor="text1"/>
          <w:sz w:val="20"/>
          <w:szCs w:val="20"/>
        </w:rPr>
        <w:t xml:space="preserve">DVBD-CDC, Fort Collins, CO, USA). </w:t>
      </w:r>
    </w:p>
    <w:p w14:paraId="2CE30293" w14:textId="0AE95437" w:rsidR="00CC299A"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All flaviviruses were propagated on Vero cells using DMEM supplemented with 2% </w:t>
      </w:r>
      <w:r w:rsidRPr="003A2793">
        <w:rPr>
          <w:rFonts w:ascii="Arial" w:hAnsi="Arial" w:cs="Arial"/>
          <w:color w:val="000000" w:themeColor="text1"/>
          <w:sz w:val="20"/>
          <w:szCs w:val="20"/>
        </w:rPr>
        <w:lastRenderedPageBreak/>
        <w:t xml:space="preserve">heat-inactivated FBS and </w:t>
      </w:r>
      <w:r>
        <w:rPr>
          <w:rFonts w:ascii="Arial" w:hAnsi="Arial" w:cs="Arial"/>
          <w:color w:val="000000" w:themeColor="text1"/>
          <w:sz w:val="20"/>
          <w:szCs w:val="20"/>
        </w:rPr>
        <w:t>100</w:t>
      </w:r>
      <w:r w:rsidRPr="003A2793">
        <w:rPr>
          <w:rFonts w:ascii="Arial" w:hAnsi="Arial" w:cs="Arial"/>
          <w:color w:val="000000" w:themeColor="text1"/>
          <w:sz w:val="20"/>
          <w:szCs w:val="20"/>
        </w:rPr>
        <w:t xml:space="preserve"> </w:t>
      </w:r>
      <w:r>
        <w:rPr>
          <w:rFonts w:ascii="Arial" w:hAnsi="Arial" w:cs="Arial"/>
          <w:color w:val="000000" w:themeColor="text1"/>
          <w:sz w:val="20"/>
          <w:szCs w:val="20"/>
        </w:rPr>
        <w:t>I</w:t>
      </w:r>
      <w:r w:rsidRPr="003A2793">
        <w:rPr>
          <w:rFonts w:ascii="Arial" w:hAnsi="Arial" w:cs="Arial"/>
          <w:color w:val="000000" w:themeColor="text1"/>
          <w:sz w:val="20"/>
          <w:szCs w:val="20"/>
        </w:rPr>
        <w:t xml:space="preserve">U/mL </w:t>
      </w:r>
      <w:r>
        <w:rPr>
          <w:rFonts w:ascii="Arial" w:hAnsi="Arial" w:cs="Arial"/>
          <w:color w:val="000000" w:themeColor="text1"/>
          <w:sz w:val="20"/>
          <w:szCs w:val="20"/>
        </w:rPr>
        <w:t>p</w:t>
      </w:r>
      <w:r w:rsidRPr="003A2793">
        <w:rPr>
          <w:rFonts w:ascii="Arial" w:hAnsi="Arial" w:cs="Arial"/>
          <w:color w:val="000000" w:themeColor="text1"/>
          <w:sz w:val="20"/>
          <w:szCs w:val="20"/>
        </w:rPr>
        <w:t>enicillin</w:t>
      </w:r>
      <w:r>
        <w:rPr>
          <w:rFonts w:ascii="Arial" w:hAnsi="Arial" w:cs="Arial"/>
          <w:color w:val="000000" w:themeColor="text1"/>
          <w:sz w:val="20"/>
          <w:szCs w:val="20"/>
        </w:rPr>
        <w:t xml:space="preserve"> and </w:t>
      </w:r>
      <w:r w:rsidRPr="003A2793">
        <w:rPr>
          <w:rFonts w:ascii="Arial" w:hAnsi="Arial" w:cs="Arial"/>
          <w:color w:val="000000" w:themeColor="text1"/>
          <w:sz w:val="20"/>
          <w:szCs w:val="20"/>
        </w:rPr>
        <w:t xml:space="preserve">100μg/mL </w:t>
      </w:r>
      <w:r>
        <w:rPr>
          <w:rFonts w:ascii="Arial" w:hAnsi="Arial" w:cs="Arial"/>
          <w:color w:val="000000" w:themeColor="text1"/>
          <w:sz w:val="20"/>
          <w:szCs w:val="20"/>
        </w:rPr>
        <w:t>s</w:t>
      </w:r>
      <w:r w:rsidRPr="003A2793">
        <w:rPr>
          <w:rFonts w:ascii="Arial" w:hAnsi="Arial" w:cs="Arial"/>
          <w:color w:val="000000" w:themeColor="text1"/>
          <w:sz w:val="20"/>
          <w:szCs w:val="20"/>
        </w:rPr>
        <w:t>treptomycin for 5-7 days. Infected cell culture supernatants were harvested, clarified by centrifugation at 2</w:t>
      </w:r>
      <w:r w:rsidR="003717CD">
        <w:rPr>
          <w:rFonts w:ascii="Arial" w:hAnsi="Arial" w:cs="Arial"/>
          <w:color w:val="000000" w:themeColor="text1"/>
          <w:sz w:val="20"/>
          <w:szCs w:val="20"/>
        </w:rPr>
        <w:t>,</w:t>
      </w:r>
      <w:r w:rsidRPr="003A2793">
        <w:rPr>
          <w:rFonts w:ascii="Arial" w:hAnsi="Arial" w:cs="Arial"/>
          <w:color w:val="000000" w:themeColor="text1"/>
          <w:sz w:val="20"/>
          <w:szCs w:val="20"/>
        </w:rPr>
        <w:t xml:space="preserve">000g, and stored in aliquots at -80°C. The virus strains used in this study were: DENV-1 Hawaii, DENV-1 BC 245/97, DENV-2 16681, DENV-2 94 Puerto Rico (PR), DENV-3 H87, DENV-3 KH9800235, DENV-4 BC 71/94, DENV-4 H241, JEV CJN-S1, YFV-17D, ZIKV-MR 766, and ZIKV-PRVABC59. All prototype DENV serotypes 1-4, JEV, and ZIKV virus strains were provided by Dr. G.-J. Chang (Diagnostic and Reference Laboratory, DVBD-CDC, Fort Collins, CO, USA), while clinical isolate DENV-3 KH9800235 was provided by one of the co-authors, Dr. </w:t>
      </w:r>
      <w:r w:rsidR="003717CD">
        <w:rPr>
          <w:rFonts w:ascii="Arial" w:hAnsi="Arial" w:cs="Arial"/>
          <w:color w:val="000000" w:themeColor="text1"/>
          <w:sz w:val="20"/>
          <w:szCs w:val="20"/>
        </w:rPr>
        <w:t>Y</w:t>
      </w:r>
      <w:r w:rsidRPr="003A2793">
        <w:rPr>
          <w:rFonts w:ascii="Arial" w:hAnsi="Arial" w:cs="Arial"/>
          <w:color w:val="000000" w:themeColor="text1"/>
          <w:sz w:val="20"/>
          <w:szCs w:val="20"/>
        </w:rPr>
        <w:t>.-</w:t>
      </w:r>
      <w:r w:rsidR="003717CD">
        <w:rPr>
          <w:rFonts w:ascii="Arial" w:hAnsi="Arial" w:cs="Arial"/>
          <w:color w:val="000000" w:themeColor="text1"/>
          <w:sz w:val="20"/>
          <w:szCs w:val="20"/>
        </w:rPr>
        <w:t>H</w:t>
      </w:r>
      <w:r w:rsidRPr="003A2793">
        <w:rPr>
          <w:rFonts w:ascii="Arial" w:hAnsi="Arial" w:cs="Arial"/>
          <w:color w:val="000000" w:themeColor="text1"/>
          <w:sz w:val="20"/>
          <w:szCs w:val="20"/>
        </w:rPr>
        <w:t xml:space="preserve">. Chen. </w:t>
      </w:r>
    </w:p>
    <w:p w14:paraId="1BE69AA5" w14:textId="77777777" w:rsidR="00CC299A" w:rsidRDefault="00CC299A" w:rsidP="00CC299A">
      <w:pPr>
        <w:spacing w:line="480" w:lineRule="auto"/>
        <w:ind w:firstLine="720"/>
        <w:jc w:val="both"/>
        <w:rPr>
          <w:rFonts w:ascii="Arial" w:hAnsi="Arial" w:cs="Arial"/>
          <w:color w:val="000000" w:themeColor="text1"/>
          <w:sz w:val="20"/>
          <w:szCs w:val="20"/>
        </w:rPr>
      </w:pPr>
    </w:p>
    <w:p w14:paraId="78C76C3A" w14:textId="77777777" w:rsidR="00CC299A" w:rsidRPr="00B3476E" w:rsidRDefault="00CC299A" w:rsidP="00CC299A">
      <w:pPr>
        <w:spacing w:line="480" w:lineRule="auto"/>
        <w:rPr>
          <w:rFonts w:ascii="Arial" w:hAnsi="Arial" w:cs="Arial"/>
          <w:b/>
          <w:sz w:val="20"/>
          <w:szCs w:val="20"/>
        </w:rPr>
      </w:pPr>
      <w:r w:rsidRPr="005F224E">
        <w:rPr>
          <w:rFonts w:ascii="Arial" w:hAnsi="Arial" w:cs="Arial"/>
          <w:b/>
          <w:sz w:val="20"/>
          <w:szCs w:val="20"/>
        </w:rPr>
        <w:t>Focus reduct</w:t>
      </w:r>
      <w:r>
        <w:rPr>
          <w:rFonts w:ascii="Arial" w:hAnsi="Arial" w:cs="Arial"/>
          <w:b/>
          <w:sz w:val="20"/>
          <w:szCs w:val="20"/>
        </w:rPr>
        <w:t xml:space="preserve">ion microneutralization </w:t>
      </w:r>
      <w:r w:rsidRPr="00D22F0E">
        <w:rPr>
          <w:rFonts w:ascii="Arial" w:hAnsi="Arial" w:cs="Arial"/>
          <w:b/>
          <w:sz w:val="20"/>
          <w:szCs w:val="20"/>
        </w:rPr>
        <w:t>test (</w:t>
      </w:r>
      <w:proofErr w:type="spellStart"/>
      <w:r w:rsidRPr="00D22F0E">
        <w:rPr>
          <w:rFonts w:ascii="Arial" w:hAnsi="Arial" w:cs="Arial"/>
          <w:b/>
          <w:sz w:val="20"/>
          <w:szCs w:val="20"/>
        </w:rPr>
        <w:t>FRμNT</w:t>
      </w:r>
      <w:proofErr w:type="spellEnd"/>
      <w:r w:rsidRPr="00D22F0E">
        <w:rPr>
          <w:rFonts w:ascii="Arial" w:hAnsi="Arial" w:cs="Arial"/>
          <w:b/>
          <w:sz w:val="20"/>
          <w:szCs w:val="20"/>
        </w:rPr>
        <w:t>)</w:t>
      </w:r>
    </w:p>
    <w:p w14:paraId="158FE76E" w14:textId="48A98263" w:rsidR="00CC299A" w:rsidRDefault="00CC299A" w:rsidP="00CC299A">
      <w:pPr>
        <w:spacing w:line="480" w:lineRule="auto"/>
        <w:ind w:firstLine="720"/>
        <w:jc w:val="both"/>
        <w:rPr>
          <w:rFonts w:ascii="Arial" w:hAnsi="Arial" w:cs="Arial"/>
          <w:sz w:val="20"/>
          <w:szCs w:val="20"/>
        </w:rPr>
      </w:pPr>
      <w:r w:rsidRPr="003A2793">
        <w:rPr>
          <w:rFonts w:ascii="Arial" w:hAnsi="Arial" w:cs="Arial"/>
          <w:color w:val="000000" w:themeColor="text1"/>
          <w:sz w:val="20"/>
          <w:szCs w:val="20"/>
        </w:rPr>
        <w:t>To measure the</w:t>
      </w:r>
      <w:r w:rsidRPr="003A2793">
        <w:rPr>
          <w:rFonts w:ascii="Arial" w:hAnsi="Arial" w:cs="Arial"/>
          <w:i/>
          <w:color w:val="000000" w:themeColor="text1"/>
          <w:sz w:val="20"/>
          <w:szCs w:val="20"/>
        </w:rPr>
        <w:t xml:space="preserve"> in vitro</w:t>
      </w:r>
      <w:r w:rsidRPr="003A2793">
        <w:rPr>
          <w:rFonts w:ascii="Arial" w:hAnsi="Arial" w:cs="Arial"/>
          <w:color w:val="000000" w:themeColor="text1"/>
          <w:sz w:val="20"/>
          <w:szCs w:val="20"/>
        </w:rPr>
        <w:t xml:space="preserve"> neutralization activity of the human and murine polyclonal antibodies with DENVs, ZIKV, JEV, and YFV, a focus-reduction microneutralization test (</w:t>
      </w:r>
      <w:proofErr w:type="spellStart"/>
      <w:r w:rsidRPr="003A2793">
        <w:rPr>
          <w:rFonts w:ascii="Arial" w:hAnsi="Arial" w:cs="Arial"/>
          <w:color w:val="000000" w:themeColor="text1"/>
          <w:sz w:val="20"/>
          <w:szCs w:val="20"/>
        </w:rPr>
        <w:t>FRμNT</w:t>
      </w:r>
      <w:proofErr w:type="spellEnd"/>
      <w:r w:rsidRPr="003A2793">
        <w:rPr>
          <w:rFonts w:ascii="Arial" w:hAnsi="Arial" w:cs="Arial"/>
          <w:color w:val="000000" w:themeColor="text1"/>
          <w:sz w:val="20"/>
          <w:szCs w:val="20"/>
        </w:rPr>
        <w:t>) in Vero cells was performed as previously described</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{"citationItems":[{"id":"ITEM-1","itemData":{"DOI":"10.7554/eLife.38970","ISSN":"2050084X","PMID":"30334522","abstract":"Dengue fever is caused by four different serotypes of dengue virus (DENV) which is the leading cause of worldwide arboviral diseases in humans. Virus-like particles (VLPs) containing flavivirus prM/E proteins have been demonstrated to be a potential vaccine candidate; however, the structure of dengue VLP is poorly understood. Herein VLP derived from DENV serotype-2 were engineered becoming highly matured (mD2VLP) and showed variable size distribution with diameter of ~31 nm forming the major population under cryo-electron microscopy examination. Furthermore, mD2VLP particles of 31 nm diameter possess a T = 1 icosahedral symmetry with a groove located within the E-protein dimers near the 2-fold vertices that exposed highly overlapping, cryptic neutralizing epitopes. Mice vaccinated with mD2VLP generated higher cross-reactive (CR) neutralization antibodies (NtAbs) and were fully protected against all 4 serotypes of DENV. Our results highlight the potential of ‘epitope-resurfaced’ mature-form D2VLPs in inducing quaternary structure-recognizing broad CR NtAbs to guide future dengue vaccine design.","author":[{"dropping-particle":"","family":"Shen","given":"Wen Fan","non-dropping-particle":"","parse-names":false,"suffix":""},{"dropping-particle":"","family":"Galula","given":"Jedhan Ucat","non-dropping-particle":"","parse-names":false,"suffix":""},{"dropping-particle":"","family":"Liu","given":"Jyung Hurng","non-dropping-particle":"","parse-names":false,"suffix":""},{"dropping-particle":"","family":"Liao","given":"Mei Ying","non-dropping-particle":"","parse-names":false,"suffix":""},{"dropping-particle":"","family":"Huang","given":"Cheng Hao","non-dropping-particle":"","parse-names":false,"suffix":""},{"dropping-particle":"","family":"Wang","given":"Yu Chun","non-dropping-particle":"","parse-names":false,"suffix":""},{"dropping-particle":"","family":"Wu","given":"Han Chung","non-dropping-particle":"","parse-names":false,"suffix":""},{"dropping-particle":"","family":"Liang","given":"Jian Jong","non-dropping-particle":"","parse-names":false,"suffix":""},{"dropping-particle":"","family":"Lin","given":"Yi Ling","non-dropping-particle":"","parse-names":false,"suffix":""},{"dropping-particle":"","family":"Whitney","given":"Matthew T.","non-dropping-particle":"","parse-names":false,"suffix":""},{"dropping-particle":"","family":"Chang","given":"Gwong Jen J.","non-dropping-particle":"","parse-names":false,"suffix":""},{"dropping-particle":"","family":"Chen","given":"Sheng Ren","non-dropping-particle":"","parse-names":false,"suffix":""},{"dropping-particle":"","family":"Wu","given":"Shang Rung","non-dropping-particle":"","parse-names":false,"suffix":""},{"dropping-particle":"","family":"Chao","given":"Day Yu","non-dropping-particle":"","parse-names":false,"suffix":""}],"container-title":"eLife","id":"ITEM-1","issued":{"date-parts":[["2018"]]},"page":"1-24","title":"Epitope resurfacing on dengue virus-like particle vaccine preparation to induce broad neutralizing antibody","type":"article-journal","volume":"7"},"uris":["http://www.mendeley.com/documents/?uuid=8b153c32-3a17-42bb-a1b6-9279f37d1267"]}],"mendeley":{"formattedCitation":"&lt;sup&gt;8&lt;/sup&gt;","plainTextFormattedCitation":"8","previouslyFormattedCitation":"&lt;sup&gt;8&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8</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All human and murine polyclonal sera were heat-inactivated at 56°C for 30 min prior to use in the experiments. Each purified human monoclonal antibody was serially diluted starting with 20 </w:t>
      </w:r>
      <w:proofErr w:type="spellStart"/>
      <w:r w:rsidRPr="003A2793">
        <w:rPr>
          <w:rFonts w:ascii="Arial" w:hAnsi="Arial" w:cs="Arial"/>
          <w:color w:val="000000" w:themeColor="text1"/>
          <w:sz w:val="20"/>
          <w:szCs w:val="20"/>
        </w:rPr>
        <w:t>μg</w:t>
      </w:r>
      <w:proofErr w:type="spellEnd"/>
      <w:r w:rsidRPr="003A2793">
        <w:rPr>
          <w:rFonts w:ascii="Arial" w:hAnsi="Arial" w:cs="Arial"/>
          <w:color w:val="000000" w:themeColor="text1"/>
          <w:sz w:val="20"/>
          <w:szCs w:val="20"/>
        </w:rPr>
        <w:t>/</w:t>
      </w:r>
      <w:proofErr w:type="spellStart"/>
      <w:r w:rsidRPr="003A2793">
        <w:rPr>
          <w:rFonts w:ascii="Arial" w:hAnsi="Arial" w:cs="Arial"/>
          <w:color w:val="000000" w:themeColor="text1"/>
          <w:sz w:val="20"/>
          <w:szCs w:val="20"/>
        </w:rPr>
        <w:t>mL.</w:t>
      </w:r>
      <w:proofErr w:type="spellEnd"/>
      <w:r w:rsidRPr="003A2793">
        <w:rPr>
          <w:rFonts w:ascii="Arial" w:hAnsi="Arial" w:cs="Arial"/>
          <w:color w:val="000000" w:themeColor="text1"/>
          <w:sz w:val="20"/>
          <w:szCs w:val="20"/>
        </w:rPr>
        <w:t xml:space="preserve"> </w:t>
      </w:r>
      <w:bookmarkStart w:id="0" w:name="_Hlk85044484"/>
      <w:r w:rsidRPr="003A2793">
        <w:rPr>
          <w:rFonts w:ascii="Arial" w:hAnsi="Arial" w:cs="Arial"/>
          <w:color w:val="000000" w:themeColor="text1"/>
          <w:sz w:val="20"/>
          <w:szCs w:val="20"/>
        </w:rPr>
        <w:t xml:space="preserve">For human polyclonal sera (starting with 10-fold dilution), two-fold serial dilutions were incubated with equimolar concentrations (200 </w:t>
      </w:r>
      <w:proofErr w:type="spellStart"/>
      <w:r w:rsidRPr="003A2793">
        <w:rPr>
          <w:rFonts w:ascii="Arial" w:hAnsi="Arial" w:cs="Arial"/>
          <w:color w:val="000000" w:themeColor="text1"/>
          <w:sz w:val="20"/>
          <w:szCs w:val="20"/>
        </w:rPr>
        <w:t>ffu</w:t>
      </w:r>
      <w:proofErr w:type="spellEnd"/>
      <w:r w:rsidRPr="003A2793">
        <w:rPr>
          <w:rFonts w:ascii="Arial" w:hAnsi="Arial" w:cs="Arial"/>
          <w:color w:val="000000" w:themeColor="text1"/>
          <w:sz w:val="20"/>
          <w:szCs w:val="20"/>
        </w:rPr>
        <w:t xml:space="preserve">/well) of each of the flavivirus stocks diluted in serum-free DMEM and incubated at </w:t>
      </w:r>
      <w:bookmarkStart w:id="1" w:name="_Hlk85038766"/>
      <w:r w:rsidRPr="003A2793">
        <w:rPr>
          <w:rFonts w:ascii="Arial" w:hAnsi="Arial" w:cs="Arial"/>
          <w:color w:val="000000" w:themeColor="text1"/>
          <w:sz w:val="20"/>
          <w:szCs w:val="20"/>
        </w:rPr>
        <w:t>37°C</w:t>
      </w:r>
      <w:bookmarkStart w:id="2" w:name="_Hlk85038559"/>
      <w:r w:rsidRPr="003A2793">
        <w:rPr>
          <w:rFonts w:ascii="Arial" w:hAnsi="Arial" w:cs="Arial"/>
          <w:color w:val="000000" w:themeColor="text1"/>
          <w:sz w:val="20"/>
          <w:szCs w:val="20"/>
        </w:rPr>
        <w:t xml:space="preserve"> in 5% CO</w:t>
      </w:r>
      <w:r w:rsidRPr="003A2793">
        <w:rPr>
          <w:rFonts w:ascii="Arial" w:hAnsi="Arial" w:cs="Arial"/>
          <w:color w:val="000000" w:themeColor="text1"/>
          <w:sz w:val="20"/>
          <w:szCs w:val="20"/>
          <w:vertAlign w:val="subscript"/>
        </w:rPr>
        <w:t>2</w:t>
      </w:r>
      <w:bookmarkEnd w:id="2"/>
      <w:r w:rsidRPr="003A2793">
        <w:rPr>
          <w:rFonts w:ascii="Arial" w:hAnsi="Arial" w:cs="Arial"/>
          <w:color w:val="000000" w:themeColor="text1"/>
          <w:sz w:val="20"/>
          <w:szCs w:val="20"/>
        </w:rPr>
        <w:t xml:space="preserve"> for </w:t>
      </w:r>
      <w:r w:rsidR="00CC680D">
        <w:rPr>
          <w:rFonts w:ascii="Arial" w:hAnsi="Arial" w:cs="Arial"/>
          <w:color w:val="000000" w:themeColor="text1"/>
          <w:sz w:val="20"/>
          <w:szCs w:val="20"/>
        </w:rPr>
        <w:t>1h</w:t>
      </w:r>
      <w:r w:rsidRPr="003A2793">
        <w:rPr>
          <w:rFonts w:ascii="Arial" w:hAnsi="Arial" w:cs="Arial"/>
          <w:color w:val="000000" w:themeColor="text1"/>
          <w:sz w:val="20"/>
          <w:szCs w:val="20"/>
        </w:rPr>
        <w:t xml:space="preserve"> </w:t>
      </w:r>
      <w:bookmarkEnd w:id="1"/>
      <w:r w:rsidRPr="003A2793">
        <w:rPr>
          <w:rFonts w:ascii="Arial" w:hAnsi="Arial" w:cs="Arial"/>
          <w:color w:val="000000" w:themeColor="text1"/>
          <w:sz w:val="20"/>
          <w:szCs w:val="20"/>
        </w:rPr>
        <w:t xml:space="preserve">before adding to Vero cells seeded at 180,000 cells/mL the day prior. </w:t>
      </w:r>
      <w:bookmarkEnd w:id="0"/>
      <w:r w:rsidRPr="003A2793">
        <w:rPr>
          <w:rFonts w:ascii="Arial" w:hAnsi="Arial" w:cs="Arial"/>
          <w:color w:val="000000" w:themeColor="text1"/>
          <w:sz w:val="20"/>
          <w:szCs w:val="20"/>
        </w:rPr>
        <w:t xml:space="preserve">After 1h adsorption, the cells were </w:t>
      </w:r>
      <w:proofErr w:type="spellStart"/>
      <w:r w:rsidRPr="003A2793">
        <w:rPr>
          <w:rFonts w:ascii="Arial" w:hAnsi="Arial" w:cs="Arial"/>
          <w:color w:val="000000" w:themeColor="text1"/>
          <w:sz w:val="20"/>
          <w:szCs w:val="20"/>
        </w:rPr>
        <w:t>overlayed</w:t>
      </w:r>
      <w:proofErr w:type="spellEnd"/>
      <w:r w:rsidRPr="003A2793">
        <w:rPr>
          <w:rFonts w:ascii="Arial" w:hAnsi="Arial" w:cs="Arial"/>
          <w:color w:val="000000" w:themeColor="text1"/>
          <w:sz w:val="20"/>
          <w:szCs w:val="20"/>
        </w:rPr>
        <w:t xml:space="preserve"> with 1% carboxymethylcellulose (Sigma-</w:t>
      </w:r>
      <w:r w:rsidRPr="003A2793">
        <w:rPr>
          <w:rFonts w:ascii="Arial" w:hAnsi="Arial" w:cs="Arial"/>
          <w:color w:val="000000" w:themeColor="text1"/>
          <w:sz w:val="20"/>
          <w:szCs w:val="20"/>
        </w:rPr>
        <w:lastRenderedPageBreak/>
        <w:t xml:space="preserve">Aldrich Inc., St. Louis, MO, USA) in DMEM with 2% FBS. </w:t>
      </w:r>
      <w:r w:rsidRPr="00121234">
        <w:rPr>
          <w:rFonts w:ascii="Arial" w:hAnsi="Arial" w:cs="Arial"/>
          <w:sz w:val="20"/>
          <w:szCs w:val="20"/>
        </w:rPr>
        <w:t>Immunostaining was performed by adding serotype-specific MHIAF</w:t>
      </w:r>
      <w:r>
        <w:rPr>
          <w:rFonts w:ascii="Arial" w:hAnsi="Arial" w:cs="Arial"/>
          <w:sz w:val="20"/>
          <w:szCs w:val="20"/>
        </w:rPr>
        <w:t>. T</w:t>
      </w:r>
      <w:r w:rsidRPr="00D14AB5">
        <w:rPr>
          <w:rFonts w:ascii="Arial" w:hAnsi="Arial" w:cs="Arial"/>
          <w:sz w:val="20"/>
          <w:szCs w:val="20"/>
        </w:rPr>
        <w:t>he i</w:t>
      </w:r>
      <w:r w:rsidRPr="003A44E1">
        <w:rPr>
          <w:rFonts w:ascii="Arial" w:hAnsi="Arial" w:cs="Arial"/>
          <w:sz w:val="20"/>
          <w:szCs w:val="20"/>
        </w:rPr>
        <w:t>nfection foci were visualized using a peroxidase substrate kit, Vector</w:t>
      </w:r>
      <w:r>
        <w:rPr>
          <w:rFonts w:ascii="Arial" w:hAnsi="Arial" w:cs="Arial"/>
          <w:sz w:val="20"/>
          <w:szCs w:val="20"/>
        </w:rPr>
        <w:t xml:space="preserve"> </w:t>
      </w:r>
      <w:r w:rsidRPr="003A44E1">
        <w:rPr>
          <w:rFonts w:ascii="Arial" w:hAnsi="Arial" w:cs="Arial"/>
          <w:sz w:val="20"/>
          <w:szCs w:val="20"/>
        </w:rPr>
        <w:t>VIP SK-4600 (Vector Laboratories, Inc., Burlingame, CA, USA), follow</w:t>
      </w:r>
      <w:r w:rsidRPr="005F224E">
        <w:rPr>
          <w:rFonts w:ascii="Arial" w:hAnsi="Arial" w:cs="Arial"/>
          <w:sz w:val="20"/>
          <w:szCs w:val="20"/>
        </w:rPr>
        <w:t>ing the manufacturer’s instructions. Each plate included infected and uninfected cell controls</w:t>
      </w:r>
      <w:r w:rsidRPr="000015A4">
        <w:rPr>
          <w:rFonts w:ascii="Arial" w:hAnsi="Arial" w:cs="Arial"/>
          <w:sz w:val="20"/>
          <w:szCs w:val="20"/>
        </w:rPr>
        <w:t xml:space="preserve"> and naïve hu</w:t>
      </w:r>
      <w:r w:rsidRPr="003E5B3B">
        <w:rPr>
          <w:rFonts w:ascii="Arial" w:hAnsi="Arial" w:cs="Arial"/>
          <w:sz w:val="20"/>
          <w:szCs w:val="20"/>
        </w:rPr>
        <w:t>man serum</w:t>
      </w:r>
      <w:r w:rsidRPr="0013113B">
        <w:rPr>
          <w:rFonts w:ascii="Arial" w:hAnsi="Arial" w:cs="Arial"/>
          <w:sz w:val="20"/>
          <w:szCs w:val="20"/>
        </w:rPr>
        <w:t>. The microneutralization antibody titers of each serum against each virus were defined as the reciprocal of the antibody dilution</w:t>
      </w:r>
      <w:r>
        <w:rPr>
          <w:rFonts w:ascii="Arial" w:hAnsi="Arial" w:cs="Arial"/>
          <w:sz w:val="20"/>
          <w:szCs w:val="20"/>
        </w:rPr>
        <w:t xml:space="preserve"> with the percentage of reduction of virus infectivity</w:t>
      </w:r>
      <w:r w:rsidRPr="003A44E1">
        <w:rPr>
          <w:rFonts w:ascii="Arial" w:hAnsi="Arial" w:cs="Arial"/>
          <w:sz w:val="20"/>
          <w:szCs w:val="20"/>
        </w:rPr>
        <w:t xml:space="preserve"> relative to the challenge virus dose for each plate.</w:t>
      </w:r>
      <w:r>
        <w:rPr>
          <w:rFonts w:ascii="Arial" w:hAnsi="Arial" w:cs="Arial"/>
          <w:sz w:val="20"/>
          <w:szCs w:val="20"/>
        </w:rPr>
        <w:t xml:space="preserve"> </w:t>
      </w:r>
      <w:r w:rsidRPr="00337314">
        <w:rPr>
          <w:rFonts w:ascii="Arial" w:hAnsi="Arial" w:cs="Arial"/>
          <w:sz w:val="20"/>
          <w:szCs w:val="20"/>
        </w:rPr>
        <w:t>We performed the analysis at FRμNT50, 75</w:t>
      </w:r>
      <w:r>
        <w:rPr>
          <w:rFonts w:ascii="Arial" w:hAnsi="Arial" w:cs="Arial"/>
          <w:sz w:val="20"/>
          <w:szCs w:val="20"/>
        </w:rPr>
        <w:t>,</w:t>
      </w:r>
      <w:r w:rsidRPr="00337314">
        <w:rPr>
          <w:rFonts w:ascii="Arial" w:hAnsi="Arial" w:cs="Arial"/>
          <w:sz w:val="20"/>
          <w:szCs w:val="20"/>
        </w:rPr>
        <w:t xml:space="preserve"> and 90</w:t>
      </w:r>
      <w:r>
        <w:rPr>
          <w:rFonts w:ascii="Arial" w:hAnsi="Arial" w:cs="Arial"/>
          <w:sz w:val="20"/>
          <w:szCs w:val="20"/>
        </w:rPr>
        <w:t xml:space="preserve"> as 50%, 75%, or 90% reduction, respectively, </w:t>
      </w:r>
      <w:r w:rsidRPr="00337314">
        <w:rPr>
          <w:rFonts w:ascii="Arial" w:hAnsi="Arial" w:cs="Arial"/>
          <w:sz w:val="20"/>
          <w:szCs w:val="20"/>
        </w:rPr>
        <w:t>and found that reporting the more stringent FR</w:t>
      </w:r>
      <w:r w:rsidRPr="00602334">
        <w:rPr>
          <w:rFonts w:ascii="Arial" w:hAnsi="Arial" w:cs="Arial"/>
          <w:bCs/>
          <w:color w:val="000000" w:themeColor="text1"/>
          <w:sz w:val="20"/>
          <w:szCs w:val="20"/>
        </w:rPr>
        <w:t>μ</w:t>
      </w:r>
      <w:r w:rsidRPr="00337314">
        <w:rPr>
          <w:rFonts w:ascii="Arial" w:hAnsi="Arial" w:cs="Arial"/>
          <w:sz w:val="20"/>
          <w:szCs w:val="20"/>
        </w:rPr>
        <w:t>NT90 showed a more conservative threshold of virus neutralization ti</w:t>
      </w:r>
      <w:r w:rsidRPr="007A4190">
        <w:rPr>
          <w:rFonts w:ascii="Arial" w:hAnsi="Arial" w:cs="Arial"/>
          <w:sz w:val="20"/>
          <w:szCs w:val="20"/>
        </w:rPr>
        <w:t xml:space="preserve">ters and, consequently, a better grasp of exposure history and breadth of neutralization to aid the serum </w:t>
      </w:r>
      <w:r w:rsidRPr="00DD6F2E">
        <w:rPr>
          <w:rFonts w:ascii="Arial" w:hAnsi="Arial" w:cs="Arial"/>
          <w:sz w:val="20"/>
          <w:szCs w:val="20"/>
        </w:rPr>
        <w:t xml:space="preserve">classification as primary </w:t>
      </w:r>
      <w:r w:rsidRPr="002915B3">
        <w:rPr>
          <w:rFonts w:ascii="Arial" w:hAnsi="Arial" w:cs="Arial"/>
          <w:sz w:val="20"/>
          <w:szCs w:val="20"/>
        </w:rPr>
        <w:t>or repeat</w:t>
      </w:r>
      <w:r w:rsidRPr="006C4E1B">
        <w:rPr>
          <w:rFonts w:ascii="Arial" w:hAnsi="Arial" w:cs="Arial"/>
          <w:sz w:val="20"/>
          <w:szCs w:val="20"/>
        </w:rPr>
        <w:t xml:space="preserve"> DENV (Supplementary Table </w:t>
      </w:r>
      <w:r w:rsidRPr="00353F28">
        <w:rPr>
          <w:rFonts w:ascii="Arial" w:hAnsi="Arial" w:cs="Arial"/>
          <w:sz w:val="20"/>
          <w:szCs w:val="20"/>
        </w:rPr>
        <w:t>1</w:t>
      </w:r>
      <w:r w:rsidRPr="002915B3">
        <w:rPr>
          <w:rFonts w:ascii="Arial" w:hAnsi="Arial" w:cs="Arial"/>
          <w:sz w:val="20"/>
          <w:szCs w:val="20"/>
        </w:rPr>
        <w:t>)</w:t>
      </w:r>
      <w:r w:rsidRPr="006C4E1B">
        <w:rPr>
          <w:rFonts w:ascii="Arial" w:hAnsi="Arial" w:cs="Arial"/>
          <w:sz w:val="20"/>
          <w:szCs w:val="20"/>
        </w:rPr>
        <w:t>.</w:t>
      </w:r>
    </w:p>
    <w:p w14:paraId="6C1C99E8" w14:textId="77777777" w:rsidR="004D12E0" w:rsidRDefault="004D12E0" w:rsidP="00CC299A">
      <w:pPr>
        <w:spacing w:line="480" w:lineRule="auto"/>
        <w:ind w:firstLine="720"/>
        <w:jc w:val="both"/>
        <w:rPr>
          <w:rFonts w:ascii="Arial" w:hAnsi="Arial" w:cs="Arial"/>
          <w:sz w:val="20"/>
          <w:szCs w:val="20"/>
        </w:rPr>
      </w:pPr>
    </w:p>
    <w:p w14:paraId="51CB233C" w14:textId="77777777" w:rsidR="00CC299A" w:rsidRPr="003A2793" w:rsidRDefault="00CC299A" w:rsidP="00CC299A">
      <w:pPr>
        <w:rPr>
          <w:rFonts w:ascii="Arial" w:hAnsi="Arial" w:cs="Arial"/>
          <w:b/>
          <w:color w:val="000000" w:themeColor="text1"/>
          <w:sz w:val="20"/>
          <w:szCs w:val="20"/>
        </w:rPr>
      </w:pPr>
      <w:r w:rsidRPr="00BB6C65">
        <w:rPr>
          <w:rFonts w:ascii="Arial" w:hAnsi="Arial" w:cs="Arial"/>
          <w:b/>
          <w:color w:val="000000" w:themeColor="text1"/>
          <w:sz w:val="20"/>
          <w:szCs w:val="20"/>
        </w:rPr>
        <w:t>Focus reduction microneutralization (</w:t>
      </w:r>
      <w:proofErr w:type="spellStart"/>
      <w:r w:rsidRPr="00BB6C65">
        <w:rPr>
          <w:rFonts w:ascii="Arial" w:hAnsi="Arial" w:cs="Arial"/>
          <w:b/>
          <w:color w:val="000000" w:themeColor="text1"/>
          <w:sz w:val="20"/>
          <w:szCs w:val="20"/>
        </w:rPr>
        <w:t>FRμNT</w:t>
      </w:r>
      <w:proofErr w:type="spellEnd"/>
      <w:r w:rsidRPr="00BB6C65">
        <w:rPr>
          <w:rFonts w:ascii="Arial" w:hAnsi="Arial" w:cs="Arial"/>
          <w:b/>
          <w:color w:val="000000" w:themeColor="text1"/>
          <w:sz w:val="20"/>
          <w:szCs w:val="20"/>
        </w:rPr>
        <w:t>)-ELISA</w:t>
      </w:r>
    </w:p>
    <w:p w14:paraId="7913880A" w14:textId="77777777" w:rsidR="00CC299A" w:rsidRPr="003A2793" w:rsidRDefault="00CC299A" w:rsidP="00CC299A">
      <w:pPr>
        <w:rPr>
          <w:rFonts w:ascii="Arial" w:hAnsi="Arial" w:cs="Arial"/>
          <w:b/>
          <w:color w:val="000000" w:themeColor="text1"/>
          <w:sz w:val="20"/>
          <w:szCs w:val="20"/>
        </w:rPr>
      </w:pPr>
    </w:p>
    <w:p w14:paraId="7D56E044" w14:textId="2D8623A2" w:rsidR="00CC299A" w:rsidRPr="003A2793" w:rsidRDefault="00CC299A" w:rsidP="00CC299A">
      <w:pPr>
        <w:spacing w:line="480" w:lineRule="auto"/>
        <w:ind w:firstLine="720"/>
        <w:jc w:val="both"/>
        <w:rPr>
          <w:rFonts w:ascii="Arial" w:hAnsi="Arial" w:cs="Arial"/>
          <w:color w:val="000000" w:themeColor="text1"/>
          <w:sz w:val="20"/>
          <w:szCs w:val="20"/>
        </w:rPr>
      </w:pPr>
      <w:r>
        <w:rPr>
          <w:rFonts w:ascii="Arial" w:hAnsi="Arial" w:cs="Arial"/>
          <w:color w:val="000000" w:themeColor="text1"/>
          <w:sz w:val="20"/>
          <w:szCs w:val="20"/>
        </w:rPr>
        <w:t>We established an</w:t>
      </w:r>
      <w:r w:rsidRPr="003A2793">
        <w:rPr>
          <w:rFonts w:ascii="Arial" w:hAnsi="Arial" w:cs="Arial"/>
          <w:color w:val="000000" w:themeColor="text1"/>
          <w:sz w:val="20"/>
          <w:szCs w:val="20"/>
        </w:rPr>
        <w:t xml:space="preserve"> </w:t>
      </w:r>
      <w:r>
        <w:rPr>
          <w:rFonts w:ascii="Arial" w:hAnsi="Arial" w:cs="Arial"/>
          <w:color w:val="000000" w:themeColor="text1"/>
          <w:sz w:val="20"/>
          <w:szCs w:val="20"/>
        </w:rPr>
        <w:t>in-house ELISA-based microneutralization test</w:t>
      </w:r>
      <w:r w:rsidRPr="003A2793">
        <w:rPr>
          <w:rFonts w:ascii="Arial" w:hAnsi="Arial" w:cs="Arial"/>
          <w:color w:val="000000" w:themeColor="text1"/>
          <w:sz w:val="20"/>
          <w:szCs w:val="20"/>
        </w:rPr>
        <w:t xml:space="preserve"> </w:t>
      </w:r>
      <w:r>
        <w:rPr>
          <w:rFonts w:ascii="Arial" w:hAnsi="Arial" w:cs="Arial"/>
          <w:color w:val="000000" w:themeColor="text1"/>
          <w:sz w:val="20"/>
          <w:szCs w:val="20"/>
        </w:rPr>
        <w:t>for high-throughput measurement of virus neutralization by detecting the optical density (OD) signal from infected cells. This method was used for virus neutralization screening in hybridoma, small-scale and large-scale expressed purified human monoclonal antibodies</w:t>
      </w:r>
      <w:r w:rsidRPr="003A2793">
        <w:rPr>
          <w:rFonts w:ascii="Arial" w:hAnsi="Arial" w:cs="Arial"/>
          <w:color w:val="000000" w:themeColor="text1"/>
          <w:sz w:val="20"/>
          <w:szCs w:val="20"/>
        </w:rPr>
        <w:t>.</w:t>
      </w:r>
      <w:r>
        <w:rPr>
          <w:rFonts w:ascii="Arial" w:hAnsi="Arial" w:cs="Arial"/>
          <w:color w:val="000000" w:themeColor="text1"/>
          <w:sz w:val="20"/>
          <w:szCs w:val="20"/>
        </w:rPr>
        <w:t xml:space="preserve"> The standard </w:t>
      </w:r>
      <w:proofErr w:type="spellStart"/>
      <w:r w:rsidRPr="0032497B">
        <w:rPr>
          <w:rFonts w:ascii="Arial" w:hAnsi="Arial" w:cs="Arial"/>
          <w:color w:val="000000" w:themeColor="text1"/>
          <w:sz w:val="20"/>
          <w:szCs w:val="20"/>
        </w:rPr>
        <w:t>FRμNT</w:t>
      </w:r>
      <w:proofErr w:type="spellEnd"/>
      <w:r>
        <w:rPr>
          <w:rFonts w:ascii="Arial" w:hAnsi="Arial" w:cs="Arial"/>
          <w:color w:val="000000" w:themeColor="text1"/>
          <w:sz w:val="20"/>
          <w:szCs w:val="20"/>
        </w:rPr>
        <w:t xml:space="preserve"> was performed as described above with modifications. Specifically, virus-infected plates were </w:t>
      </w:r>
      <w:r w:rsidRPr="003A2793">
        <w:rPr>
          <w:rFonts w:ascii="Arial" w:hAnsi="Arial" w:cs="Arial"/>
          <w:color w:val="000000" w:themeColor="text1"/>
          <w:sz w:val="20"/>
          <w:szCs w:val="20"/>
        </w:rPr>
        <w:t>incubat</w:t>
      </w:r>
      <w:r>
        <w:rPr>
          <w:rFonts w:ascii="Arial" w:hAnsi="Arial" w:cs="Arial"/>
          <w:color w:val="000000" w:themeColor="text1"/>
          <w:sz w:val="20"/>
          <w:szCs w:val="20"/>
        </w:rPr>
        <w:t xml:space="preserve">ed for 72 h </w:t>
      </w:r>
      <w:r w:rsidRPr="003A2793">
        <w:rPr>
          <w:rFonts w:ascii="Arial" w:hAnsi="Arial" w:cs="Arial"/>
          <w:color w:val="000000" w:themeColor="text1"/>
          <w:sz w:val="20"/>
          <w:szCs w:val="20"/>
        </w:rPr>
        <w:t>at 37°C with 5% CO</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fixed with ice-cold 75% acetone in 1x PBS for 30 min</w:t>
      </w:r>
      <w:r>
        <w:rPr>
          <w:rFonts w:ascii="Arial" w:hAnsi="Arial" w:cs="Arial"/>
          <w:color w:val="000000" w:themeColor="text1"/>
          <w:sz w:val="20"/>
          <w:szCs w:val="20"/>
        </w:rPr>
        <w:t>,</w:t>
      </w:r>
      <w:r w:rsidRPr="003A2793">
        <w:rPr>
          <w:rFonts w:ascii="Arial" w:hAnsi="Arial" w:cs="Arial"/>
          <w:color w:val="000000" w:themeColor="text1"/>
          <w:sz w:val="20"/>
          <w:szCs w:val="20"/>
        </w:rPr>
        <w:t xml:space="preserve"> </w:t>
      </w:r>
      <w:r w:rsidRPr="003A2793">
        <w:rPr>
          <w:rFonts w:ascii="Arial" w:hAnsi="Arial" w:cs="Arial"/>
          <w:color w:val="000000" w:themeColor="text1"/>
          <w:sz w:val="20"/>
          <w:szCs w:val="20"/>
        </w:rPr>
        <w:lastRenderedPageBreak/>
        <w:t xml:space="preserve">and air dried. Each plate included infected and uninfected cell controls and naïve human serum or purified isotype control antibodies. The ELISA was performed by adding 100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/well of unpurified, equimolar concentrations of previously described</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{"citationItems":[{"id":"ITEM-1","itemData":{"DOI":"10.3390/diagnostics11050741","ISSN":"20754418","PMID":"33919324","abstract":"Background: Dengue virus (DENV) infection remains a global public health concern. Enzyme-linked immunosorbent assays (ELISAs), which detect antibodies targeting the envelope (E) protein of DENV, serve as the front-line serological test for presumptive dengue diagnosis. Very few studies have determined the serostatus by detecting antibodies targeting the nonstructural protein 1 (NS1), which can function as diagnostic biomarkers to distinguish natural immunity from vaccine-induced immunity. Methods: We used community-acquired human serum specimens, with the serostatus confirmed by focus reduction microneutralization test (FRµNT), to evaluate the diagnostic performances of two NS1-based ELISA methods, namely, immunoglobulin G antibody-capture ELISA (NS1 GAC–ELISA) and indirect NS1 IgG ELISA, and compared the results with an E-based virus-like particle (VLP) GAC–ELISA. Results: NS1-based methods had comparable accuracies as VLP GAC–ELISA. Although the sensitivity in detecting anti-NS1 IgM was poor, indirect NS1 IgG ELISA showed similar limits of detection (~1–2 ng/mL) as NS1 GAC–ELISA in detecting anti-NS1 IgG. Combining the results from two or more tests as a composite reference standard can determine the DENV serostatus with a specificity reaching 100%. Conclusion: NS1-based ELISAs have comparable accuracies as VLP GAC–ELISA in determining dengue serostatus, which could effectively assist clinicians during assessments of vaccine eligibility.","author":[{"dropping-particle":"","family":"Galula","given":"Jedhan Ucat","non-dropping-particle":"","parse-names":false,"suffix":""},{"dropping-particle":"","family":"Salem","given":"Gielenny M.","non-dropping-particle":"","parse-names":false,"suffix":""},{"dropping-particle":"V.","family":"Destura","given":"Raul","non-dropping-particle":"","parse-names":false,"suffix":""},{"dropping-particle":"","family":"Remenyi","given":"Roland","non-dropping-particle":"","parse-names":false,"suffix":""},{"dropping-particle":"","family":"Chao","given":"Day Yu","non-dropping-particle":"","parse-names":false,"suffix":""}],"container-title":"Diagnostics","id":"ITEM-1","issue":"5","issued":{"date-parts":[["2021"]]},"page":"1-17","title":"Comparable accuracies of nonstructural protein 1-and envelope protein-based enzyme-linked immunosorbent assays in detecting anti-dengue immunoglobulin g antibodies","type":"article-journal","volume":"11"},"uris":["http://www.mendeley.com/documents/?uuid=754f87e4-d052-4ffb-b2f7-75f06193ae0d"]}],"mendeley":{"formattedCitation":"&lt;sup&gt;9&lt;/sup&gt;","plainTextFormattedCitation":"9","previouslyFormattedCitation":"&lt;sup&gt;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pan-flavivirus anti-E murine </w:t>
      </w:r>
      <w:proofErr w:type="spellStart"/>
      <w:r w:rsidRPr="003A2793">
        <w:rPr>
          <w:rFonts w:ascii="Arial" w:hAnsi="Arial" w:cs="Arial"/>
          <w:color w:val="000000" w:themeColor="text1"/>
          <w:sz w:val="20"/>
          <w:szCs w:val="20"/>
        </w:rPr>
        <w:t>MAb</w:t>
      </w:r>
      <w:proofErr w:type="spellEnd"/>
      <w:r w:rsidRPr="003A2793">
        <w:rPr>
          <w:rFonts w:ascii="Arial" w:hAnsi="Arial" w:cs="Arial"/>
          <w:color w:val="000000" w:themeColor="text1"/>
          <w:sz w:val="20"/>
          <w:szCs w:val="20"/>
        </w:rPr>
        <w:t xml:space="preserve"> FL0231 and anti- NS1 murine </w:t>
      </w:r>
      <w:proofErr w:type="spellStart"/>
      <w:r w:rsidRPr="003A2793">
        <w:rPr>
          <w:rFonts w:ascii="Arial" w:hAnsi="Arial" w:cs="Arial"/>
          <w:color w:val="000000" w:themeColor="text1"/>
          <w:sz w:val="20"/>
          <w:szCs w:val="20"/>
        </w:rPr>
        <w:t>MAb</w:t>
      </w:r>
      <w:proofErr w:type="spellEnd"/>
      <w:r w:rsidRPr="003A2793">
        <w:rPr>
          <w:rFonts w:ascii="Arial" w:hAnsi="Arial" w:cs="Arial"/>
          <w:color w:val="000000" w:themeColor="text1"/>
          <w:sz w:val="20"/>
          <w:szCs w:val="20"/>
        </w:rPr>
        <w:t xml:space="preserve"> mFL0221, which were kind gifts from Dr. L.-K. Chen (Tzu Chi University Hospital, Hualien, Taiwan). After incubating for 1</w:t>
      </w:r>
      <w:r>
        <w:rPr>
          <w:rFonts w:ascii="Arial" w:hAnsi="Arial" w:cs="Arial"/>
          <w:color w:val="000000" w:themeColor="text1"/>
          <w:sz w:val="20"/>
          <w:szCs w:val="20"/>
        </w:rPr>
        <w:t xml:space="preserve"> </w:t>
      </w:r>
      <w:r w:rsidRPr="003A2793">
        <w:rPr>
          <w:rFonts w:ascii="Arial" w:hAnsi="Arial" w:cs="Arial"/>
          <w:color w:val="000000" w:themeColor="text1"/>
          <w:sz w:val="20"/>
          <w:szCs w:val="20"/>
        </w:rPr>
        <w:t xml:space="preserve">h at 37°C, the plates were washed five times with 1x PBS/0.1% Tween-20 washing buffer. Peroxidase-conjugated goat anti-mouse IgG (Jackson </w:t>
      </w:r>
      <w:proofErr w:type="spellStart"/>
      <w:r w:rsidRPr="003A2793">
        <w:rPr>
          <w:rFonts w:ascii="Arial" w:hAnsi="Arial" w:cs="Arial"/>
          <w:color w:val="000000" w:themeColor="text1"/>
          <w:sz w:val="20"/>
          <w:szCs w:val="20"/>
        </w:rPr>
        <w:t>ImmunoResearch</w:t>
      </w:r>
      <w:proofErr w:type="spellEnd"/>
      <w:r w:rsidRPr="003A2793">
        <w:rPr>
          <w:rFonts w:ascii="Arial" w:hAnsi="Arial" w:cs="Arial"/>
          <w:color w:val="000000" w:themeColor="text1"/>
          <w:sz w:val="20"/>
          <w:szCs w:val="20"/>
        </w:rPr>
        <w:t xml:space="preserve"> Laboratories Inc., West Grove, PA, USA) diluted at 1:5,000 in 5% skimmed milk-1x PBS (0.1% Tween-20) was added to the wells, and the plates were incubated at 37°C for 1 h.  Finally, the plates were washed ten times, and the bound conjugate was detected with TMB substrate by measuring the absorbance at 450 nm/630nm. All the </w:t>
      </w:r>
      <w:r w:rsidR="00A40F23">
        <w:rPr>
          <w:rFonts w:ascii="Arial" w:hAnsi="Arial" w:cs="Arial"/>
          <w:color w:val="000000" w:themeColor="text1"/>
          <w:sz w:val="20"/>
          <w:szCs w:val="20"/>
        </w:rPr>
        <w:t>optical density (</w:t>
      </w:r>
      <w:r w:rsidRPr="003A2793">
        <w:rPr>
          <w:rFonts w:ascii="Arial" w:hAnsi="Arial" w:cs="Arial"/>
          <w:color w:val="000000" w:themeColor="text1"/>
          <w:sz w:val="20"/>
          <w:szCs w:val="20"/>
        </w:rPr>
        <w:t>OD</w:t>
      </w:r>
      <w:r w:rsidR="00A40F23">
        <w:rPr>
          <w:rFonts w:ascii="Arial" w:hAnsi="Arial" w:cs="Arial"/>
          <w:color w:val="000000" w:themeColor="text1"/>
          <w:sz w:val="20"/>
          <w:szCs w:val="20"/>
        </w:rPr>
        <w:t>)</w:t>
      </w:r>
      <w:r w:rsidRPr="003A2793">
        <w:rPr>
          <w:rFonts w:ascii="Arial" w:hAnsi="Arial" w:cs="Arial"/>
          <w:color w:val="000000" w:themeColor="text1"/>
          <w:sz w:val="20"/>
          <w:szCs w:val="20"/>
        </w:rPr>
        <w:t xml:space="preserve"> readings were normalized by subtracting the mean OD of uninfected controls from the mean OD of virus controls or the mean OD of samples. </w:t>
      </w:r>
      <w:bookmarkStart w:id="3" w:name="_Hlk85042706"/>
      <w:r w:rsidRPr="003A2793">
        <w:rPr>
          <w:rFonts w:ascii="Arial" w:hAnsi="Arial" w:cs="Arial"/>
          <w:color w:val="000000" w:themeColor="text1"/>
          <w:sz w:val="20"/>
          <w:szCs w:val="20"/>
        </w:rPr>
        <w:t xml:space="preserve">The cut-off value (for each plate) for the virus back titration is the mean normalized virus controls as a function of the working virus dilution, determined by </w:t>
      </w:r>
      <w:bookmarkEnd w:id="3"/>
      <w:r w:rsidRPr="003A2793">
        <w:rPr>
          <w:rFonts w:ascii="Arial" w:hAnsi="Arial" w:cs="Arial"/>
          <w:color w:val="000000" w:themeColor="text1"/>
          <w:sz w:val="20"/>
          <w:szCs w:val="20"/>
        </w:rPr>
        <w:t xml:space="preserve">applying a three-parameter non-linear curve fit. The microneutralization antibody titers of each serum or purified monoclonal antibodies against each virus were defined as the reciprocal of the antibody dilution that reduced virus infectivity (and consequently, color development) by 50% (FRμNT50) or 90% (FRμNT90) relative to the </w:t>
      </w:r>
      <w:r w:rsidR="00C22A13">
        <w:rPr>
          <w:rFonts w:ascii="Arial" w:hAnsi="Arial" w:cs="Arial"/>
          <w:color w:val="000000" w:themeColor="text1"/>
          <w:sz w:val="20"/>
          <w:szCs w:val="20"/>
        </w:rPr>
        <w:t xml:space="preserve">infecting </w:t>
      </w:r>
      <w:r w:rsidRPr="003A2793">
        <w:rPr>
          <w:rFonts w:ascii="Arial" w:hAnsi="Arial" w:cs="Arial"/>
          <w:color w:val="000000" w:themeColor="text1"/>
          <w:sz w:val="20"/>
          <w:szCs w:val="20"/>
        </w:rPr>
        <w:t xml:space="preserve">virus </w:t>
      </w:r>
      <w:r w:rsidR="00C22A13">
        <w:rPr>
          <w:rFonts w:ascii="Arial" w:hAnsi="Arial" w:cs="Arial"/>
          <w:color w:val="000000" w:themeColor="text1"/>
          <w:sz w:val="20"/>
          <w:szCs w:val="20"/>
        </w:rPr>
        <w:t>with control antibody or serum</w:t>
      </w:r>
      <w:r w:rsidR="00C22A13" w:rsidRPr="003A2793">
        <w:rPr>
          <w:rFonts w:ascii="Arial" w:hAnsi="Arial" w:cs="Arial"/>
          <w:color w:val="000000" w:themeColor="text1"/>
          <w:sz w:val="20"/>
          <w:szCs w:val="20"/>
        </w:rPr>
        <w:t xml:space="preserve"> </w:t>
      </w:r>
      <w:r w:rsidRPr="003A2793">
        <w:rPr>
          <w:rFonts w:ascii="Arial" w:hAnsi="Arial" w:cs="Arial"/>
          <w:color w:val="000000" w:themeColor="text1"/>
          <w:sz w:val="20"/>
          <w:szCs w:val="20"/>
        </w:rPr>
        <w:t xml:space="preserve">for each plate. All data were transformed for analysis, processed, and graphed by Graph Pad Prism (version 9.5.1, GraphPad Software Inc.). </w:t>
      </w:r>
    </w:p>
    <w:p w14:paraId="08E67BA1" w14:textId="77777777" w:rsidR="00CC299A" w:rsidRPr="0043354B" w:rsidRDefault="00CC299A" w:rsidP="00CC299A">
      <w:pPr>
        <w:spacing w:line="480" w:lineRule="auto"/>
        <w:jc w:val="both"/>
        <w:rPr>
          <w:rFonts w:ascii="Arial" w:hAnsi="Arial" w:cs="Arial"/>
          <w:sz w:val="20"/>
          <w:szCs w:val="20"/>
        </w:rPr>
      </w:pPr>
    </w:p>
    <w:p w14:paraId="5AD501F3"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b/>
          <w:color w:val="000000" w:themeColor="text1"/>
          <w:sz w:val="20"/>
          <w:szCs w:val="20"/>
        </w:rPr>
        <w:t>Single B cell sorting, Co-cultivation with EL4-B5 cells, and B cell screening by ELISA</w:t>
      </w:r>
    </w:p>
    <w:p w14:paraId="38B8C070" w14:textId="45E1A7EB" w:rsidR="00CC299A"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Freshly isolated PBMCs from KH1891 were stained on ice with fluorescently-conjugated anti-human antibodies: CD19-PE-Cy7 (Mat. No. 557835, BD Biosciences Pharmingen™, San Diego, CA, USA), IgM-PE (Code No., 709-116-073, Jackson </w:t>
      </w:r>
      <w:proofErr w:type="spellStart"/>
      <w:r w:rsidRPr="003A2793">
        <w:rPr>
          <w:rFonts w:ascii="Arial" w:hAnsi="Arial" w:cs="Arial"/>
          <w:color w:val="000000" w:themeColor="text1"/>
          <w:sz w:val="20"/>
          <w:szCs w:val="20"/>
        </w:rPr>
        <w:t>ImmunoResearch</w:t>
      </w:r>
      <w:proofErr w:type="spellEnd"/>
      <w:r w:rsidRPr="003A2793">
        <w:rPr>
          <w:rFonts w:ascii="Arial" w:hAnsi="Arial" w:cs="Arial"/>
          <w:color w:val="000000" w:themeColor="text1"/>
          <w:sz w:val="20"/>
          <w:szCs w:val="20"/>
        </w:rPr>
        <w:t xml:space="preserve"> Laboratories Inc., West Grove PA, USA), IgA-APC (Code No., 109-135-011, Jackson </w:t>
      </w:r>
      <w:proofErr w:type="spellStart"/>
      <w:r w:rsidRPr="003A2793">
        <w:rPr>
          <w:rFonts w:ascii="Arial" w:hAnsi="Arial" w:cs="Arial"/>
          <w:color w:val="000000" w:themeColor="text1"/>
          <w:sz w:val="20"/>
          <w:szCs w:val="20"/>
        </w:rPr>
        <w:t>ImmunoResearch</w:t>
      </w:r>
      <w:proofErr w:type="spellEnd"/>
      <w:r w:rsidRPr="003A2793">
        <w:rPr>
          <w:rFonts w:ascii="Arial" w:hAnsi="Arial" w:cs="Arial"/>
          <w:color w:val="000000" w:themeColor="text1"/>
          <w:sz w:val="20"/>
          <w:szCs w:val="20"/>
        </w:rPr>
        <w:t xml:space="preserve"> Laboratories Inc., West Grove, PA, USA), and </w:t>
      </w:r>
      <w:proofErr w:type="spellStart"/>
      <w:r w:rsidRPr="003A2793">
        <w:rPr>
          <w:rFonts w:ascii="Arial" w:hAnsi="Arial" w:cs="Arial"/>
          <w:color w:val="000000" w:themeColor="text1"/>
          <w:sz w:val="20"/>
          <w:szCs w:val="20"/>
        </w:rPr>
        <w:t>IgD</w:t>
      </w:r>
      <w:proofErr w:type="spellEnd"/>
      <w:r w:rsidRPr="003A2793">
        <w:rPr>
          <w:rFonts w:ascii="Arial" w:hAnsi="Arial" w:cs="Arial"/>
          <w:color w:val="000000" w:themeColor="text1"/>
          <w:sz w:val="20"/>
          <w:szCs w:val="20"/>
        </w:rPr>
        <w:t>-FITC (Mat</w:t>
      </w:r>
      <w:r w:rsidR="00E32F51">
        <w:rPr>
          <w:rFonts w:ascii="Arial" w:hAnsi="Arial" w:cs="Arial"/>
          <w:color w:val="000000" w:themeColor="text1"/>
          <w:sz w:val="20"/>
          <w:szCs w:val="20"/>
        </w:rPr>
        <w:t>.</w:t>
      </w:r>
      <w:r w:rsidRPr="003A2793">
        <w:rPr>
          <w:rFonts w:ascii="Arial" w:hAnsi="Arial" w:cs="Arial"/>
          <w:color w:val="000000" w:themeColor="text1"/>
          <w:sz w:val="20"/>
          <w:szCs w:val="20"/>
        </w:rPr>
        <w:t xml:space="preserve"> No., 555778, BD </w:t>
      </w:r>
      <w:proofErr w:type="spellStart"/>
      <w:r w:rsidRPr="003A2793">
        <w:rPr>
          <w:rFonts w:ascii="Arial" w:hAnsi="Arial" w:cs="Arial"/>
          <w:color w:val="000000" w:themeColor="text1"/>
          <w:sz w:val="20"/>
          <w:szCs w:val="20"/>
        </w:rPr>
        <w:t>BD</w:t>
      </w:r>
      <w:proofErr w:type="spellEnd"/>
      <w:r w:rsidRPr="003A2793">
        <w:rPr>
          <w:rFonts w:ascii="Arial" w:hAnsi="Arial" w:cs="Arial"/>
          <w:color w:val="000000" w:themeColor="text1"/>
          <w:sz w:val="20"/>
          <w:szCs w:val="20"/>
        </w:rPr>
        <w:t xml:space="preserve"> Biosciences Pharmingen™, San Diego, CA, USA) to </w:t>
      </w:r>
      <w:r>
        <w:rPr>
          <w:rFonts w:ascii="Arial" w:hAnsi="Arial" w:cs="Arial"/>
          <w:color w:val="000000" w:themeColor="text1"/>
          <w:sz w:val="20"/>
          <w:szCs w:val="20"/>
          <w:lang w:val="en-PH"/>
        </w:rPr>
        <w:t>select</w:t>
      </w:r>
      <w:r w:rsidRPr="003A2793">
        <w:rPr>
          <w:rFonts w:ascii="Arial" w:hAnsi="Arial" w:cs="Arial"/>
          <w:color w:val="000000" w:themeColor="text1"/>
          <w:sz w:val="20"/>
          <w:szCs w:val="20"/>
          <w:lang w:val="en-PH"/>
        </w:rPr>
        <w:t xml:space="preserve"> </w:t>
      </w:r>
      <w:r w:rsidRPr="003A2793">
        <w:rPr>
          <w:rFonts w:ascii="Arial" w:hAnsi="Arial" w:cs="Arial"/>
          <w:color w:val="000000" w:themeColor="text1"/>
          <w:sz w:val="20"/>
          <w:szCs w:val="20"/>
        </w:rPr>
        <w:t>CD19</w:t>
      </w:r>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IgM</w:t>
      </w:r>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IgA</w:t>
      </w:r>
      <w:r w:rsidRPr="003A2793">
        <w:rPr>
          <w:rFonts w:ascii="Arial" w:hAnsi="Arial" w:cs="Arial"/>
          <w:color w:val="000000" w:themeColor="text1"/>
          <w:sz w:val="20"/>
          <w:szCs w:val="20"/>
          <w:vertAlign w:val="superscript"/>
        </w:rPr>
        <w:t>–</w:t>
      </w:r>
      <w:proofErr w:type="spellStart"/>
      <w:r w:rsidRPr="003A2793">
        <w:rPr>
          <w:rFonts w:ascii="Arial" w:hAnsi="Arial" w:cs="Arial"/>
          <w:color w:val="000000" w:themeColor="text1"/>
          <w:sz w:val="20"/>
          <w:szCs w:val="20"/>
        </w:rPr>
        <w:t>IgD</w:t>
      </w:r>
      <w:proofErr w:type="spellEnd"/>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 xml:space="preserve"> B cell subpopulation </w:t>
      </w:r>
      <w:r w:rsidRPr="003A2793">
        <w:rPr>
          <w:rFonts w:ascii="Arial" w:hAnsi="Arial" w:cs="Arial"/>
          <w:color w:val="000000" w:themeColor="text1"/>
          <w:sz w:val="20"/>
          <w:szCs w:val="20"/>
          <w:lang w:val="en-PH"/>
        </w:rPr>
        <w:t>(Extended Data Fig. 2</w:t>
      </w:r>
      <w:r w:rsidR="00F3525B">
        <w:rPr>
          <w:rFonts w:ascii="Arial" w:hAnsi="Arial" w:cs="Arial"/>
          <w:color w:val="000000" w:themeColor="text1"/>
          <w:sz w:val="20"/>
          <w:szCs w:val="20"/>
          <w:lang w:val="en-PH"/>
        </w:rPr>
        <w:t>A and 2B</w:t>
      </w:r>
      <w:r w:rsidRPr="003A2793">
        <w:rPr>
          <w:rFonts w:ascii="Arial" w:hAnsi="Arial" w:cs="Arial"/>
          <w:color w:val="000000" w:themeColor="text1"/>
          <w:sz w:val="20"/>
          <w:szCs w:val="20"/>
          <w:lang w:val="en-PH"/>
        </w:rPr>
        <w:t xml:space="preserve">). </w:t>
      </w:r>
      <w:r w:rsidRPr="003A2793">
        <w:rPr>
          <w:rFonts w:ascii="Arial" w:hAnsi="Arial" w:cs="Arial"/>
          <w:color w:val="000000" w:themeColor="text1"/>
          <w:sz w:val="20"/>
          <w:szCs w:val="20"/>
        </w:rPr>
        <w:t>Single cells were sorted according to % yield excluding cell duplets and gated on the live CD19</w:t>
      </w:r>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IgM</w:t>
      </w:r>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IgD</w:t>
      </w:r>
      <w:r w:rsidRPr="003A2793">
        <w:rPr>
          <w:rFonts w:ascii="Arial" w:hAnsi="Arial" w:cs="Arial"/>
          <w:color w:val="000000" w:themeColor="text1"/>
          <w:sz w:val="20"/>
          <w:szCs w:val="20"/>
          <w:vertAlign w:val="superscript"/>
        </w:rPr>
        <w:t>-</w:t>
      </w:r>
      <w:r w:rsidRPr="003A2793">
        <w:rPr>
          <w:rFonts w:ascii="Arial" w:hAnsi="Arial" w:cs="Arial"/>
          <w:color w:val="000000" w:themeColor="text1"/>
          <w:sz w:val="20"/>
          <w:szCs w:val="20"/>
        </w:rPr>
        <w:t>IgA</w:t>
      </w:r>
      <w:r w:rsidRPr="003A2793">
        <w:rPr>
          <w:rFonts w:ascii="Arial" w:hAnsi="Arial" w:cs="Arial"/>
          <w:color w:val="000000" w:themeColor="text1"/>
          <w:sz w:val="20"/>
          <w:szCs w:val="20"/>
          <w:vertAlign w:val="superscript"/>
        </w:rPr>
        <w:t xml:space="preserve">- </w:t>
      </w:r>
      <w:r w:rsidRPr="003A2793">
        <w:rPr>
          <w:rFonts w:ascii="Arial" w:hAnsi="Arial" w:cs="Arial"/>
          <w:color w:val="000000" w:themeColor="text1"/>
          <w:sz w:val="20"/>
          <w:szCs w:val="20"/>
        </w:rPr>
        <w:t>B cells to determine the target fraction described previously</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{"citationItems":[{"id":"ITEM-1","itemData":{"DOI":"10.1038/nprot.2013.117","ISBN":"1114752800","ISSN":"17542189","PMID":"24030440","abstract":"Isolation of monoclonal antibodies is an important technique for understanding the specificities and characteristics of antibodies that underlie the humoral immune response to a given antigen. Here we describe a technique for isolating monoclonal antibodies from human peripheral blood mononuclear cells. The protocol includes strategies for the isolation of switch-memory B cells from peripheral blood, the culture of B cells, the removal of the supernatant for screening and the lysis of B cells in preparation for immunoglobulin heavy-chain and light-chain amplification and cloning. We have observed that the addition of cytokines IL-2, IL-21 and irradiated 3T3-msCD40L feeder cells can successfully stimulate switch-memory B cells to produce high concentrations of IgG in the supernatant. The supernatant may then be screened by appropriate assays for binding or for other functions. This protocol can be completed in 2 weeks. It is adaptable to use in other species and enables the efficient isolation of antibodies with a desired functional characteristic without prior knowledge of specificity.","author":[{"dropping-particle":"","family":"Huang","given":"Jinghe","non-dropping-particle":"","parse-names":false,"suffix":""},{"dropping-particle":"","family":"Doria-Rose","given":"Nicole A.","non-dropping-particle":"","parse-names":false,"suffix":""},{"dropping-particle":"","family":"Longo","given":"Nancy S.","non-dropping-particle":"","parse-names":false,"suffix":""},{"dropping-particle":"","family":"Laub","given":"Leo","non-dropping-particle":"","parse-names":false,"suffix":""},{"dropping-particle":"","family":"Lin","given":"Chien Li","non-dropping-particle":"","parse-names":false,"suffix":""},{"dropping-particle":"","family":"Turk","given":"Ellen","non-dropping-particle":"","parse-names":false,"suffix":""},{"dropping-particle":"","family":"Kang","given":"Byong H.","non-dropping-particle":"","parse-names":false,"suffix":""},{"dropping-particle":"","family":"Migueles","given":"Stephen A.","non-dropping-particle":"","parse-names":false,"suffix":""},{"dropping-particle":"","family":"Bailer","given":"Robert T.","non-dropping-particle":"","parse-names":false,"suffix":""},{"dropping-particle":"","family":"Mascola","given":"John R.","non-dropping-particle":"","parse-names":false,"suffix":""},{"dropping-particle":"","family":"Connors","given":"Mark","non-dropping-particle":"","parse-names":false,"suffix":""}],"container-title":"Nature Protocols","id":"ITEM-1","issue":"10","issued":{"date-parts":[["2013"]]},"page":"1907-1915","publisher":"Nature Publishing Group","title":"Isolation of human monoclonal antibodies from peripheral blood B cells","type":"article-journal","volume":"8"},"uris":["http://www.mendeley.com/documents/?uuid=247f69aa-dd80-44b2-891e-b52f9651a07e"]}],"mendeley":{"formattedCitation":"&lt;sup&gt;10&lt;/sup&gt;","plainTextFormattedCitation":"10","previouslyFormattedCitation":"&lt;sup&gt;10&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10</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Compensation controls comprised a positively stained cell population and a negative or unstained cell population. Sorted B cells were immediately co-cultivated with irradiated EL4-B5 feeder cells expressing CD40L at a seeding density of 3 B cells per well in 384-well plates in the presence of IL-21 and IL-2 in complete </w:t>
      </w:r>
      <w:proofErr w:type="spellStart"/>
      <w:r w:rsidR="004706A1">
        <w:rPr>
          <w:rFonts w:ascii="Arial" w:hAnsi="Arial" w:cs="Arial"/>
          <w:color w:val="000000" w:themeColor="text1"/>
          <w:sz w:val="20"/>
          <w:szCs w:val="20"/>
        </w:rPr>
        <w:t>Iscove</w:t>
      </w:r>
      <w:r w:rsidR="00515192">
        <w:rPr>
          <w:rFonts w:ascii="Arial" w:hAnsi="Arial" w:cs="Arial"/>
          <w:color w:val="000000" w:themeColor="text1"/>
          <w:sz w:val="20"/>
          <w:szCs w:val="20"/>
        </w:rPr>
        <w:t>’s</w:t>
      </w:r>
      <w:proofErr w:type="spellEnd"/>
      <w:r w:rsidR="004706A1">
        <w:rPr>
          <w:rFonts w:ascii="Arial" w:hAnsi="Arial" w:cs="Arial"/>
          <w:color w:val="000000" w:themeColor="text1"/>
          <w:sz w:val="20"/>
          <w:szCs w:val="20"/>
        </w:rPr>
        <w:t xml:space="preserve"> modified Dulbecco medium (</w:t>
      </w:r>
      <w:r w:rsidRPr="003A2793">
        <w:rPr>
          <w:rFonts w:ascii="Arial" w:hAnsi="Arial" w:cs="Arial"/>
          <w:color w:val="000000" w:themeColor="text1"/>
          <w:sz w:val="20"/>
          <w:szCs w:val="20"/>
        </w:rPr>
        <w:t>IMDM,</w:t>
      </w:r>
      <w:r w:rsidR="004706A1">
        <w:rPr>
          <w:rFonts w:ascii="Arial" w:hAnsi="Arial" w:cs="Arial"/>
          <w:color w:val="000000" w:themeColor="text1"/>
          <w:sz w:val="20"/>
          <w:szCs w:val="20"/>
        </w:rPr>
        <w:t xml:space="preserve"> </w:t>
      </w:r>
      <w:proofErr w:type="spellStart"/>
      <w:r w:rsidR="004706A1" w:rsidRPr="00E706C6">
        <w:rPr>
          <w:rFonts w:ascii="Arial" w:hAnsi="Arial" w:cs="Arial"/>
          <w:sz w:val="20"/>
          <w:szCs w:val="20"/>
        </w:rPr>
        <w:t>Thermo</w:t>
      </w:r>
      <w:proofErr w:type="spellEnd"/>
      <w:r w:rsidR="004706A1" w:rsidRPr="00E706C6">
        <w:rPr>
          <w:rFonts w:ascii="Arial" w:hAnsi="Arial" w:cs="Arial"/>
          <w:sz w:val="20"/>
          <w:szCs w:val="20"/>
        </w:rPr>
        <w:t xml:space="preserve"> Fisher Scientific, Inc., Rockford, IL, USA</w:t>
      </w:r>
      <w:r w:rsidR="004706A1">
        <w:rPr>
          <w:rFonts w:ascii="Arial" w:hAnsi="Arial" w:cs="Arial"/>
          <w:color w:val="000000" w:themeColor="text1"/>
          <w:sz w:val="20"/>
          <w:szCs w:val="20"/>
        </w:rPr>
        <w:t>)</w:t>
      </w:r>
      <w:r w:rsidRPr="003A2793">
        <w:rPr>
          <w:rFonts w:ascii="Arial" w:hAnsi="Arial" w:cs="Arial"/>
          <w:color w:val="000000" w:themeColor="text1"/>
          <w:sz w:val="20"/>
          <w:szCs w:val="20"/>
        </w:rPr>
        <w:t xml:space="preserve"> incubated at 37°C with 5% CO</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and left undisturbed for two weeks. After 13 days of cultivation, 40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of the culture supernatant from each well was collected and independently screened for binding to the cell culture supernatant containing ZIKV particles by antigen-capture ELISA. ELISA readings were </w:t>
      </w:r>
      <w:r w:rsidR="002951D2">
        <w:rPr>
          <w:rFonts w:ascii="Arial" w:hAnsi="Arial" w:cs="Arial"/>
          <w:color w:val="000000" w:themeColor="text1"/>
          <w:sz w:val="20"/>
          <w:szCs w:val="20"/>
        </w:rPr>
        <w:t xml:space="preserve">reported </w:t>
      </w:r>
      <w:r w:rsidRPr="003A2793">
        <w:rPr>
          <w:rFonts w:ascii="Arial" w:hAnsi="Arial" w:cs="Arial"/>
          <w:color w:val="000000" w:themeColor="text1"/>
          <w:sz w:val="20"/>
          <w:szCs w:val="20"/>
        </w:rPr>
        <w:t xml:space="preserve">according to the average positive-to-negative (P/N) ratio at </w:t>
      </w:r>
      <w:r w:rsidRPr="003A2793">
        <w:rPr>
          <w:rFonts w:ascii="Arial" w:hAnsi="Arial" w:cs="Arial"/>
          <w:color w:val="000000" w:themeColor="text1"/>
          <w:sz w:val="20"/>
          <w:szCs w:val="20"/>
        </w:rPr>
        <w:lastRenderedPageBreak/>
        <w:t>A</w:t>
      </w:r>
      <w:r w:rsidRPr="003A2793">
        <w:rPr>
          <w:rFonts w:ascii="Arial" w:hAnsi="Arial" w:cs="Arial"/>
          <w:color w:val="000000" w:themeColor="text1"/>
          <w:sz w:val="20"/>
          <w:szCs w:val="20"/>
          <w:vertAlign w:val="subscript"/>
        </w:rPr>
        <w:t>450nm/630nm</w:t>
      </w:r>
      <w:r w:rsidRPr="003A2793">
        <w:rPr>
          <w:rFonts w:ascii="Arial" w:hAnsi="Arial" w:cs="Arial"/>
          <w:color w:val="000000" w:themeColor="text1"/>
          <w:sz w:val="20"/>
          <w:szCs w:val="20"/>
        </w:rPr>
        <w:t xml:space="preserve"> of each sample (reference at 630nm). The P/N ratio was computed after normalization with the negative control (</w:t>
      </w:r>
      <w:proofErr w:type="spellStart"/>
      <w:r w:rsidRPr="003A2793">
        <w:rPr>
          <w:rFonts w:ascii="Arial" w:hAnsi="Arial" w:cs="Arial"/>
          <w:color w:val="000000" w:themeColor="text1"/>
          <w:sz w:val="20"/>
          <w:szCs w:val="20"/>
        </w:rPr>
        <w:t>NC</w:t>
      </w:r>
      <w:r w:rsidRPr="003A2793">
        <w:rPr>
          <w:rFonts w:ascii="Arial" w:hAnsi="Arial" w:cs="Arial"/>
          <w:color w:val="000000" w:themeColor="text1"/>
          <w:sz w:val="20"/>
          <w:szCs w:val="20"/>
          <w:vertAlign w:val="subscript"/>
        </w:rPr>
        <w:t>cell</w:t>
      </w:r>
      <w:proofErr w:type="spellEnd"/>
      <w:r w:rsidRPr="003A2793">
        <w:rPr>
          <w:rFonts w:ascii="Arial" w:hAnsi="Arial" w:cs="Arial"/>
          <w:color w:val="000000" w:themeColor="text1"/>
          <w:sz w:val="20"/>
          <w:szCs w:val="20"/>
        </w:rPr>
        <w:t>) obtained from the cell culture supernatant with EL4-B5 cells. Purified total human IgG controls were included per plate and were purified from PV10 (PC) and TW2 (NC</w:t>
      </w:r>
      <w:r w:rsidRPr="003A2793">
        <w:rPr>
          <w:rFonts w:ascii="Arial" w:hAnsi="Arial" w:cs="Arial"/>
          <w:color w:val="000000" w:themeColor="text1"/>
          <w:sz w:val="20"/>
          <w:szCs w:val="20"/>
          <w:vertAlign w:val="subscript"/>
        </w:rPr>
        <w:t>TW2</w:t>
      </w:r>
      <w:r w:rsidRPr="003A2793">
        <w:rPr>
          <w:rFonts w:ascii="Arial" w:hAnsi="Arial" w:cs="Arial"/>
          <w:color w:val="000000" w:themeColor="text1"/>
          <w:sz w:val="20"/>
          <w:szCs w:val="20"/>
        </w:rPr>
        <w:t xml:space="preserve">) plasma by affinity chromatography using 1 mL </w:t>
      </w:r>
      <w:proofErr w:type="spellStart"/>
      <w:r w:rsidRPr="003A2793">
        <w:rPr>
          <w:rFonts w:ascii="Arial" w:hAnsi="Arial" w:cs="Arial"/>
          <w:color w:val="000000" w:themeColor="text1"/>
          <w:sz w:val="20"/>
          <w:szCs w:val="20"/>
        </w:rPr>
        <w:t>HiTrap</w:t>
      </w:r>
      <w:proofErr w:type="spellEnd"/>
      <w:r w:rsidRPr="003A2793">
        <w:rPr>
          <w:rFonts w:ascii="Arial" w:hAnsi="Arial" w:cs="Arial"/>
          <w:color w:val="000000" w:themeColor="text1"/>
          <w:sz w:val="20"/>
          <w:szCs w:val="20"/>
        </w:rPr>
        <w:t xml:space="preserve"> Protein-G HP column (GE Healthcare, Uppsala, SWE) and 0.2μm filtered pH-adjusted buffers</w:t>
      </w:r>
      <w:bookmarkStart w:id="4" w:name="_Hlk82440830"/>
      <w:r w:rsidRPr="003A2793">
        <w:rPr>
          <w:rFonts w:ascii="Arial" w:hAnsi="Arial" w:cs="Arial"/>
          <w:color w:val="000000" w:themeColor="text1"/>
          <w:sz w:val="20"/>
          <w:szCs w:val="20"/>
        </w:rPr>
        <w:t>. Positively screened B cells were ranked from the highest to lowest ELISA P/N values, which was the basis for prioritizing human monoclonal antibody expression.</w:t>
      </w:r>
      <w:bookmarkEnd w:id="4"/>
      <w:r w:rsidRPr="003A2793">
        <w:rPr>
          <w:rFonts w:ascii="Arial" w:hAnsi="Arial" w:cs="Arial"/>
          <w:color w:val="000000" w:themeColor="text1"/>
          <w:sz w:val="20"/>
          <w:szCs w:val="20"/>
        </w:rPr>
        <w:t xml:space="preserve">  </w:t>
      </w:r>
    </w:p>
    <w:p w14:paraId="22BB5784" w14:textId="77777777" w:rsidR="00CC299A" w:rsidRPr="000D27D2" w:rsidRDefault="00CC299A" w:rsidP="00CC299A">
      <w:pPr>
        <w:spacing w:line="480" w:lineRule="auto"/>
        <w:jc w:val="both"/>
        <w:rPr>
          <w:rFonts w:ascii="Arial" w:hAnsi="Arial" w:cs="Arial"/>
          <w:color w:val="000000" w:themeColor="text1"/>
          <w:sz w:val="20"/>
          <w:szCs w:val="20"/>
        </w:rPr>
      </w:pPr>
    </w:p>
    <w:p w14:paraId="081919BB" w14:textId="77777777" w:rsidR="00CC299A" w:rsidRPr="003A2793" w:rsidRDefault="00CC299A" w:rsidP="00CC299A">
      <w:pPr>
        <w:spacing w:line="480" w:lineRule="auto"/>
        <w:ind w:firstLine="720"/>
        <w:jc w:val="both"/>
        <w:rPr>
          <w:rFonts w:ascii="Arial" w:hAnsi="Arial" w:cs="Arial"/>
          <w:color w:val="000000" w:themeColor="text1"/>
          <w:sz w:val="20"/>
          <w:szCs w:val="20"/>
        </w:rPr>
      </w:pPr>
    </w:p>
    <w:p w14:paraId="45FCC5F1"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b/>
          <w:color w:val="000000" w:themeColor="text1"/>
          <w:sz w:val="20"/>
          <w:szCs w:val="20"/>
        </w:rPr>
        <w:t xml:space="preserve">IgG1 Plasmid Construction, Human Ig gene amplification, and Expression vector cloning </w:t>
      </w:r>
    </w:p>
    <w:p w14:paraId="0D42926F" w14:textId="4F66462F" w:rsidR="00CC299A" w:rsidRPr="003A2793" w:rsidRDefault="00CC299A" w:rsidP="00CC299A">
      <w:pPr>
        <w:tabs>
          <w:tab w:val="left" w:pos="426"/>
        </w:tabs>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t xml:space="preserve">In preparation for recombinant immunoglobulin G1 (IgG1) antibody production, in-house expression plasmids pVCHIg-hG1 and </w:t>
      </w:r>
      <w:proofErr w:type="spellStart"/>
      <w:r w:rsidRPr="003A2793">
        <w:rPr>
          <w:rFonts w:ascii="Arial" w:hAnsi="Arial" w:cs="Arial"/>
          <w:color w:val="000000" w:themeColor="text1"/>
          <w:sz w:val="20"/>
          <w:szCs w:val="20"/>
        </w:rPr>
        <w:t>pVCLIg</w:t>
      </w:r>
      <w:proofErr w:type="spellEnd"/>
      <w:r w:rsidRPr="003A2793">
        <w:rPr>
          <w:rFonts w:ascii="Arial" w:hAnsi="Arial" w:cs="Arial"/>
          <w:color w:val="000000" w:themeColor="text1"/>
          <w:sz w:val="20"/>
          <w:szCs w:val="20"/>
        </w:rPr>
        <w:t>-h</w:t>
      </w:r>
      <w:r w:rsidRPr="003A2793">
        <w:rPr>
          <w:rFonts w:ascii="Arial" w:hAnsi="Arial" w:cs="Arial"/>
          <w:color w:val="000000" w:themeColor="text1"/>
          <w:sz w:val="20"/>
          <w:szCs w:val="20"/>
        </w:rPr>
        <w:sym w:font="Symbol" w:char="F06B"/>
      </w:r>
      <w:r w:rsidRPr="003A2793">
        <w:rPr>
          <w:rFonts w:ascii="Arial" w:hAnsi="Arial" w:cs="Arial"/>
          <w:color w:val="000000" w:themeColor="text1"/>
          <w:sz w:val="20"/>
          <w:szCs w:val="20"/>
        </w:rPr>
        <w:t xml:space="preserve"> were developed for independent cloning of the human Ig variable heavy</w:t>
      </w:r>
      <w:r w:rsidR="001C0FD8">
        <w:rPr>
          <w:rFonts w:ascii="Arial" w:hAnsi="Arial" w:cs="Arial"/>
          <w:color w:val="000000" w:themeColor="text1"/>
          <w:sz w:val="20"/>
          <w:szCs w:val="20"/>
        </w:rPr>
        <w:t xml:space="preserve"> (VH)</w:t>
      </w:r>
      <w:r w:rsidRPr="003A2793">
        <w:rPr>
          <w:rFonts w:ascii="Arial" w:hAnsi="Arial" w:cs="Arial"/>
          <w:color w:val="000000" w:themeColor="text1"/>
          <w:sz w:val="20"/>
          <w:szCs w:val="20"/>
        </w:rPr>
        <w:t xml:space="preserve"> and </w:t>
      </w:r>
      <w:r w:rsidR="001C0FD8">
        <w:rPr>
          <w:rFonts w:ascii="Arial" w:hAnsi="Arial" w:cs="Arial"/>
          <w:color w:val="000000" w:themeColor="text1"/>
          <w:sz w:val="20"/>
          <w:szCs w:val="20"/>
        </w:rPr>
        <w:t xml:space="preserve">light (VL) </w:t>
      </w:r>
      <w:r w:rsidRPr="003A2793">
        <w:rPr>
          <w:rFonts w:ascii="Arial" w:hAnsi="Arial" w:cs="Arial"/>
          <w:color w:val="000000" w:themeColor="text1"/>
          <w:sz w:val="20"/>
          <w:szCs w:val="20"/>
        </w:rPr>
        <w:t>genes, respectively. Transcription was controlled by the human cytomegalovirus early gene promoter (</w:t>
      </w:r>
      <w:r w:rsidRPr="003A2793">
        <w:rPr>
          <w:rFonts w:ascii="Arial" w:hAnsi="Arial" w:cs="Arial"/>
          <w:color w:val="000000" w:themeColor="text1"/>
          <w:sz w:val="20"/>
          <w:szCs w:val="20"/>
          <w:vertAlign w:val="superscript"/>
        </w:rPr>
        <w:t>P</w:t>
      </w:r>
      <w:r w:rsidRPr="003A2793">
        <w:rPr>
          <w:rFonts w:ascii="Arial" w:hAnsi="Arial" w:cs="Arial"/>
          <w:color w:val="000000" w:themeColor="text1"/>
          <w:sz w:val="20"/>
          <w:szCs w:val="20"/>
        </w:rPr>
        <w:t xml:space="preserve">CMV). Both expression plasmids contain the bovine growth hormone poly(A) signal (BGH </w:t>
      </w:r>
      <w:proofErr w:type="spellStart"/>
      <w:r w:rsidRPr="003A2793">
        <w:rPr>
          <w:rFonts w:ascii="Arial" w:hAnsi="Arial" w:cs="Arial"/>
          <w:color w:val="000000" w:themeColor="text1"/>
          <w:sz w:val="20"/>
          <w:szCs w:val="20"/>
        </w:rPr>
        <w:t>pA</w:t>
      </w:r>
      <w:proofErr w:type="spellEnd"/>
      <w:r w:rsidRPr="003A2793">
        <w:rPr>
          <w:rFonts w:ascii="Arial" w:hAnsi="Arial" w:cs="Arial"/>
          <w:color w:val="000000" w:themeColor="text1"/>
          <w:sz w:val="20"/>
          <w:szCs w:val="20"/>
        </w:rPr>
        <w:t>) and the Kanamycin resistance (</w:t>
      </w:r>
      <w:proofErr w:type="spellStart"/>
      <w:r w:rsidRPr="003A2793">
        <w:rPr>
          <w:rFonts w:ascii="Arial" w:hAnsi="Arial" w:cs="Arial"/>
          <w:color w:val="000000" w:themeColor="text1"/>
          <w:sz w:val="20"/>
          <w:szCs w:val="20"/>
        </w:rPr>
        <w:t>Kan</w:t>
      </w:r>
      <w:r w:rsidRPr="003A2793">
        <w:rPr>
          <w:rFonts w:ascii="Arial" w:hAnsi="Arial" w:cs="Arial"/>
          <w:color w:val="000000" w:themeColor="text1"/>
          <w:sz w:val="20"/>
          <w:szCs w:val="20"/>
          <w:vertAlign w:val="superscript"/>
        </w:rPr>
        <w:t>R</w:t>
      </w:r>
      <w:proofErr w:type="spellEnd"/>
      <w:r w:rsidRPr="003A2793">
        <w:rPr>
          <w:rFonts w:ascii="Arial" w:hAnsi="Arial" w:cs="Arial"/>
          <w:color w:val="000000" w:themeColor="text1"/>
          <w:sz w:val="20"/>
          <w:szCs w:val="20"/>
        </w:rPr>
        <w:t xml:space="preserve">) cassette. To facilitate the linearization of the expression vectors, </w:t>
      </w:r>
      <w:proofErr w:type="spellStart"/>
      <w:r w:rsidRPr="003A2793">
        <w:rPr>
          <w:rFonts w:ascii="Arial" w:hAnsi="Arial" w:cs="Arial"/>
          <w:i/>
          <w:color w:val="000000" w:themeColor="text1"/>
          <w:sz w:val="20"/>
          <w:szCs w:val="20"/>
        </w:rPr>
        <w:t>Age</w:t>
      </w:r>
      <w:r w:rsidRPr="003A2793">
        <w:rPr>
          <w:rFonts w:ascii="Arial" w:hAnsi="Arial" w:cs="Arial"/>
          <w:color w:val="000000" w:themeColor="text1"/>
          <w:sz w:val="20"/>
          <w:szCs w:val="20"/>
        </w:rPr>
        <w:t>I</w:t>
      </w:r>
      <w:proofErr w:type="spellEnd"/>
      <w:r w:rsidRPr="003A2793">
        <w:rPr>
          <w:rFonts w:ascii="Arial" w:hAnsi="Arial" w:cs="Arial"/>
          <w:color w:val="000000" w:themeColor="text1"/>
          <w:sz w:val="20"/>
          <w:szCs w:val="20"/>
        </w:rPr>
        <w:t xml:space="preserve"> and </w:t>
      </w:r>
      <w:proofErr w:type="spellStart"/>
      <w:r w:rsidRPr="003A2793">
        <w:rPr>
          <w:rFonts w:ascii="Arial" w:hAnsi="Arial" w:cs="Arial"/>
          <w:i/>
          <w:color w:val="000000" w:themeColor="text1"/>
          <w:sz w:val="20"/>
          <w:szCs w:val="20"/>
        </w:rPr>
        <w:t>Sal</w:t>
      </w:r>
      <w:r w:rsidRPr="003A2793">
        <w:rPr>
          <w:rFonts w:ascii="Arial" w:hAnsi="Arial" w:cs="Arial"/>
          <w:color w:val="000000" w:themeColor="text1"/>
          <w:sz w:val="20"/>
          <w:szCs w:val="20"/>
        </w:rPr>
        <w:t>I</w:t>
      </w:r>
      <w:proofErr w:type="spellEnd"/>
      <w:r w:rsidRPr="003A2793">
        <w:rPr>
          <w:rFonts w:ascii="Arial" w:hAnsi="Arial" w:cs="Arial"/>
          <w:color w:val="000000" w:themeColor="text1"/>
          <w:sz w:val="20"/>
          <w:szCs w:val="20"/>
        </w:rPr>
        <w:t xml:space="preserve"> were added at the respective 5’- and 3’- ends of the </w:t>
      </w:r>
      <w:r w:rsidR="00EF1C78">
        <w:rPr>
          <w:rFonts w:ascii="Arial" w:hAnsi="Arial" w:cs="Arial"/>
          <w:color w:val="000000" w:themeColor="text1"/>
          <w:sz w:val="20"/>
          <w:szCs w:val="20"/>
        </w:rPr>
        <w:t>pVCHIg-hG1</w:t>
      </w:r>
      <w:r w:rsidRPr="003A2793">
        <w:rPr>
          <w:rFonts w:ascii="Arial" w:hAnsi="Arial" w:cs="Arial"/>
          <w:color w:val="000000" w:themeColor="text1"/>
          <w:sz w:val="20"/>
          <w:szCs w:val="20"/>
        </w:rPr>
        <w:t xml:space="preserve">-vector, while the </w:t>
      </w:r>
      <w:proofErr w:type="spellStart"/>
      <w:r w:rsidRPr="003A2793">
        <w:rPr>
          <w:rFonts w:ascii="Arial" w:hAnsi="Arial" w:cs="Arial"/>
          <w:i/>
          <w:color w:val="000000" w:themeColor="text1"/>
          <w:sz w:val="20"/>
          <w:szCs w:val="20"/>
        </w:rPr>
        <w:t>Age</w:t>
      </w:r>
      <w:r w:rsidRPr="003A2793">
        <w:rPr>
          <w:rFonts w:ascii="Arial" w:hAnsi="Arial" w:cs="Arial"/>
          <w:color w:val="000000" w:themeColor="text1"/>
          <w:sz w:val="20"/>
          <w:szCs w:val="20"/>
        </w:rPr>
        <w:t>I</w:t>
      </w:r>
      <w:proofErr w:type="spellEnd"/>
      <w:r w:rsidRPr="003A2793">
        <w:rPr>
          <w:rFonts w:ascii="Arial" w:hAnsi="Arial" w:cs="Arial"/>
          <w:color w:val="000000" w:themeColor="text1"/>
          <w:sz w:val="20"/>
          <w:szCs w:val="20"/>
        </w:rPr>
        <w:t xml:space="preserve"> and </w:t>
      </w:r>
      <w:proofErr w:type="spellStart"/>
      <w:r w:rsidRPr="003A2793">
        <w:rPr>
          <w:rFonts w:ascii="Arial" w:hAnsi="Arial" w:cs="Arial"/>
          <w:i/>
          <w:color w:val="000000" w:themeColor="text1"/>
          <w:sz w:val="20"/>
          <w:szCs w:val="20"/>
        </w:rPr>
        <w:t>Bsi</w:t>
      </w:r>
      <w:r w:rsidRPr="003A2793">
        <w:rPr>
          <w:rFonts w:ascii="Arial" w:hAnsi="Arial" w:cs="Arial"/>
          <w:color w:val="000000" w:themeColor="text1"/>
          <w:sz w:val="20"/>
          <w:szCs w:val="20"/>
        </w:rPr>
        <w:t>WI</w:t>
      </w:r>
      <w:proofErr w:type="spellEnd"/>
      <w:r w:rsidRPr="003A2793">
        <w:rPr>
          <w:rFonts w:ascii="Arial" w:hAnsi="Arial" w:cs="Arial"/>
          <w:color w:val="000000" w:themeColor="text1"/>
          <w:sz w:val="20"/>
          <w:szCs w:val="20"/>
        </w:rPr>
        <w:t xml:space="preserve"> sites were introduced at the 5’ and 3’ ends of </w:t>
      </w:r>
      <w:proofErr w:type="spellStart"/>
      <w:r w:rsidR="00EF1C78" w:rsidRPr="003A2793">
        <w:rPr>
          <w:rFonts w:ascii="Arial" w:hAnsi="Arial" w:cs="Arial"/>
          <w:color w:val="000000" w:themeColor="text1"/>
          <w:sz w:val="20"/>
          <w:szCs w:val="20"/>
        </w:rPr>
        <w:t>pVCLIg</w:t>
      </w:r>
      <w:proofErr w:type="spellEnd"/>
      <w:r w:rsidR="00EF1C78" w:rsidRPr="003A2793">
        <w:rPr>
          <w:rFonts w:ascii="Arial" w:hAnsi="Arial" w:cs="Arial"/>
          <w:color w:val="000000" w:themeColor="text1"/>
          <w:sz w:val="20"/>
          <w:szCs w:val="20"/>
        </w:rPr>
        <w:t>-h</w:t>
      </w:r>
      <w:r w:rsidR="00EF1C78" w:rsidRPr="003A2793">
        <w:rPr>
          <w:rFonts w:ascii="Arial" w:hAnsi="Arial" w:cs="Arial"/>
          <w:color w:val="000000" w:themeColor="text1"/>
          <w:sz w:val="20"/>
          <w:szCs w:val="20"/>
        </w:rPr>
        <w:sym w:font="Symbol" w:char="F06B"/>
      </w:r>
      <w:r w:rsidR="00EF1C78">
        <w:rPr>
          <w:rFonts w:ascii="Arial" w:hAnsi="Arial" w:cs="Arial"/>
          <w:color w:val="000000" w:themeColor="text1"/>
          <w:sz w:val="20"/>
          <w:szCs w:val="20"/>
        </w:rPr>
        <w:t xml:space="preserve"> expression</w:t>
      </w:r>
      <w:r w:rsidR="00EF1C78" w:rsidRPr="003A2793">
        <w:rPr>
          <w:rFonts w:ascii="Arial" w:hAnsi="Arial" w:cs="Arial"/>
          <w:color w:val="000000" w:themeColor="text1"/>
          <w:sz w:val="20"/>
          <w:szCs w:val="20"/>
        </w:rPr>
        <w:t xml:space="preserve"> </w:t>
      </w:r>
      <w:r w:rsidRPr="003A2793">
        <w:rPr>
          <w:rFonts w:ascii="Arial" w:hAnsi="Arial" w:cs="Arial"/>
          <w:color w:val="000000" w:themeColor="text1"/>
          <w:sz w:val="20"/>
          <w:szCs w:val="20"/>
        </w:rPr>
        <w:t xml:space="preserve">vectors, </w:t>
      </w:r>
      <w:r w:rsidRPr="003A2793">
        <w:rPr>
          <w:rFonts w:ascii="Arial" w:hAnsi="Arial" w:cs="Arial"/>
          <w:color w:val="000000" w:themeColor="text1"/>
          <w:sz w:val="20"/>
          <w:szCs w:val="20"/>
        </w:rPr>
        <w:lastRenderedPageBreak/>
        <w:t xml:space="preserve">respectively (Extended </w:t>
      </w:r>
      <w:r w:rsidRPr="0011485D">
        <w:rPr>
          <w:rFonts w:ascii="Arial" w:hAnsi="Arial" w:cs="Arial"/>
          <w:color w:val="000000" w:themeColor="text1"/>
          <w:sz w:val="20"/>
          <w:szCs w:val="20"/>
        </w:rPr>
        <w:t xml:space="preserve">Data Fig. </w:t>
      </w:r>
      <w:r w:rsidR="00F3525B">
        <w:rPr>
          <w:rFonts w:ascii="Arial" w:hAnsi="Arial" w:cs="Arial"/>
          <w:color w:val="000000" w:themeColor="text1"/>
          <w:sz w:val="20"/>
          <w:szCs w:val="20"/>
        </w:rPr>
        <w:t>9</w:t>
      </w:r>
      <w:r w:rsidRPr="00A74ED6">
        <w:rPr>
          <w:rFonts w:ascii="Arial" w:hAnsi="Arial" w:cs="Arial"/>
          <w:color w:val="000000" w:themeColor="text1"/>
          <w:sz w:val="20"/>
          <w:szCs w:val="20"/>
        </w:rPr>
        <w:t>a).</w:t>
      </w:r>
      <w:r w:rsidRPr="003A2793">
        <w:rPr>
          <w:rFonts w:ascii="Arial" w:hAnsi="Arial" w:cs="Arial"/>
          <w:color w:val="000000" w:themeColor="text1"/>
          <w:sz w:val="20"/>
          <w:szCs w:val="20"/>
        </w:rPr>
        <w:t xml:space="preserve"> </w:t>
      </w:r>
    </w:p>
    <w:p w14:paraId="4DF864AB" w14:textId="44FB927C" w:rsidR="00CC299A" w:rsidRPr="003A2793" w:rsidRDefault="00CC299A" w:rsidP="00CC299A">
      <w:pPr>
        <w:tabs>
          <w:tab w:val="left" w:pos="320"/>
        </w:tabs>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t xml:space="preserve">To construct the K8b-F(ab) expression plasmids, the full-length K8b </w:t>
      </w:r>
      <w:r w:rsidR="001C0FD8">
        <w:rPr>
          <w:rFonts w:ascii="Arial" w:hAnsi="Arial" w:cs="Arial"/>
          <w:color w:val="000000" w:themeColor="text1"/>
          <w:sz w:val="20"/>
          <w:szCs w:val="20"/>
        </w:rPr>
        <w:t>VH</w:t>
      </w:r>
      <w:r w:rsidRPr="003A2793">
        <w:rPr>
          <w:rFonts w:ascii="Arial" w:hAnsi="Arial" w:cs="Arial"/>
          <w:color w:val="000000" w:themeColor="text1"/>
          <w:sz w:val="20"/>
          <w:szCs w:val="20"/>
        </w:rPr>
        <w:t xml:space="preserve"> region with the human constant heavy chain 1 (hCH1) cassette was pre-amplified, including the overlapping sequences encoding the linker and 8x-His residues at the 3’ end. For the 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vertAlign w:val="superscript"/>
        </w:rPr>
        <w:t xml:space="preserve"> </w:t>
      </w:r>
      <w:r w:rsidRPr="003A2793">
        <w:rPr>
          <w:rFonts w:ascii="Arial" w:hAnsi="Arial" w:cs="Arial"/>
          <w:color w:val="000000" w:themeColor="text1"/>
          <w:sz w:val="20"/>
          <w:szCs w:val="20"/>
        </w:rPr>
        <w:t>expression vector, the amplification of the insert was performed from the hCH1 cassette until the leucine (L117) residue located at the 5’ end of the hCH2 cassette, which is five nucleotides downstream of the third conserved cysteine (Cys112) residue for heavy chain dimerization. The F(ab) and 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expression plasmids were modified to contain an 8x-Histidine tag at the carboxyterminal </w:t>
      </w:r>
      <w:r w:rsidRPr="001A36DC">
        <w:rPr>
          <w:rFonts w:ascii="Arial" w:hAnsi="Arial" w:cs="Arial"/>
          <w:color w:val="000000" w:themeColor="text1"/>
          <w:sz w:val="20"/>
          <w:szCs w:val="20"/>
        </w:rPr>
        <w:t xml:space="preserve">segment with </w:t>
      </w:r>
      <w:proofErr w:type="spellStart"/>
      <w:r w:rsidRPr="001A36DC">
        <w:rPr>
          <w:rFonts w:ascii="Arial" w:hAnsi="Arial" w:cs="Arial"/>
          <w:color w:val="000000" w:themeColor="text1"/>
          <w:sz w:val="20"/>
          <w:szCs w:val="20"/>
        </w:rPr>
        <w:t>QuikChange</w:t>
      </w:r>
      <w:proofErr w:type="spellEnd"/>
      <w:r w:rsidRPr="001A36DC">
        <w:rPr>
          <w:rFonts w:ascii="Arial" w:hAnsi="Arial" w:cs="Arial"/>
          <w:color w:val="000000" w:themeColor="text1"/>
          <w:sz w:val="20"/>
          <w:szCs w:val="20"/>
        </w:rPr>
        <w:t xml:space="preserve"> II site-directed mutagenesis kit (</w:t>
      </w:r>
      <w:proofErr w:type="spellStart"/>
      <w:r w:rsidRPr="001A36DC">
        <w:rPr>
          <w:rFonts w:ascii="Arial" w:hAnsi="Arial" w:cs="Arial"/>
          <w:color w:val="000000" w:themeColor="text1"/>
          <w:sz w:val="20"/>
          <w:szCs w:val="20"/>
        </w:rPr>
        <w:t>Stratagene</w:t>
      </w:r>
      <w:proofErr w:type="spellEnd"/>
      <w:r w:rsidRPr="001A36DC">
        <w:rPr>
          <w:rFonts w:ascii="Arial" w:hAnsi="Arial" w:cs="Arial"/>
          <w:color w:val="000000" w:themeColor="text1"/>
          <w:sz w:val="20"/>
          <w:szCs w:val="20"/>
        </w:rPr>
        <w:t>, La Jolla, CA, USA) (Fig. 5a). An additional cysteine residue (Cys118) was inserted in between the L117 and the Histidine tag sequence to enhance the thermostability of F(ab’)</w:t>
      </w:r>
      <w:r w:rsidRPr="001A36DC">
        <w:rPr>
          <w:rFonts w:ascii="Arial" w:hAnsi="Arial" w:cs="Arial"/>
          <w:color w:val="000000" w:themeColor="text1"/>
          <w:sz w:val="20"/>
          <w:szCs w:val="20"/>
          <w:vertAlign w:val="subscript"/>
        </w:rPr>
        <w:t>2</w:t>
      </w:r>
      <w:r w:rsidRPr="001A36DC">
        <w:rPr>
          <w:rFonts w:ascii="Arial" w:hAnsi="Arial" w:cs="Arial"/>
          <w:color w:val="000000" w:themeColor="text1"/>
          <w:sz w:val="20"/>
          <w:szCs w:val="20"/>
        </w:rPr>
        <w:t xml:space="preserve"> molecules (Fig. 5a). An inverse PCR was set up to amplify</w:t>
      </w:r>
      <w:r w:rsidRPr="003A2793">
        <w:rPr>
          <w:rFonts w:ascii="Arial" w:hAnsi="Arial" w:cs="Arial"/>
          <w:color w:val="000000" w:themeColor="text1"/>
          <w:sz w:val="20"/>
          <w:szCs w:val="20"/>
        </w:rPr>
        <w:t xml:space="preserve"> necessary regulatory elements in the pVCHIg-hG1 vector backbone. The resulting PCR fragments shared complementary ends and were joined by subsequent sequence and ligation-independent cloning (SLIC)</w:t>
      </w:r>
      <w:r w:rsidR="00E33888" w:rsidRPr="00E33888">
        <w:rPr>
          <w:rFonts w:ascii="Arial" w:hAnsi="Arial" w:cs="Arial"/>
          <w:color w:val="000000" w:themeColor="text1"/>
          <w:sz w:val="20"/>
          <w:szCs w:val="20"/>
        </w:rPr>
        <w:t xml:space="preserve"> </w:t>
      </w:r>
      <w:r w:rsidR="00E33888" w:rsidRPr="003A2793">
        <w:rPr>
          <w:rFonts w:ascii="Arial" w:hAnsi="Arial" w:cs="Arial"/>
          <w:color w:val="000000" w:themeColor="text1"/>
          <w:sz w:val="20"/>
          <w:szCs w:val="20"/>
        </w:rPr>
        <w:t>as detailed previously</w:t>
      </w:r>
      <w:r w:rsidR="00E33888"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{"citationItems":[{"id":"ITEM-1","itemData":{"DOI":"10.1038/nprot.2016.102","ISSN":"17502799","PMID":"27658009","abstract":"Methods to identify genes encoding immunoglobulin heavy and light chains from single B lymphocytes vary in efficiency, error rate and practicability. Here we describe a protocol to sequence and clone the variable antibody region of single antigen-specific mouse memory B cells for antibody production. After purification, antigen-specific mouse memory B cells are first single-cell-sorted by fluorescence-activated cell sorting (FACS), and V(D)J transcripts are amplified by RT-PCR. Fragments are then combined with linearized expression vectors, assembled in vitro as part of a sequence- and ligation-independent cloning (SLIC) reaction and then transformed into Escherichia coli. Purified vectors can then be used to produce monoclonal antibodies in HEK293E suspension cells. This protocol improves the amplification efficiency of antibody variable genes and accelerates the cloning workflow. Antibody sequences will be available in 3-4 d, and microgram to milligram amounts of antibodies are produced within 14 d. The new protocol should be useful for addressing fundamental questions about antigen-specific memory B cell responses, as well as for characterizing antigen-specific antibodies.","author":[{"dropping-particle":"","family":"Boehmer","given":"Lotta","non-dropping-particle":"Von","parse-names":false,"suffix":""},{"dropping-particle":"","family":"Liu","given":"Cassie","non-dropping-particle":"","parse-names":false,"suffix":""},{"dropping-particle":"","family":"Ackerman","given":"Sarah","non-dropping-particle":"","parse-names":false,"suffix":""},{"dropping-particle":"","family":"Gitlin","given":"Alexander D.","non-dropping-particle":"","parse-names":false,"suffix":""},{"dropping-particle":"","family":"Wang","given":"Qiao","non-dropping-particle":"","parse-names":false,"suffix":""},{"dropping-particle":"","family":"Gazumyan","given":"Anna","non-dropping-particle":"","parse-names":false,"suffix":""},{"dropping-particle":"","family":"Nussenzweig","given":"Michel C.","non-dropping-particle":"","parse-names":false,"suffix":""}],"container-title":"Nature Protocols","id":"ITEM-1","issue":"10","issued":{"date-parts":[["2016"]]},"page":"1908-1923","publisher":"Nature Publishing Group","title":"Sequencing and cloning of antigen-specific antibodies from mouse memory B cells","type":"article-journal","volume":"11"},"uris":["http://www.mendeley.com/documents/?uuid=f9b811ac-cd58-4de7-afae-d66c8aab8cda"]}],"mendeley":{"formattedCitation":"&lt;sup&gt;11&lt;/sup&gt;","plainTextFormattedCitation":"11","previouslyFormattedCitation":"&lt;sup&gt;11&lt;/sup&gt;"},"properties":{"noteIndex":0},"schema":"https://github.com/citation-style-language/schema/raw/master/csl-citation.json"}</w:instrText>
      </w:r>
      <w:r w:rsidR="00E33888"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11</w:t>
      </w:r>
      <w:r w:rsidR="00E33888"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PCRs were carried out with the Phusion High Fidelity DNA Polymerase according to the manufacturer’s protocol (New England Biolabs, Inc., Ipswich, MA, USA). The generated plasmids were recovered by a standard transformation protocol into chemically-competent </w:t>
      </w:r>
      <w:r w:rsidRPr="003A2793">
        <w:rPr>
          <w:rFonts w:ascii="Arial" w:hAnsi="Arial" w:cs="Arial"/>
          <w:i/>
          <w:color w:val="000000" w:themeColor="text1"/>
          <w:sz w:val="20"/>
          <w:szCs w:val="20"/>
        </w:rPr>
        <w:t>E. coli</w:t>
      </w:r>
      <w:r w:rsidRPr="003A2793">
        <w:rPr>
          <w:rFonts w:ascii="Arial" w:hAnsi="Arial" w:cs="Arial"/>
          <w:color w:val="000000" w:themeColor="text1"/>
          <w:sz w:val="20"/>
          <w:szCs w:val="20"/>
        </w:rPr>
        <w:t xml:space="preserve">. Standard transformation was performed with the addition of pre-warmed SOC media after incubation at 37°C for 1 h with shaking at 200 rpm, and 100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was plated onto Luria-Bertani (LB)-agar Petri dishes containing </w:t>
      </w:r>
      <w:r w:rsidRPr="003A2793">
        <w:rPr>
          <w:rFonts w:ascii="Arial" w:hAnsi="Arial" w:cs="Arial"/>
          <w:color w:val="000000" w:themeColor="text1"/>
          <w:sz w:val="20"/>
          <w:szCs w:val="20"/>
        </w:rPr>
        <w:lastRenderedPageBreak/>
        <w:t xml:space="preserve">100 </w:t>
      </w:r>
      <w:proofErr w:type="spellStart"/>
      <w:r w:rsidRPr="003A2793">
        <w:rPr>
          <w:rFonts w:ascii="Arial" w:hAnsi="Arial" w:cs="Arial"/>
          <w:color w:val="000000" w:themeColor="text1"/>
          <w:sz w:val="20"/>
          <w:szCs w:val="20"/>
        </w:rPr>
        <w:t>μg</w:t>
      </w:r>
      <w:proofErr w:type="spellEnd"/>
      <w:r w:rsidRPr="003A2793">
        <w:rPr>
          <w:rFonts w:ascii="Arial" w:hAnsi="Arial" w:cs="Arial"/>
          <w:color w:val="000000" w:themeColor="text1"/>
          <w:sz w:val="20"/>
          <w:szCs w:val="20"/>
        </w:rPr>
        <w:t>/mL Kanamycin. Sequences were verified by sequencing and herein termed pVCHIg-K8b-F(ab’)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-His and pVCHIg-K8b-F(ab)-His. All the expression plasmids contain the same promoter, enhancer, and selection marker gene cassettes. </w:t>
      </w:r>
    </w:p>
    <w:p w14:paraId="4D3AE4BD" w14:textId="022F84A7" w:rsidR="00CC299A" w:rsidRPr="003A2793" w:rsidRDefault="00CC299A" w:rsidP="00CC299A">
      <w:pPr>
        <w:tabs>
          <w:tab w:val="left" w:pos="426"/>
        </w:tabs>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t>Human genes encoding immunoglobulin (Ig) heavy (</w:t>
      </w:r>
      <w:proofErr w:type="spellStart"/>
      <w:r w:rsidRPr="003A2793">
        <w:rPr>
          <w:rFonts w:ascii="Arial" w:hAnsi="Arial" w:cs="Arial"/>
          <w:color w:val="000000" w:themeColor="text1"/>
          <w:sz w:val="20"/>
          <w:szCs w:val="20"/>
        </w:rPr>
        <w:t>IgH</w:t>
      </w:r>
      <w:proofErr w:type="spellEnd"/>
      <w:r w:rsidRPr="003A2793">
        <w:rPr>
          <w:rFonts w:ascii="Arial" w:hAnsi="Arial" w:cs="Arial"/>
          <w:color w:val="000000" w:themeColor="text1"/>
          <w:sz w:val="20"/>
          <w:szCs w:val="20"/>
        </w:rPr>
        <w:t>) and Ig kappa (Ig</w:t>
      </w:r>
      <w:r w:rsidRPr="003A2793">
        <w:rPr>
          <w:rFonts w:ascii="Arial" w:hAnsi="Arial" w:cs="Arial"/>
          <w:color w:val="000000" w:themeColor="text1"/>
          <w:sz w:val="20"/>
          <w:szCs w:val="20"/>
        </w:rPr>
        <w:sym w:font="Symbol" w:char="F06B"/>
      </w:r>
      <w:r w:rsidRPr="003A2793">
        <w:rPr>
          <w:rFonts w:ascii="Arial" w:hAnsi="Arial" w:cs="Arial"/>
          <w:color w:val="000000" w:themeColor="text1"/>
          <w:sz w:val="20"/>
          <w:szCs w:val="20"/>
        </w:rPr>
        <w:t xml:space="preserve">) chains from ZIKV-reactive B cells were recovered using </w:t>
      </w:r>
      <w:r>
        <w:rPr>
          <w:rFonts w:ascii="Arial" w:hAnsi="Arial" w:cs="Arial"/>
          <w:color w:val="000000" w:themeColor="text1"/>
          <w:sz w:val="20"/>
          <w:szCs w:val="20"/>
        </w:rPr>
        <w:t xml:space="preserve">a two-step </w:t>
      </w:r>
      <w:r w:rsidRPr="003A2793">
        <w:rPr>
          <w:rFonts w:ascii="Arial" w:hAnsi="Arial" w:cs="Arial"/>
          <w:color w:val="000000" w:themeColor="text1"/>
          <w:sz w:val="20"/>
          <w:szCs w:val="20"/>
        </w:rPr>
        <w:t>RT-PCR</w:t>
      </w:r>
      <w:r>
        <w:rPr>
          <w:rFonts w:ascii="Arial" w:hAnsi="Arial" w:cs="Arial"/>
          <w:color w:val="000000" w:themeColor="text1"/>
          <w:sz w:val="20"/>
          <w:szCs w:val="20"/>
        </w:rPr>
        <w:t xml:space="preserve"> strategy</w:t>
      </w:r>
      <w:r w:rsidRPr="003A2793">
        <w:rPr>
          <w:rFonts w:ascii="Arial" w:hAnsi="Arial" w:cs="Arial"/>
          <w:color w:val="000000" w:themeColor="text1"/>
          <w:sz w:val="20"/>
          <w:szCs w:val="20"/>
        </w:rPr>
        <w:t>. Total RNA was reverse transcribed from lysed B cells, primed using random hexamers (Invitrogen</w:t>
      </w:r>
      <w:r w:rsidR="00B33194">
        <w:rPr>
          <w:rFonts w:ascii="Arial" w:hAnsi="Arial" w:cs="Arial"/>
          <w:color w:val="000000" w:themeColor="text1"/>
          <w:sz w:val="20"/>
          <w:szCs w:val="20"/>
        </w:rPr>
        <w:t>, Carlsbad, CA, USA</w:t>
      </w:r>
      <w:r w:rsidRPr="003A2793">
        <w:rPr>
          <w:rFonts w:ascii="Arial" w:hAnsi="Arial" w:cs="Arial"/>
          <w:color w:val="000000" w:themeColor="text1"/>
          <w:sz w:val="20"/>
          <w:szCs w:val="20"/>
        </w:rPr>
        <w:t xml:space="preserve">), and digested with </w:t>
      </w:r>
      <w:proofErr w:type="spellStart"/>
      <w:r w:rsidRPr="003A2793">
        <w:rPr>
          <w:rFonts w:ascii="Arial" w:hAnsi="Arial" w:cs="Arial"/>
          <w:color w:val="000000" w:themeColor="text1"/>
          <w:sz w:val="20"/>
          <w:szCs w:val="20"/>
        </w:rPr>
        <w:t>RNAse</w:t>
      </w:r>
      <w:proofErr w:type="spellEnd"/>
      <w:r w:rsidRPr="003A2793">
        <w:rPr>
          <w:rFonts w:ascii="Arial" w:hAnsi="Arial" w:cs="Arial"/>
          <w:color w:val="000000" w:themeColor="text1"/>
          <w:sz w:val="20"/>
          <w:szCs w:val="20"/>
        </w:rPr>
        <w:t xml:space="preserve"> H at 37°C for 20 min to remove any excess RNA</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{"citationItems":[{"id":"ITEM-1","itemData":{"DOI":"10.1038/nprot.2016.102","ISSN":"17502799","PMID":"27658009","abstract":"Methods to identify genes encoding immunoglobulin heavy and light chains from single B lymphocytes vary in efficiency, error rate and practicability. Here we describe a protocol to sequence and clone the variable antibody region of single antigen-specific mouse memory B cells for antibody production. After purification, antigen-specific mouse memory B cells are first single-cell-sorted by fluorescence-activated cell sorting (FACS), and V(D)J transcripts are amplified by RT-PCR. Fragments are then combined with linearized expression vectors, assembled in vitro as part of a sequence- and ligation-independent cloning (SLIC) reaction and then transformed into Escherichia coli. Purified vectors can then be used to produce monoclonal antibodies in HEK293E suspension cells. This protocol improves the amplification efficiency of antibody variable genes and accelerates the cloning workflow. Antibody sequences will be available in 3-4 d, and microgram to milligram amounts of antibodies are produced within 14 d. The new protocol should be useful for addressing fundamental questions about antigen-specific memory B cell responses, as well as for characterizing antigen-specific antibodies.","author":[{"dropping-particle":"","family":"Boehmer","given":"Lotta","non-dropping-particle":"Von","parse-names":false,"suffix":""},{"dropping-particle":"","family":"Liu","given":"Cassie","non-dropping-particle":"","parse-names":false,"suffix":""},{"dropping-particle":"","family":"Ackerman","given":"Sarah","non-dropping-particle":"","parse-names":false,"suffix":""},{"dropping-particle":"","family":"Gitlin","given":"Alexander D.","non-dropping-particle":"","parse-names":false,"suffix":""},{"dropping-particle":"","family":"Wang","given":"Qiao","non-dropping-particle":"","parse-names":false,"suffix":""},{"dropping-particle":"","family":"Gazumyan","given":"Anna","non-dropping-particle":"","parse-names":false,"suffix":""},{"dropping-particle":"","family":"Nussenzweig","given":"Michel C.","non-dropping-particle":"","parse-names":false,"suffix":""}],"container-title":"Nature Protocols","id":"ITEM-1","issue":"10","issued":{"date-parts":[["2016"]]},"page":"1908-1923","publisher":"Nature Publishing Group","title":"Sequencing and cloning of antigen-specific antibodies from mouse memory B cells","type":"article-journal","volume":"11"},"uris":["http://www.mendeley.com/documents/?uuid=f9b811ac-cd58-4de7-afae-d66c8aab8cda"]}],"mendeley":{"formattedCitation":"&lt;sup&gt;11&lt;/sup&gt;","plainTextFormattedCitation":"11","previouslyFormattedCitation":"&lt;sup&gt;11&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11</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Human </w:t>
      </w:r>
      <w:proofErr w:type="spellStart"/>
      <w:r w:rsidRPr="003A2793">
        <w:rPr>
          <w:rFonts w:ascii="Arial" w:hAnsi="Arial" w:cs="Arial"/>
          <w:color w:val="000000" w:themeColor="text1"/>
          <w:sz w:val="20"/>
          <w:szCs w:val="20"/>
        </w:rPr>
        <w:t>IgH</w:t>
      </w:r>
      <w:proofErr w:type="spellEnd"/>
      <w:r w:rsidRPr="003A2793">
        <w:rPr>
          <w:rFonts w:ascii="Arial" w:hAnsi="Arial" w:cs="Arial"/>
          <w:color w:val="000000" w:themeColor="text1"/>
          <w:sz w:val="20"/>
          <w:szCs w:val="20"/>
        </w:rPr>
        <w:t xml:space="preserve"> and Ig</w:t>
      </w:r>
      <w:r w:rsidRPr="003A2793">
        <w:rPr>
          <w:rFonts w:ascii="Arial" w:hAnsi="Arial" w:cs="Arial"/>
          <w:color w:val="000000" w:themeColor="text1"/>
          <w:sz w:val="20"/>
          <w:szCs w:val="20"/>
        </w:rPr>
        <w:sym w:font="Symbol" w:char="F06B"/>
      </w:r>
      <w:r w:rsidRPr="003A2793">
        <w:rPr>
          <w:rFonts w:ascii="Arial" w:hAnsi="Arial" w:cs="Arial"/>
          <w:color w:val="000000" w:themeColor="text1"/>
          <w:sz w:val="20"/>
          <w:szCs w:val="20"/>
        </w:rPr>
        <w:t xml:space="preserve"> were amplified independently by two rounds of PCR amplifications using modified primer sets in </w:t>
      </w:r>
      <w:r w:rsidR="0012107D">
        <w:rPr>
          <w:rFonts w:ascii="Arial" w:hAnsi="Arial" w:cs="Arial"/>
          <w:color w:val="000000" w:themeColor="text1"/>
          <w:sz w:val="20"/>
          <w:szCs w:val="20"/>
        </w:rPr>
        <w:t xml:space="preserve">Supplementary </w:t>
      </w:r>
      <w:r w:rsidRPr="003A2793">
        <w:rPr>
          <w:rFonts w:ascii="Arial" w:hAnsi="Arial" w:cs="Arial"/>
          <w:color w:val="000000" w:themeColor="text1"/>
          <w:sz w:val="20"/>
          <w:szCs w:val="20"/>
        </w:rPr>
        <w:t xml:space="preserve">Table </w:t>
      </w:r>
      <w:r w:rsidR="00F3525B">
        <w:rPr>
          <w:rFonts w:ascii="Arial" w:hAnsi="Arial" w:cs="Arial"/>
          <w:color w:val="000000" w:themeColor="text1"/>
          <w:sz w:val="20"/>
          <w:szCs w:val="20"/>
        </w:rPr>
        <w:t>S</w:t>
      </w:r>
      <w:r w:rsidRPr="003A2793">
        <w:rPr>
          <w:rFonts w:ascii="Arial" w:hAnsi="Arial" w:cs="Arial"/>
          <w:color w:val="000000" w:themeColor="text1"/>
          <w:sz w:val="20"/>
          <w:szCs w:val="20"/>
        </w:rPr>
        <w:t>2</w:t>
      </w:r>
      <w:r w:rsidR="008B3A90">
        <w:rPr>
          <w:rFonts w:ascii="Arial" w:hAnsi="Arial" w:cs="Arial"/>
          <w:color w:val="000000" w:themeColor="text1"/>
          <w:sz w:val="20"/>
          <w:szCs w:val="20"/>
        </w:rPr>
        <w:t>.</w:t>
      </w:r>
      <w:r w:rsidRPr="003A2793">
        <w:rPr>
          <w:rFonts w:ascii="Arial" w:hAnsi="Arial" w:cs="Arial"/>
          <w:color w:val="000000" w:themeColor="text1"/>
          <w:sz w:val="20"/>
          <w:szCs w:val="20"/>
        </w:rPr>
        <w:t xml:space="preserve"> The first-round PCR used forward primers in the heavy and light chain functional leader sequence and reverse primers specific to the constant region of </w:t>
      </w:r>
      <w:proofErr w:type="spellStart"/>
      <w:r w:rsidRPr="003A2793">
        <w:rPr>
          <w:rFonts w:ascii="Arial" w:hAnsi="Arial" w:cs="Arial"/>
          <w:color w:val="000000" w:themeColor="text1"/>
          <w:sz w:val="20"/>
          <w:szCs w:val="20"/>
        </w:rPr>
        <w:t>IgH</w:t>
      </w:r>
      <w:proofErr w:type="spellEnd"/>
      <w:r w:rsidRPr="003A2793">
        <w:rPr>
          <w:rFonts w:ascii="Arial" w:hAnsi="Arial" w:cs="Arial"/>
          <w:color w:val="000000" w:themeColor="text1"/>
          <w:sz w:val="20"/>
          <w:szCs w:val="20"/>
        </w:rPr>
        <w:t xml:space="preserve"> or Ig</w:t>
      </w:r>
      <w:r w:rsidRPr="003A2793">
        <w:rPr>
          <w:rFonts w:ascii="Arial" w:hAnsi="Arial" w:cs="Arial"/>
          <w:color w:val="000000" w:themeColor="text1"/>
          <w:sz w:val="20"/>
          <w:szCs w:val="20"/>
        </w:rPr>
        <w:sym w:font="Symbol" w:char="F06B"/>
      </w:r>
      <w:r w:rsidRPr="003A2793">
        <w:rPr>
          <w:rFonts w:ascii="Arial" w:hAnsi="Arial" w:cs="Arial"/>
          <w:color w:val="000000" w:themeColor="text1"/>
          <w:sz w:val="20"/>
          <w:szCs w:val="20"/>
        </w:rPr>
        <w:t xml:space="preserve">, preserving information about the variable region and the isotype. The second-round PCRs were performed with primers annealing to the 5’ end of the variable (V) genes starting from the framework region 1 (FR1) and their respective reverse primers specific to the joining (J) region of </w:t>
      </w:r>
      <w:proofErr w:type="spellStart"/>
      <w:r w:rsidRPr="003A2793">
        <w:rPr>
          <w:rFonts w:ascii="Arial" w:hAnsi="Arial" w:cs="Arial"/>
          <w:color w:val="000000" w:themeColor="text1"/>
          <w:sz w:val="20"/>
          <w:szCs w:val="20"/>
        </w:rPr>
        <w:t>IgH</w:t>
      </w:r>
      <w:proofErr w:type="spellEnd"/>
      <w:r w:rsidRPr="003A2793">
        <w:rPr>
          <w:rFonts w:ascii="Arial" w:hAnsi="Arial" w:cs="Arial"/>
          <w:color w:val="000000" w:themeColor="text1"/>
          <w:sz w:val="20"/>
          <w:szCs w:val="20"/>
        </w:rPr>
        <w:t xml:space="preserve"> or Ig</w:t>
      </w:r>
      <w:r w:rsidRPr="003A2793">
        <w:rPr>
          <w:rFonts w:ascii="Arial" w:hAnsi="Arial" w:cs="Arial"/>
          <w:color w:val="000000" w:themeColor="text1"/>
          <w:sz w:val="20"/>
          <w:szCs w:val="20"/>
        </w:rPr>
        <w:sym w:font="Symbol" w:char="F06B"/>
      </w:r>
      <w:r w:rsidRPr="003A2793">
        <w:rPr>
          <w:rFonts w:ascii="Arial" w:hAnsi="Arial" w:cs="Arial"/>
          <w:color w:val="000000" w:themeColor="text1"/>
          <w:sz w:val="20"/>
          <w:szCs w:val="20"/>
        </w:rPr>
        <w:t xml:space="preserve">. All primers used in the second-round PCR were designed in preparation for the </w:t>
      </w:r>
      <w:r w:rsidRPr="003A2793">
        <w:rPr>
          <w:rFonts w:ascii="Arial" w:hAnsi="Arial" w:cs="Arial"/>
          <w:i/>
          <w:color w:val="000000" w:themeColor="text1"/>
          <w:sz w:val="20"/>
          <w:szCs w:val="20"/>
        </w:rPr>
        <w:t>in vitro</w:t>
      </w:r>
      <w:r w:rsidRPr="003A2793">
        <w:rPr>
          <w:rFonts w:ascii="Arial" w:hAnsi="Arial" w:cs="Arial"/>
          <w:color w:val="000000" w:themeColor="text1"/>
          <w:sz w:val="20"/>
          <w:szCs w:val="20"/>
        </w:rPr>
        <w:t xml:space="preserve"> assembly using the sequence-and ligation-independent cloning (SLIC) method. SLIC-adapted primers were designed to generate a blunt 5’ end and to contain 20-30 </w:t>
      </w:r>
      <w:proofErr w:type="spellStart"/>
      <w:r w:rsidRPr="003A2793">
        <w:rPr>
          <w:rFonts w:ascii="Arial" w:hAnsi="Arial" w:cs="Arial"/>
          <w:color w:val="000000" w:themeColor="text1"/>
          <w:sz w:val="20"/>
          <w:szCs w:val="20"/>
        </w:rPr>
        <w:t>bp</w:t>
      </w:r>
      <w:proofErr w:type="spellEnd"/>
      <w:r w:rsidRPr="003A2793">
        <w:rPr>
          <w:rFonts w:ascii="Arial" w:hAnsi="Arial" w:cs="Arial"/>
          <w:color w:val="000000" w:themeColor="text1"/>
          <w:sz w:val="20"/>
          <w:szCs w:val="20"/>
        </w:rPr>
        <w:t xml:space="preserve"> sequences complementary to the 5’- or 3’- ends of the expression vector and flanking the human IGHV or </w:t>
      </w:r>
      <w:proofErr w:type="spellStart"/>
      <w:r w:rsidRPr="003A2793">
        <w:rPr>
          <w:rFonts w:ascii="Arial" w:hAnsi="Arial" w:cs="Arial"/>
          <w:color w:val="000000" w:themeColor="text1"/>
          <w:sz w:val="20"/>
          <w:szCs w:val="20"/>
        </w:rPr>
        <w:t>IGκV</w:t>
      </w:r>
      <w:proofErr w:type="spellEnd"/>
      <w:r w:rsidRPr="003A2793">
        <w:rPr>
          <w:rFonts w:ascii="Arial" w:hAnsi="Arial" w:cs="Arial"/>
          <w:color w:val="000000" w:themeColor="text1"/>
          <w:sz w:val="20"/>
          <w:szCs w:val="20"/>
        </w:rPr>
        <w:t xml:space="preserve"> sequences. All PCR reactions were performed with a total volume of 40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per sample containing 0.5 </w:t>
      </w:r>
      <w:proofErr w:type="spellStart"/>
      <w:r w:rsidRPr="003A2793">
        <w:rPr>
          <w:rFonts w:ascii="Arial" w:hAnsi="Arial" w:cs="Arial"/>
          <w:color w:val="000000" w:themeColor="text1"/>
          <w:sz w:val="20"/>
          <w:szCs w:val="20"/>
        </w:rPr>
        <w:t>μM</w:t>
      </w:r>
      <w:proofErr w:type="spellEnd"/>
      <w:r w:rsidRPr="003A2793">
        <w:rPr>
          <w:rFonts w:ascii="Arial" w:hAnsi="Arial" w:cs="Arial"/>
          <w:color w:val="000000" w:themeColor="text1"/>
          <w:sz w:val="20"/>
          <w:szCs w:val="20"/>
        </w:rPr>
        <w:t xml:space="preserve"> each of the forward or reverse primers, 300uM each of dNTP </w:t>
      </w:r>
      <w:r w:rsidRPr="003A2793">
        <w:rPr>
          <w:rFonts w:ascii="Arial" w:hAnsi="Arial" w:cs="Arial"/>
          <w:color w:val="000000" w:themeColor="text1"/>
          <w:sz w:val="20"/>
          <w:szCs w:val="20"/>
        </w:rPr>
        <w:lastRenderedPageBreak/>
        <w:t xml:space="preserve">mix, and 1.25 U One </w:t>
      </w:r>
      <w:proofErr w:type="spellStart"/>
      <w:r w:rsidRPr="003A2793">
        <w:rPr>
          <w:rFonts w:ascii="Arial" w:hAnsi="Arial" w:cs="Arial"/>
          <w:color w:val="000000" w:themeColor="text1"/>
          <w:sz w:val="20"/>
          <w:szCs w:val="20"/>
        </w:rPr>
        <w:t>Taq</w:t>
      </w:r>
      <w:proofErr w:type="spellEnd"/>
      <w:r w:rsidRPr="003A2793">
        <w:rPr>
          <w:rFonts w:ascii="Arial" w:hAnsi="Arial" w:cs="Arial"/>
          <w:color w:val="000000" w:themeColor="text1"/>
          <w:sz w:val="20"/>
          <w:szCs w:val="20"/>
        </w:rPr>
        <w:t xml:space="preserve"> DNA Polymerase (Invitrogen</w:t>
      </w:r>
      <w:r w:rsidR="00B33194">
        <w:rPr>
          <w:rFonts w:ascii="Arial" w:hAnsi="Arial" w:cs="Arial"/>
          <w:color w:val="000000" w:themeColor="text1"/>
          <w:sz w:val="20"/>
          <w:szCs w:val="20"/>
        </w:rPr>
        <w:t>, Carlsbad, CA, USA</w:t>
      </w:r>
      <w:r w:rsidRPr="003A2793">
        <w:rPr>
          <w:rFonts w:ascii="Arial" w:hAnsi="Arial" w:cs="Arial"/>
          <w:color w:val="000000" w:themeColor="text1"/>
          <w:sz w:val="20"/>
          <w:szCs w:val="20"/>
        </w:rPr>
        <w:t xml:space="preserve">). All second-round or cloning PCR reactions with gene-specific primers were performed with 3.5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of unpurified first PCR products. Each round of PCR was treated as follows: initial denaturation for 30s at 94°C, then 50 cycles of denaturation at 94°C for 30s, annealing at 58°C for 30s, and extension at 72°C for 55s (1</w:t>
      </w:r>
      <w:r w:rsidRPr="003A2793">
        <w:rPr>
          <w:rFonts w:ascii="Arial" w:hAnsi="Arial" w:cs="Arial"/>
          <w:color w:val="000000" w:themeColor="text1"/>
          <w:sz w:val="20"/>
          <w:szCs w:val="20"/>
          <w:vertAlign w:val="superscript"/>
        </w:rPr>
        <w:t>st</w:t>
      </w:r>
      <w:r w:rsidRPr="003A2793">
        <w:rPr>
          <w:rFonts w:ascii="Arial" w:hAnsi="Arial" w:cs="Arial"/>
          <w:color w:val="000000" w:themeColor="text1"/>
          <w:sz w:val="20"/>
          <w:szCs w:val="20"/>
        </w:rPr>
        <w:t xml:space="preserve"> PCR) or 45s (2</w:t>
      </w:r>
      <w:r w:rsidRPr="003A2793">
        <w:rPr>
          <w:rFonts w:ascii="Arial" w:hAnsi="Arial" w:cs="Arial"/>
          <w:color w:val="000000" w:themeColor="text1"/>
          <w:sz w:val="20"/>
          <w:szCs w:val="20"/>
          <w:vertAlign w:val="superscript"/>
        </w:rPr>
        <w:t>nd</w:t>
      </w:r>
      <w:r w:rsidRPr="003A2793">
        <w:rPr>
          <w:rFonts w:ascii="Arial" w:hAnsi="Arial" w:cs="Arial"/>
          <w:color w:val="000000" w:themeColor="text1"/>
          <w:sz w:val="20"/>
          <w:szCs w:val="20"/>
        </w:rPr>
        <w:t xml:space="preserve"> PCR), followed by a final extension of 68°C for 5 min and a cool down to 4°C. Each of the successfully amplified Ig variable heavy (IGHV) and Kappa (</w:t>
      </w:r>
      <w:proofErr w:type="spellStart"/>
      <w:r w:rsidRPr="003A2793">
        <w:rPr>
          <w:rFonts w:ascii="Arial" w:hAnsi="Arial" w:cs="Arial"/>
          <w:color w:val="000000" w:themeColor="text1"/>
          <w:sz w:val="20"/>
          <w:szCs w:val="20"/>
        </w:rPr>
        <w:t>IGκV</w:t>
      </w:r>
      <w:proofErr w:type="spellEnd"/>
      <w:r w:rsidRPr="003A2793">
        <w:rPr>
          <w:rFonts w:ascii="Arial" w:hAnsi="Arial" w:cs="Arial"/>
          <w:color w:val="000000" w:themeColor="text1"/>
          <w:sz w:val="20"/>
          <w:szCs w:val="20"/>
        </w:rPr>
        <w:t>) genes was visualized by gel electrophoresis on a 2% (</w:t>
      </w:r>
      <w:proofErr w:type="spellStart"/>
      <w:r w:rsidRPr="003A2793">
        <w:rPr>
          <w:rFonts w:ascii="Arial" w:hAnsi="Arial" w:cs="Arial"/>
          <w:color w:val="000000" w:themeColor="text1"/>
          <w:sz w:val="20"/>
          <w:szCs w:val="20"/>
        </w:rPr>
        <w:t>wt</w:t>
      </w:r>
      <w:proofErr w:type="spellEnd"/>
      <w:r w:rsidRPr="003A2793">
        <w:rPr>
          <w:rFonts w:ascii="Arial" w:hAnsi="Arial" w:cs="Arial"/>
          <w:color w:val="000000" w:themeColor="text1"/>
          <w:sz w:val="20"/>
          <w:szCs w:val="20"/>
        </w:rPr>
        <w:t>/</w:t>
      </w:r>
      <w:proofErr w:type="spellStart"/>
      <w:r w:rsidRPr="003A2793">
        <w:rPr>
          <w:rFonts w:ascii="Arial" w:hAnsi="Arial" w:cs="Arial"/>
          <w:color w:val="000000" w:themeColor="text1"/>
          <w:sz w:val="20"/>
          <w:szCs w:val="20"/>
        </w:rPr>
        <w:t>vol</w:t>
      </w:r>
      <w:proofErr w:type="spellEnd"/>
      <w:r w:rsidRPr="003A2793">
        <w:rPr>
          <w:rFonts w:ascii="Arial" w:hAnsi="Arial" w:cs="Arial"/>
          <w:color w:val="000000" w:themeColor="text1"/>
          <w:sz w:val="20"/>
          <w:szCs w:val="20"/>
        </w:rPr>
        <w:t xml:space="preserve">) agarose gel in preparation for cloning. </w:t>
      </w:r>
    </w:p>
    <w:p w14:paraId="676600B9" w14:textId="1A279D31" w:rsidR="00CC299A" w:rsidRPr="003A2793" w:rsidRDefault="00CC299A" w:rsidP="00CC299A">
      <w:pPr>
        <w:tabs>
          <w:tab w:val="left" w:pos="426"/>
        </w:tabs>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r>
      <w:r w:rsidR="00E33888">
        <w:rPr>
          <w:rFonts w:ascii="Arial" w:hAnsi="Arial" w:cs="Arial"/>
          <w:color w:val="000000" w:themeColor="text1"/>
          <w:sz w:val="20"/>
          <w:szCs w:val="20"/>
        </w:rPr>
        <w:t>The amplified I</w:t>
      </w:r>
      <w:r w:rsidR="00E33888" w:rsidRPr="003A2793">
        <w:rPr>
          <w:rFonts w:ascii="Arial" w:hAnsi="Arial" w:cs="Arial"/>
          <w:color w:val="000000" w:themeColor="text1"/>
          <w:sz w:val="20"/>
          <w:szCs w:val="20"/>
        </w:rPr>
        <w:t xml:space="preserve">GHV and </w:t>
      </w:r>
      <w:proofErr w:type="spellStart"/>
      <w:r w:rsidR="00E33888" w:rsidRPr="003A2793">
        <w:rPr>
          <w:rFonts w:ascii="Arial" w:hAnsi="Arial" w:cs="Arial"/>
          <w:color w:val="000000" w:themeColor="text1"/>
          <w:sz w:val="20"/>
          <w:szCs w:val="20"/>
        </w:rPr>
        <w:t>IGκV</w:t>
      </w:r>
      <w:proofErr w:type="spellEnd"/>
      <w:r w:rsidR="00E33888">
        <w:rPr>
          <w:rFonts w:ascii="Arial" w:hAnsi="Arial" w:cs="Arial"/>
          <w:color w:val="000000" w:themeColor="text1"/>
          <w:sz w:val="20"/>
          <w:szCs w:val="20"/>
        </w:rPr>
        <w:t xml:space="preserve"> f</w:t>
      </w:r>
      <w:r w:rsidRPr="003A2793">
        <w:rPr>
          <w:rFonts w:ascii="Arial" w:hAnsi="Arial" w:cs="Arial"/>
          <w:color w:val="000000" w:themeColor="text1"/>
          <w:sz w:val="20"/>
          <w:szCs w:val="20"/>
        </w:rPr>
        <w:t xml:space="preserve">ragments were assembled </w:t>
      </w:r>
      <w:r w:rsidRPr="003A2793">
        <w:rPr>
          <w:rFonts w:ascii="Arial" w:hAnsi="Arial" w:cs="Arial"/>
          <w:i/>
          <w:color w:val="000000" w:themeColor="text1"/>
          <w:sz w:val="20"/>
          <w:szCs w:val="20"/>
        </w:rPr>
        <w:t>in vitro</w:t>
      </w:r>
      <w:r w:rsidRPr="003A2793">
        <w:rPr>
          <w:rFonts w:ascii="Arial" w:hAnsi="Arial" w:cs="Arial"/>
          <w:color w:val="000000" w:themeColor="text1"/>
          <w:sz w:val="20"/>
          <w:szCs w:val="20"/>
        </w:rPr>
        <w:t xml:space="preserve"> using the SLIC method with the in-house </w:t>
      </w:r>
      <w:r w:rsidRPr="00074403">
        <w:rPr>
          <w:rFonts w:ascii="Arial" w:hAnsi="Arial" w:cs="Arial"/>
          <w:color w:val="000000" w:themeColor="text1"/>
          <w:sz w:val="20"/>
          <w:szCs w:val="20"/>
        </w:rPr>
        <w:t xml:space="preserve">generated </w:t>
      </w:r>
      <w:r w:rsidR="00E33888" w:rsidRPr="003A2793">
        <w:rPr>
          <w:rFonts w:ascii="Arial" w:hAnsi="Arial" w:cs="Arial"/>
          <w:color w:val="000000" w:themeColor="text1"/>
          <w:sz w:val="20"/>
          <w:szCs w:val="20"/>
        </w:rPr>
        <w:t xml:space="preserve">pVCHIg-hG1 and </w:t>
      </w:r>
      <w:proofErr w:type="spellStart"/>
      <w:r w:rsidR="00E33888" w:rsidRPr="003A2793">
        <w:rPr>
          <w:rFonts w:ascii="Arial" w:hAnsi="Arial" w:cs="Arial"/>
          <w:color w:val="000000" w:themeColor="text1"/>
          <w:sz w:val="20"/>
          <w:szCs w:val="20"/>
        </w:rPr>
        <w:t>pVCLIg</w:t>
      </w:r>
      <w:proofErr w:type="spellEnd"/>
      <w:r w:rsidR="00E33888" w:rsidRPr="003A2793">
        <w:rPr>
          <w:rFonts w:ascii="Arial" w:hAnsi="Arial" w:cs="Arial"/>
          <w:color w:val="000000" w:themeColor="text1"/>
          <w:sz w:val="20"/>
          <w:szCs w:val="20"/>
        </w:rPr>
        <w:t>-h</w:t>
      </w:r>
      <w:r w:rsidR="00E33888" w:rsidRPr="003A2793">
        <w:rPr>
          <w:rFonts w:ascii="Arial" w:hAnsi="Arial" w:cs="Arial"/>
          <w:color w:val="000000" w:themeColor="text1"/>
          <w:sz w:val="20"/>
          <w:szCs w:val="20"/>
        </w:rPr>
        <w:sym w:font="Symbol" w:char="F06B"/>
      </w:r>
      <w:r w:rsidR="00E33888" w:rsidRPr="00E33888">
        <w:rPr>
          <w:rFonts w:ascii="Arial" w:hAnsi="Arial" w:cs="Arial"/>
          <w:color w:val="000000" w:themeColor="text1"/>
          <w:sz w:val="20"/>
          <w:szCs w:val="20"/>
        </w:rPr>
        <w:t xml:space="preserve"> </w:t>
      </w:r>
      <w:r w:rsidR="00E33888" w:rsidRPr="00074403">
        <w:rPr>
          <w:rFonts w:ascii="Arial" w:hAnsi="Arial" w:cs="Arial"/>
          <w:color w:val="000000" w:themeColor="text1"/>
          <w:sz w:val="20"/>
          <w:szCs w:val="20"/>
        </w:rPr>
        <w:t>expression vectors</w:t>
      </w:r>
      <w:r w:rsidR="00E33888">
        <w:rPr>
          <w:rFonts w:ascii="Arial" w:hAnsi="Arial" w:cs="Arial"/>
          <w:color w:val="000000" w:themeColor="text1"/>
          <w:sz w:val="20"/>
          <w:szCs w:val="20"/>
        </w:rPr>
        <w:t>, respectively</w:t>
      </w:r>
      <w:r w:rsidRPr="00074403">
        <w:rPr>
          <w:rFonts w:ascii="Arial" w:hAnsi="Arial" w:cs="Arial"/>
          <w:color w:val="000000" w:themeColor="text1"/>
          <w:sz w:val="20"/>
          <w:szCs w:val="20"/>
        </w:rPr>
        <w:t xml:space="preserve">. Briefly, 50 ng of the IGHV and </w:t>
      </w:r>
      <w:proofErr w:type="spellStart"/>
      <w:r w:rsidRPr="00074403">
        <w:rPr>
          <w:rFonts w:ascii="Arial" w:hAnsi="Arial" w:cs="Arial"/>
          <w:color w:val="000000" w:themeColor="text1"/>
          <w:sz w:val="20"/>
          <w:szCs w:val="20"/>
        </w:rPr>
        <w:t>IGκV</w:t>
      </w:r>
      <w:proofErr w:type="spellEnd"/>
      <w:r w:rsidRPr="00074403">
        <w:rPr>
          <w:rFonts w:ascii="Arial" w:hAnsi="Arial" w:cs="Arial"/>
          <w:color w:val="000000" w:themeColor="text1"/>
          <w:sz w:val="20"/>
          <w:szCs w:val="20"/>
        </w:rPr>
        <w:t xml:space="preserve"> fragments were independently combined with 100 ng of the respective linearized expression vectors, assembled </w:t>
      </w:r>
      <w:r w:rsidRPr="00074403">
        <w:rPr>
          <w:rFonts w:ascii="Arial" w:hAnsi="Arial" w:cs="Arial"/>
          <w:i/>
          <w:color w:val="000000" w:themeColor="text1"/>
          <w:sz w:val="20"/>
          <w:szCs w:val="20"/>
        </w:rPr>
        <w:t>in vitro</w:t>
      </w:r>
      <w:r w:rsidRPr="00074403">
        <w:rPr>
          <w:rFonts w:ascii="Arial" w:hAnsi="Arial" w:cs="Arial"/>
          <w:color w:val="000000" w:themeColor="text1"/>
          <w:sz w:val="20"/>
          <w:szCs w:val="20"/>
        </w:rPr>
        <w:t xml:space="preserve"> as part of a SLIC reaction, and then transformed into chemically competent </w:t>
      </w:r>
      <w:r w:rsidRPr="00074403">
        <w:rPr>
          <w:rFonts w:ascii="Arial" w:hAnsi="Arial" w:cs="Arial"/>
          <w:i/>
          <w:color w:val="000000" w:themeColor="text1"/>
          <w:sz w:val="20"/>
          <w:szCs w:val="20"/>
        </w:rPr>
        <w:t>E. coli</w:t>
      </w:r>
      <w:r w:rsidRPr="00074403">
        <w:rPr>
          <w:rFonts w:ascii="Arial" w:hAnsi="Arial" w:cs="Arial"/>
          <w:color w:val="000000" w:themeColor="text1"/>
          <w:sz w:val="20"/>
          <w:szCs w:val="20"/>
        </w:rPr>
        <w:t xml:space="preserve"> cells (Extended Data Fig. </w:t>
      </w:r>
      <w:r w:rsidR="00716CB1">
        <w:rPr>
          <w:rFonts w:ascii="Arial" w:hAnsi="Arial" w:cs="Arial"/>
          <w:color w:val="000000" w:themeColor="text1"/>
          <w:sz w:val="20"/>
          <w:szCs w:val="20"/>
        </w:rPr>
        <w:t>9</w:t>
      </w:r>
      <w:r w:rsidRPr="00074403">
        <w:rPr>
          <w:rFonts w:ascii="Arial" w:hAnsi="Arial" w:cs="Arial"/>
          <w:color w:val="000000" w:themeColor="text1"/>
          <w:sz w:val="20"/>
          <w:szCs w:val="20"/>
        </w:rPr>
        <w:t>b). Standard</w:t>
      </w:r>
      <w:r w:rsidRPr="003A2793">
        <w:rPr>
          <w:rFonts w:ascii="Arial" w:hAnsi="Arial" w:cs="Arial"/>
          <w:color w:val="000000" w:themeColor="text1"/>
          <w:sz w:val="20"/>
          <w:szCs w:val="20"/>
        </w:rPr>
        <w:t xml:space="preserve"> transformation was performed followed by spread-plating onto Luria-Bertani (LB)-agar Petri dishes containing 100 </w:t>
      </w:r>
      <w:proofErr w:type="spellStart"/>
      <w:r w:rsidRPr="003A2793">
        <w:rPr>
          <w:rFonts w:ascii="Arial" w:hAnsi="Arial" w:cs="Arial"/>
          <w:color w:val="000000" w:themeColor="text1"/>
          <w:sz w:val="20"/>
          <w:szCs w:val="20"/>
        </w:rPr>
        <w:t>μg</w:t>
      </w:r>
      <w:proofErr w:type="spellEnd"/>
      <w:r w:rsidRPr="003A2793">
        <w:rPr>
          <w:rFonts w:ascii="Arial" w:hAnsi="Arial" w:cs="Arial"/>
          <w:color w:val="000000" w:themeColor="text1"/>
          <w:sz w:val="20"/>
          <w:szCs w:val="20"/>
        </w:rPr>
        <w:t>/mL Kanamycin. Screening of single bacterial colonies containing the IGHV/</w:t>
      </w:r>
      <w:proofErr w:type="spellStart"/>
      <w:r w:rsidRPr="003A2793">
        <w:rPr>
          <w:rFonts w:ascii="Arial" w:hAnsi="Arial" w:cs="Arial"/>
          <w:color w:val="000000" w:themeColor="text1"/>
          <w:sz w:val="20"/>
          <w:szCs w:val="20"/>
        </w:rPr>
        <w:t>IGκV</w:t>
      </w:r>
      <w:proofErr w:type="spellEnd"/>
      <w:r w:rsidRPr="003A2793">
        <w:rPr>
          <w:rFonts w:ascii="Arial" w:hAnsi="Arial" w:cs="Arial"/>
          <w:color w:val="000000" w:themeColor="text1"/>
          <w:sz w:val="20"/>
          <w:szCs w:val="20"/>
        </w:rPr>
        <w:t xml:space="preserve"> inserts was also performed by PCR, and positively screened cultures were grown for 16-18 h at 37°C with moderate shaking in 5 mL LB (</w:t>
      </w:r>
      <w:proofErr w:type="spellStart"/>
      <w:r w:rsidRPr="003A2793">
        <w:rPr>
          <w:rFonts w:ascii="Arial" w:hAnsi="Arial" w:cs="Arial"/>
          <w:color w:val="000000" w:themeColor="text1"/>
          <w:sz w:val="20"/>
          <w:szCs w:val="20"/>
        </w:rPr>
        <w:t>Difco</w:t>
      </w:r>
      <w:proofErr w:type="spellEnd"/>
      <w:r w:rsidR="00D5747A">
        <w:rPr>
          <w:rFonts w:ascii="Arial" w:hAnsi="Arial" w:cs="Arial"/>
          <w:color w:val="000000" w:themeColor="text1"/>
          <w:sz w:val="20"/>
          <w:szCs w:val="20"/>
        </w:rPr>
        <w:t xml:space="preserve"> Laboratories</w:t>
      </w:r>
      <w:r w:rsidRPr="003A2793">
        <w:rPr>
          <w:rFonts w:ascii="Arial" w:hAnsi="Arial" w:cs="Arial"/>
          <w:color w:val="000000" w:themeColor="text1"/>
          <w:sz w:val="20"/>
          <w:szCs w:val="20"/>
        </w:rPr>
        <w:t xml:space="preserve">) broth containing 100 </w:t>
      </w:r>
      <w:proofErr w:type="spellStart"/>
      <w:r w:rsidRPr="003A2793">
        <w:rPr>
          <w:rFonts w:ascii="Arial" w:hAnsi="Arial" w:cs="Arial"/>
          <w:color w:val="000000" w:themeColor="text1"/>
          <w:sz w:val="20"/>
          <w:szCs w:val="20"/>
        </w:rPr>
        <w:t>μg</w:t>
      </w:r>
      <w:proofErr w:type="spellEnd"/>
      <w:r w:rsidRPr="003A2793">
        <w:rPr>
          <w:rFonts w:ascii="Arial" w:hAnsi="Arial" w:cs="Arial"/>
          <w:color w:val="000000" w:themeColor="text1"/>
          <w:sz w:val="20"/>
          <w:szCs w:val="20"/>
        </w:rPr>
        <w:t>/mL Kanamycin (</w:t>
      </w:r>
      <w:r w:rsidR="00F04776" w:rsidRPr="003A2793">
        <w:rPr>
          <w:rFonts w:ascii="Arial" w:hAnsi="Arial" w:cs="Arial"/>
          <w:color w:val="000000" w:themeColor="text1"/>
          <w:sz w:val="20"/>
          <w:szCs w:val="20"/>
        </w:rPr>
        <w:t>Sigma-Aldrich Inc., St. Louis, MO, USA</w:t>
      </w:r>
      <w:r w:rsidRPr="003A2793">
        <w:rPr>
          <w:rFonts w:ascii="Arial" w:hAnsi="Arial" w:cs="Arial"/>
          <w:color w:val="000000" w:themeColor="text1"/>
          <w:sz w:val="20"/>
          <w:szCs w:val="20"/>
        </w:rPr>
        <w:t xml:space="preserve">). Plasmid DNA was purified with </w:t>
      </w:r>
      <w:proofErr w:type="spellStart"/>
      <w:r w:rsidRPr="003A2793">
        <w:rPr>
          <w:rFonts w:ascii="Arial" w:hAnsi="Arial" w:cs="Arial"/>
          <w:color w:val="000000" w:themeColor="text1"/>
          <w:sz w:val="20"/>
          <w:szCs w:val="20"/>
        </w:rPr>
        <w:t>QIAprep</w:t>
      </w:r>
      <w:proofErr w:type="spellEnd"/>
      <w:r w:rsidRPr="003A2793">
        <w:rPr>
          <w:rFonts w:ascii="Arial" w:hAnsi="Arial" w:cs="Arial"/>
          <w:color w:val="000000" w:themeColor="text1"/>
          <w:sz w:val="20"/>
          <w:szCs w:val="20"/>
        </w:rPr>
        <w:t xml:space="preserve"> Spin columns (Qiagen</w:t>
      </w:r>
      <w:r w:rsidR="007B0ED2">
        <w:rPr>
          <w:rFonts w:ascii="Arial" w:hAnsi="Arial" w:cs="Arial"/>
          <w:color w:val="000000" w:themeColor="text1"/>
          <w:sz w:val="20"/>
          <w:szCs w:val="20"/>
        </w:rPr>
        <w:t>, Santa Clarita, CA, USA</w:t>
      </w:r>
      <w:r w:rsidRPr="003A2793">
        <w:rPr>
          <w:rFonts w:ascii="Arial" w:hAnsi="Arial" w:cs="Arial"/>
          <w:color w:val="000000" w:themeColor="text1"/>
          <w:sz w:val="20"/>
          <w:szCs w:val="20"/>
        </w:rPr>
        <w:t xml:space="preserve">) and sent for sequencing to confirm </w:t>
      </w:r>
      <w:r w:rsidRPr="003A2793">
        <w:rPr>
          <w:rFonts w:ascii="Arial" w:hAnsi="Arial" w:cs="Arial"/>
          <w:color w:val="000000" w:themeColor="text1"/>
          <w:sz w:val="20"/>
          <w:szCs w:val="20"/>
        </w:rPr>
        <w:lastRenderedPageBreak/>
        <w:t>the insert identity with the original PCR products.</w:t>
      </w:r>
    </w:p>
    <w:p w14:paraId="4F369FC9" w14:textId="77777777" w:rsidR="00CC299A" w:rsidRPr="003A2793" w:rsidRDefault="00CC299A" w:rsidP="00CC299A">
      <w:pPr>
        <w:spacing w:line="480" w:lineRule="auto"/>
        <w:rPr>
          <w:rFonts w:ascii="Arial" w:hAnsi="Arial" w:cs="Arial"/>
          <w:b/>
          <w:color w:val="000000" w:themeColor="text1"/>
          <w:sz w:val="20"/>
          <w:szCs w:val="20"/>
        </w:rPr>
      </w:pPr>
    </w:p>
    <w:p w14:paraId="7D9CAF0B"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b/>
          <w:color w:val="000000" w:themeColor="text1"/>
          <w:sz w:val="20"/>
          <w:szCs w:val="20"/>
        </w:rPr>
        <w:t>Human Ig gene sequence analysis</w:t>
      </w:r>
    </w:p>
    <w:p w14:paraId="7EF42EB4" w14:textId="60DA9852" w:rsidR="00CC299A" w:rsidRPr="003A2793" w:rsidRDefault="00CC299A" w:rsidP="00CC299A">
      <w:pPr>
        <w:spacing w:line="480" w:lineRule="auto"/>
        <w:jc w:val="both"/>
        <w:rPr>
          <w:rFonts w:ascii="Arial" w:hAnsi="Arial" w:cs="Arial"/>
          <w:color w:val="000000" w:themeColor="text1"/>
          <w:sz w:val="20"/>
          <w:szCs w:val="20"/>
        </w:rPr>
      </w:pPr>
      <w:r w:rsidRPr="003A2793">
        <w:rPr>
          <w:rFonts w:ascii="Arial" w:hAnsi="Arial" w:cs="Arial"/>
          <w:b/>
          <w:color w:val="000000" w:themeColor="text1"/>
          <w:sz w:val="20"/>
          <w:szCs w:val="20"/>
        </w:rPr>
        <w:tab/>
      </w:r>
      <w:r w:rsidRPr="003A2793">
        <w:rPr>
          <w:rFonts w:ascii="Arial" w:hAnsi="Arial" w:cs="Arial"/>
          <w:color w:val="000000" w:themeColor="text1"/>
          <w:sz w:val="20"/>
          <w:szCs w:val="20"/>
        </w:rPr>
        <w:t>To define the Ig gene structure, particularly the framework, V(D)J gene assignment</w:t>
      </w:r>
      <w:r w:rsidR="00712084">
        <w:rPr>
          <w:rFonts w:ascii="Arial" w:hAnsi="Arial" w:cs="Arial"/>
          <w:color w:val="000000" w:themeColor="text1"/>
          <w:sz w:val="20"/>
          <w:szCs w:val="20"/>
        </w:rPr>
        <w:t>,</w:t>
      </w:r>
      <w:r w:rsidRPr="003A2793">
        <w:rPr>
          <w:rFonts w:ascii="Arial" w:hAnsi="Arial" w:cs="Arial"/>
          <w:color w:val="000000" w:themeColor="text1"/>
          <w:sz w:val="20"/>
          <w:szCs w:val="20"/>
        </w:rPr>
        <w:t xml:space="preserve"> and the complementarity determining region (CDR) boundaries, we analyzed the sequences by comparing the variable gene of the generated IGHV</w:t>
      </w:r>
      <w:r w:rsidR="00712084">
        <w:rPr>
          <w:rFonts w:ascii="Arial" w:hAnsi="Arial" w:cs="Arial"/>
          <w:color w:val="000000" w:themeColor="text1"/>
          <w:sz w:val="20"/>
          <w:szCs w:val="20"/>
        </w:rPr>
        <w:t xml:space="preserve"> and </w:t>
      </w:r>
      <w:proofErr w:type="spellStart"/>
      <w:r w:rsidRPr="003A2793">
        <w:rPr>
          <w:rFonts w:ascii="Arial" w:hAnsi="Arial" w:cs="Arial"/>
          <w:color w:val="000000" w:themeColor="text1"/>
          <w:sz w:val="20"/>
          <w:szCs w:val="20"/>
        </w:rPr>
        <w:t>IGκV</w:t>
      </w:r>
      <w:proofErr w:type="spellEnd"/>
      <w:r w:rsidRPr="003A2793">
        <w:rPr>
          <w:rFonts w:ascii="Arial" w:hAnsi="Arial" w:cs="Arial"/>
          <w:color w:val="000000" w:themeColor="text1"/>
          <w:sz w:val="20"/>
          <w:szCs w:val="20"/>
        </w:rPr>
        <w:t xml:space="preserve"> fragments with the human Ig sequences using the international </w:t>
      </w:r>
      <w:proofErr w:type="spellStart"/>
      <w:r w:rsidRPr="003A2793">
        <w:rPr>
          <w:rFonts w:ascii="Arial" w:hAnsi="Arial" w:cs="Arial"/>
          <w:color w:val="000000" w:themeColor="text1"/>
          <w:sz w:val="20"/>
          <w:szCs w:val="20"/>
        </w:rPr>
        <w:t>ImmunoGenetics</w:t>
      </w:r>
      <w:proofErr w:type="spellEnd"/>
      <w:r w:rsidRPr="003A2793">
        <w:rPr>
          <w:rFonts w:ascii="Arial" w:hAnsi="Arial" w:cs="Arial"/>
          <w:color w:val="000000" w:themeColor="text1"/>
          <w:sz w:val="20"/>
          <w:szCs w:val="20"/>
        </w:rPr>
        <w:t xml:space="preserve"> (IMGT)/V-Quest germline gene database</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{"citationItems":[{"id":"ITEM-1","itemData":{"DOI":"10.1093/nar/gkh412","ISSN":"03051048","PMID":"15215425","abstract":"IMGT/V-QUEST, for 'V-QUEry and STandardization', is an integrated software program which analyses the immunoglobulin (IG) and T cell receptor (TR) rearranged nucleotide sequences. The extraordinary diversity of the IG and TR repertoires (1012 antibodies and 1012 TR per individual) results from several mechanisms at the DNA level: the combinatorial diversity of the variable (V), diversity (D) and joining (J) genes, the N-diversity and, for IG, the somatic mutations. IMGT/V-QUEST identifies the V, D and J genes and alleles by alignment with the germline IG and TR gene and allele sequences of the IMGT reference directory. IMGT/V-QUEST delimits the structurally important features, frameworks and complementarity-determining regions (the last of these forming the antigen binding site), on the basis of the IMGT unique numbering. The tool localizes the somatic mutations of the IG rearranged sequences. IMGT/V-QUEST also dynamically displays a graphical two-dimensional representation, or IMGT Collier de Peries, of the IG and TR variable regions. Moreover, IMGT/V-QUEST can interact with IMGT/JunctionAnalysis for the detailed description of the V-J and V-D-J junctions, and with IMGT/PhyloGene for the construction of phylogenetic trees. IMGT/V-QUEST is currently available for human and mouse, and partly for non-human primates, sheep, chondrichthyes and teleostei. IMGT/V-QUEST is freely available at http://imgt.cines.fri. © Oxford University Press 2004; all rights reserved.","author":[{"dropping-particle":"","family":"Giudicelli","given":"Véronique","non-dropping-particle":"","parse-names":false,"suffix":""},{"dropping-particle":"","family":"Chaume","given":"Denys","non-dropping-particle":"","parse-names":false,"suffix":""},{"dropping-particle":"","family":"Lefranc","given":"Marie Paule","non-dropping-particle":"","parse-names":false,"suffix":""}],"container-title":"Nucleic Acids Research","id":"ITEM-1","issue":"WEB SERVER ISS.","issued":{"date-parts":[["2004"]]},"page":"435-440","title":"IMGT/V-QUEST, an integrated software program for immunoglobulin and T cell receptor V-J and V-D-J rearrangement analysis","type":"article-journal","volume":"32"},"uris":["http://www.mendeley.com/documents/?uuid=8e43175f-d3b6-40fb-aee2-7e06e5e1b774"]},{"id":"ITEM-2","itemData":{"DOI":"10.1038/ncomms3333","ISSN":"20411723","PMID":"23995877","abstract":"T cell repertoire diversity and clonotype follow</w:instrText>
      </w:r>
      <w:r w:rsidR="00C937AB">
        <w:rPr>
          <w:rFonts w:ascii="Arial" w:hAnsi="Arial" w:cs="Arial" w:hint="eastAsia"/>
          <w:color w:val="000000" w:themeColor="text1"/>
          <w:sz w:val="20"/>
          <w:szCs w:val="20"/>
        </w:rPr>
        <w:instrText>-up in vaccination, cancer, infectious and immune diseases represent a major challenge owing to the enormous complexity of the data generated. Here we describe a next generation methodology, which combines 5</w:instrText>
      </w:r>
      <w:r w:rsidR="00C937AB">
        <w:rPr>
          <w:rFonts w:ascii="Arial" w:hAnsi="Arial" w:cs="Arial" w:hint="eastAsia"/>
          <w:color w:val="000000" w:themeColor="text1"/>
          <w:sz w:val="20"/>
          <w:szCs w:val="20"/>
        </w:rPr>
        <w:instrText>′</w:instrText>
      </w:r>
      <w:r w:rsidR="00C937AB">
        <w:rPr>
          <w:rFonts w:ascii="Arial" w:hAnsi="Arial" w:cs="Arial" w:hint="eastAsia"/>
          <w:color w:val="000000" w:themeColor="text1"/>
          <w:sz w:val="20"/>
          <w:szCs w:val="20"/>
        </w:rPr>
        <w:instrText>RACE PCR, 454 sequencing and, for analysis, IMG</w:instrText>
      </w:r>
      <w:r w:rsidR="00C937AB">
        <w:rPr>
          <w:rFonts w:ascii="Arial" w:hAnsi="Arial" w:cs="Arial"/>
          <w:color w:val="000000" w:themeColor="text1"/>
          <w:sz w:val="20"/>
          <w:szCs w:val="20"/>
        </w:rPr>
        <w:instrText>T, the international ImMunoGeneTics information system (IMGT), IMGT/HighV-QUEST web portal and IMGT-ONTOLOGY concepts. The approach is validated in a human case study of T cell receptor beta (TRB) repertoire, by chronologically tracking the effects of influenza vaccination on conventional and regulatory T cell subpopulations. The IMGT/HighV-QUEST paradigm defines standards for genotype/haplotype analysis and characterization of IMGT clonotypes for clonal diversity and expression and achieves a degree of resolution for next generation sequencing verifiable by the user at the sequence level, while providing a normalized reference immunoprofile for human TRB. © 2013 Macmillan Publishers Limited.","author":[{"dropping-particle":"","family":"Li","given":"Shuo","non-dropping-particle":"","parse-names":false,"suffix":""},{"dropping-particle":"","family":"Lefranc","given":"Marie Paule","non-dropping-particle":"","parse-names":false,"suffix":""},{"dropping-particle":"","family":"Miles","given":"John J.","non-dropping-particle":"","parse-names":false,"suffix":""},{"dropping-particle":"","family":"Alamyar","given":"Eltaf","non-dropping-particle":"","parse-names":false,"suffix":""},{"dropping-particle":"","family":"Giudicelli","given":"Véronique","non-dropping-particle":"","parse-names":false,"suffix":""},{"dropping-particle":"","family":"Duroux","given":"Patrice","non-dropping-particle":"","parse-names":false,"suffix":""},{"dropping-particle":"","family":"Freeman","given":"J. Douglas","non-dropping-particle":"","parse-names":false,"suffix":""},{"dropping-particle":"","family":"Corbin","given":"Vincent D.A.","non-dropping-particle":"","parse-names":false,"suffix":""},{"dropping-particle":"","family":"Scheerlinck","given":"Jean Pierre","non-dropping-particle":"","parse-names":false,"suffix":""},{"dropping-particle":"","family":"Frohman","given":"Michael A.","non-dropping-particle":"","parse-names":false,"suffix":""},{"dropping-particle":"","family":"Cameron","given":"Paul U.","non-dropping-particle":"","parse-names":false,"suffix":""},{"dropping-particle":"","family":"Plebanski","given":"Magdalena","non-dropping-particle":"","parse-names":false,"suffix":""},{"dropping-particle":"","family":"Loveland","given":"Bruce","non-dropping-particle":"","parse-names":false,"suffix":""},{"dropping-particle":"","family":"Burrows","given":"Scott R.","non-dropping-particle":"","parse-names":false,"suffix":""},{"dropping-particle":"","family":"Papenfuss","given":"Anthony T.","non-dropping-particle":"","parse-names":false,"suffix":""},{"dropping-particle":"","family":"Gowans","given":"Eric J.","non-dropping-particle":"","parse-names":false,"suffix":""}],"container-title":"Nature Communications","id":"ITEM-2","issue":"May","issued":{"date-parts":[["2013"]]},"title":"IMGT/HighV QUEST paradigm for T cell receptor IMGT clonotype diversity and next generation repertoire immunoprofiling","type":"article-journal","volume":"4"},"uris":["http://www.mendeley.com/documents/?uuid=455c0dc9-200d-4dd7-9777-8c7ce940ee5f"]}],"mendeley":{"formattedCitation":"&lt;sup&gt;12,13&lt;/sup&gt;","plainTextFormattedCitation":"12,13","previouslyFormattedCitation":"&lt;sup&gt;12,13&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12,13</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closest V(D)J or V-J genes and alleles for the respective heavy and kappa light chains were identified by alignment of the first nucleotide to the conserved second cysteine codon of the V-region in the germline database. Only the sequences with at least 70% V-gene and allele identity with the germline were expressed. Following the IMGT numbering delimitations, analysis of the junction region showed the translated Ig CDR3, which extends from the conserved cysteine (Cys104) to the conserved tryptophan-glycine (</w:t>
      </w:r>
      <w:proofErr w:type="spellStart"/>
      <w:r w:rsidRPr="003A2793">
        <w:rPr>
          <w:rFonts w:ascii="Arial" w:hAnsi="Arial" w:cs="Arial"/>
          <w:color w:val="000000" w:themeColor="text1"/>
          <w:sz w:val="20"/>
          <w:szCs w:val="20"/>
        </w:rPr>
        <w:t>Trp</w:t>
      </w:r>
      <w:proofErr w:type="spellEnd"/>
      <w:r w:rsidRPr="003A2793">
        <w:rPr>
          <w:rFonts w:ascii="Arial" w:hAnsi="Arial" w:cs="Arial"/>
          <w:color w:val="000000" w:themeColor="text1"/>
          <w:sz w:val="20"/>
          <w:szCs w:val="20"/>
        </w:rPr>
        <w:t>-</w:t>
      </w:r>
      <w:proofErr w:type="spellStart"/>
      <w:r w:rsidRPr="003A2793">
        <w:rPr>
          <w:rFonts w:ascii="Arial" w:hAnsi="Arial" w:cs="Arial"/>
          <w:color w:val="000000" w:themeColor="text1"/>
          <w:sz w:val="20"/>
          <w:szCs w:val="20"/>
        </w:rPr>
        <w:t>Gly</w:t>
      </w:r>
      <w:proofErr w:type="spellEnd"/>
      <w:r w:rsidRPr="003A2793">
        <w:rPr>
          <w:rFonts w:ascii="Arial" w:hAnsi="Arial" w:cs="Arial"/>
          <w:color w:val="000000" w:themeColor="text1"/>
          <w:sz w:val="20"/>
          <w:szCs w:val="20"/>
        </w:rPr>
        <w:t>-X-</w:t>
      </w:r>
      <w:proofErr w:type="spellStart"/>
      <w:r w:rsidRPr="003A2793">
        <w:rPr>
          <w:rFonts w:ascii="Arial" w:hAnsi="Arial" w:cs="Arial"/>
          <w:color w:val="000000" w:themeColor="text1"/>
          <w:sz w:val="20"/>
          <w:szCs w:val="20"/>
        </w:rPr>
        <w:t>Gly</w:t>
      </w:r>
      <w:proofErr w:type="spellEnd"/>
      <w:r w:rsidRPr="003A2793">
        <w:rPr>
          <w:rFonts w:ascii="Arial" w:hAnsi="Arial" w:cs="Arial"/>
          <w:color w:val="000000" w:themeColor="text1"/>
          <w:sz w:val="20"/>
          <w:szCs w:val="20"/>
        </w:rPr>
        <w:t>) motif in all human JH gene segments or the conserved phenylalanine-glycine motif (</w:t>
      </w:r>
      <w:proofErr w:type="spellStart"/>
      <w:r w:rsidRPr="003A2793">
        <w:rPr>
          <w:rFonts w:ascii="Arial" w:hAnsi="Arial" w:cs="Arial"/>
          <w:color w:val="000000" w:themeColor="text1"/>
          <w:sz w:val="20"/>
          <w:szCs w:val="20"/>
        </w:rPr>
        <w:t>Phe</w:t>
      </w:r>
      <w:proofErr w:type="spellEnd"/>
      <w:r w:rsidRPr="003A2793">
        <w:rPr>
          <w:rFonts w:ascii="Arial" w:hAnsi="Arial" w:cs="Arial"/>
          <w:color w:val="000000" w:themeColor="text1"/>
          <w:sz w:val="20"/>
          <w:szCs w:val="20"/>
        </w:rPr>
        <w:t>-</w:t>
      </w:r>
      <w:proofErr w:type="spellStart"/>
      <w:r w:rsidRPr="003A2793">
        <w:rPr>
          <w:rFonts w:ascii="Arial" w:hAnsi="Arial" w:cs="Arial"/>
          <w:color w:val="000000" w:themeColor="text1"/>
          <w:sz w:val="20"/>
          <w:szCs w:val="20"/>
        </w:rPr>
        <w:t>Gly</w:t>
      </w:r>
      <w:proofErr w:type="spellEnd"/>
      <w:r w:rsidRPr="003A2793">
        <w:rPr>
          <w:rFonts w:ascii="Arial" w:hAnsi="Arial" w:cs="Arial"/>
          <w:color w:val="000000" w:themeColor="text1"/>
          <w:sz w:val="20"/>
          <w:szCs w:val="20"/>
        </w:rPr>
        <w:t>-X-</w:t>
      </w:r>
      <w:proofErr w:type="spellStart"/>
      <w:r w:rsidRPr="003A2793">
        <w:rPr>
          <w:rFonts w:ascii="Arial" w:hAnsi="Arial" w:cs="Arial"/>
          <w:color w:val="000000" w:themeColor="text1"/>
          <w:sz w:val="20"/>
          <w:szCs w:val="20"/>
        </w:rPr>
        <w:t>Gly</w:t>
      </w:r>
      <w:proofErr w:type="spellEnd"/>
      <w:r w:rsidRPr="003A2793">
        <w:rPr>
          <w:rFonts w:ascii="Arial" w:hAnsi="Arial" w:cs="Arial"/>
          <w:color w:val="000000" w:themeColor="text1"/>
          <w:sz w:val="20"/>
          <w:szCs w:val="20"/>
        </w:rPr>
        <w:t xml:space="preserve">) in all human </w:t>
      </w:r>
      <w:proofErr w:type="spellStart"/>
      <w:r w:rsidRPr="003A2793">
        <w:rPr>
          <w:rFonts w:ascii="Arial" w:hAnsi="Arial" w:cs="Arial"/>
          <w:color w:val="000000" w:themeColor="text1"/>
          <w:sz w:val="20"/>
          <w:szCs w:val="20"/>
        </w:rPr>
        <w:t>Jκ</w:t>
      </w:r>
      <w:proofErr w:type="spellEnd"/>
      <w:r w:rsidRPr="003A2793">
        <w:rPr>
          <w:rFonts w:ascii="Arial" w:hAnsi="Arial" w:cs="Arial"/>
          <w:color w:val="000000" w:themeColor="text1"/>
          <w:sz w:val="20"/>
          <w:szCs w:val="20"/>
        </w:rPr>
        <w:t xml:space="preserve"> gene segments. Non-silent nucleotide mutations at the V-regions were also generated, which gave rise to distinct amino acid changes. All B cell clones with productive V-genes were expressed. Sequences that were non-productive, out-of-frame, or with premature stop codons were excluded for </w:t>
      </w:r>
      <w:r w:rsidR="00297548">
        <w:rPr>
          <w:rFonts w:ascii="Arial" w:hAnsi="Arial" w:cs="Arial"/>
          <w:color w:val="000000" w:themeColor="text1"/>
          <w:sz w:val="20"/>
          <w:szCs w:val="20"/>
        </w:rPr>
        <w:t>expression</w:t>
      </w:r>
      <w:r w:rsidRPr="003A2793">
        <w:rPr>
          <w:rFonts w:ascii="Arial" w:hAnsi="Arial" w:cs="Arial"/>
          <w:color w:val="000000" w:themeColor="text1"/>
          <w:sz w:val="20"/>
          <w:szCs w:val="20"/>
        </w:rPr>
        <w:t xml:space="preserve">. Sequences matching light or heavy chain sequences from a pseudogene in the germline were </w:t>
      </w:r>
      <w:r w:rsidR="00504EAE">
        <w:rPr>
          <w:rFonts w:ascii="Arial" w:hAnsi="Arial" w:cs="Arial"/>
          <w:color w:val="000000" w:themeColor="text1"/>
          <w:sz w:val="20"/>
          <w:szCs w:val="20"/>
        </w:rPr>
        <w:t xml:space="preserve">also </w:t>
      </w:r>
      <w:r w:rsidRPr="003A2793">
        <w:rPr>
          <w:rFonts w:ascii="Arial" w:hAnsi="Arial" w:cs="Arial"/>
          <w:color w:val="000000" w:themeColor="text1"/>
          <w:sz w:val="20"/>
          <w:szCs w:val="20"/>
        </w:rPr>
        <w:t xml:space="preserve">omitted. All the remaining paired </w:t>
      </w:r>
      <w:r w:rsidRPr="003A2793">
        <w:rPr>
          <w:rFonts w:ascii="Arial" w:hAnsi="Arial" w:cs="Arial"/>
          <w:color w:val="000000" w:themeColor="text1"/>
          <w:sz w:val="20"/>
          <w:szCs w:val="20"/>
        </w:rPr>
        <w:lastRenderedPageBreak/>
        <w:t xml:space="preserve">sequences with accurate and productive antibody transcripts were expressed as full-length human IgG1 in this study. </w:t>
      </w:r>
    </w:p>
    <w:p w14:paraId="78B0BD60" w14:textId="3D125C27" w:rsidR="00CC299A" w:rsidRPr="003A2793"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Somatic hypermutation (SHM) level (%SHM) was calculated as the divergence of the antibody variable domains from the assigned closest germline sequences at the nucleotide level. Similarly, the amino acid (AA) changes resulting from non-silent nucleotide mutations (%AA change) were evaluated as the divergence in the amino acids relative to the number of germline AA. AA changes were identified following the IMGT physicochemical classifications based on hydropathy, volume, and IMGT physicochemical properties, and whether the AA change belongs to the same </w:t>
      </w:r>
      <w:r w:rsidR="000016FB">
        <w:rPr>
          <w:rFonts w:ascii="Arial" w:hAnsi="Arial" w:cs="Arial"/>
          <w:color w:val="000000" w:themeColor="text1"/>
          <w:sz w:val="20"/>
          <w:szCs w:val="20"/>
        </w:rPr>
        <w:t xml:space="preserve">or different </w:t>
      </w:r>
      <w:r w:rsidRPr="003A2793">
        <w:rPr>
          <w:rFonts w:ascii="Arial" w:hAnsi="Arial" w:cs="Arial"/>
          <w:color w:val="000000" w:themeColor="text1"/>
          <w:sz w:val="20"/>
          <w:szCs w:val="20"/>
        </w:rPr>
        <w:t>class</w:t>
      </w:r>
      <w:r w:rsidR="000016FB">
        <w:rPr>
          <w:rFonts w:ascii="Arial" w:hAnsi="Arial" w:cs="Arial"/>
          <w:color w:val="000000" w:themeColor="text1"/>
          <w:sz w:val="20"/>
          <w:szCs w:val="20"/>
        </w:rPr>
        <w:t xml:space="preserve"> as indicated by (+) or (-), respectively</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{"citationItems":[{"id":"ITEM-1","itemData":{"DOI":"10.1093/nar/gku1056","ISSN":"13624962","PMID":"25378316","abstract":"IMGT, the international ImMunoGeneTics information system (http://www.imgt.org) is the global reference in immunogenetics and immunoinformatics. By its creation in 1989 by Marie-Paule Lefranc (Université de Montpellier and CNRS), IMGT marked the advent of immunoinformatics, which emerged at the interface between immunogenetics and bioinformatics. IMGT is specialized in the immunoglobulins (IG) or antibodies, T cell receptors (TR), major histocompatibility (MH) and proteins of the IgSF and MhSF superfamilies. IMGT is built on the IMGTONTOLOGY axioms and concepts, which bridged the gap between genes, sequences and 3D structures. The concepts include the IMGTR standardized keywords (identification), IMGTR standardized labels (description), IMGTR standardized nomenclature (classification), IMGT unique numbering and IMGT Colliers de Perles (numerotation). IMGTR comprises 7 databases, 17 online tools and 15 000 pages of web resources, and provides a high-quality and integrated system for analysis of the genomic and expressed IG and TR repertoire of the adaptive immune responses, including NGS high-throughput data. Tools and databases are used in basic, veterinary and medical research, in clinical applications (mutation analysis in leukemia and lymphoma) and in antibody engineering and humanization. The IMGT/mAb-DB interface was developed for therapeutic antibodies and fusion proteins for immunological applications (FPIA). IMGTR is freely available at http://www.imgt.org.","author":[{"dropping-particle":"","family":"Lefranc","given":"Marie Paule","non-dropping-particle":"","parse-names":false,"suffix":""},{"dropping-particle":"","family":"Giudicelli","given":"Véronique","non-dropping-particle":"","parse-names":false,"suffix":""},{"dropping-particle":"","family":"Duroux","given":"Patrice","non-dropping-particle":"","parse-names":false,"suffix":""},{"dropping-particle":"","family":"Jabado-Michaloud","given":"Joumana","non-dropping-particle":"","parse-names":false,"suffix":""},{"dropping-particle":"","family":"Folch","given":"Géraldine","non-dropping-particle":"","parse-names":false,"suffix":""},{"dropping-particle":"","family":"Aouinti","given":"Safa","non-dropping-particle":"","parse-names":false,"suffix":""},{"dropping-particle":"","family":"Carillon","given":"Emilie","non-dropping-particle":"","parse-names":false,"suffix":""},{"dropping-particle":"","family":"Duvergey","given":"Hugo","non-dropping-particle":"","parse-names":false,"suffix":""},{"dropping-particle":"","family":"Houles","given":"Amélie","non-dropping-particle":"","parse-names":false,"suffix":""},{"dropping-particle":"","family":"Paysan-Lafosse","given":"Typhaine","non-dropping-particle":"","parse-names":false,"suffix":""},{"dropping-particle":"","family":"Hadi-Saljoqi","given":"Saida","non-dropping-particle":"","parse-names":false,"suffix":""},{"dropping-particle":"","family":"Sasorith","given":"Souphatta","non-dropping-particle":"","parse-names":false,"suffix":""},{"dropping-particle":"","family":"Lefranc","given":"Gérard","non-dropping-particle":"","parse-names":false,"suffix":""},{"dropping-particle":"","family":"Kossida","given":"Sofia","non-dropping-particle":"","parse-names":false,"suffix":""}],"container-title":"Nucleic Acids Research","id":"ITEM-1","issue":"D1","issued":{"date-parts":[["2015"]]},"page":"D413-D422","title":"IMGT R, the international ImMunoGeneTics information system R 25 years on","type":"article-journal","volume":"43"},"uris":["http://www.mendeley.com/documents/?uuid=a12332d9-15a4-4359-9759-06b58f5a8a12"]},{"id":"ITEM-2","itemData":{"DOI":"10.1002/jmr.647","ISSN":"09523499","PMID":"14872534","abstract":"IMGT, the international ImMunoGeneTics information system® (http://imgt.cines.fr) is a high-quality integrated information system specializing in immunoglobulins (IG), T cell receptors (TR) and major histocompatibility complex (MHC) of human and other vertebrates. IMGT comprises IMGT/LIGM-DB, the comprehensive database of IG and TR sequences from human and other vertebrates (76 846 sequences in September 2003). In order to define the IMGT criteria necessary for standardized statistical analyses, the sequences of the IG variable regions (V-REGIONs) from productively rearranged human IG heavy (IGH) and IG light kappa (IGK) and lambda (IGL) chains were extracted from IMGT/LIGM-DB. The framework amino acid positions of 2474 V-REGIONs (1360 IGHV, 585 IGKV, 529 IGLV) were numbered according to the IMGT unique numbering. Two statistical methods (correspondence analysis and hierarchic classification) were used to analyze the 237 framework positions (80 for IGHV, 79 for IGKV, 78 for IGLV), for three properties (hydropathy, volume and chemical characteristics) of the 20 common amino acids. Results of the analyses are shown as standardized two-dimensional representations, designated as IMGT Colliers de Perles statistical profiles. They provide a characterization of the amino acid properties at each framework position of the expressed IG V-REGIONs, and a visualization of the resemblances and differences between heavy and light, and between kappa and lambda sequences. The standardized criteria defined in this paper, amino acid positions and property classes, will be useful to study the mutations and allele polymorphisms, to establish correlations between amino acids in the IG and TR protein three-dimensional structures and to extract new knowledge from V-like domains of chains, other than IG and TR, belonging to the immunoglobulin superfamily. Copyright © 2004 John Wiley &amp; Sons, Ltd.","author":[{"dropping-particle":"","family":"Pommié","given":"Christelle","non-dropping-particle":"","parse-names":false,"suffix":""},{"dropping-particle":"","family":"Levadoux","given":"Séverine","non-dropping-particle":"","parse-names":false,"suffix":""},{"dropping-particle":"","family":"Sabatier","given":"Robert","non-dropping-particle":"","parse-names":false,"suffix":""},{"dropping-particle":"","family":"Lefranc","given":"Gérard","non-dropping-particle":"","parse-names":false,"suffix":""},{"dropping-particle":"","family":"Lefranc","given":"Marie Paule","non-dropping-particle":"","parse-names":false,"suffix":""}],"container-title":"Journal of Molecular Recognition","id":"ITEM-2","issue":"1","issued":{"date-parts":[["2004"]]},"page":"17-32","title":"IMGT standardized criteria for statistical analysis of immunoglobulin V-Region amino acid properties","type":"article-journal","volume":"17"},"uris":["http://www.mendeley.com/documents/?uuid=39cf4776-2fca-41d3-b664-daeb46a18fb7"]}],"mendeley":{"formattedCitation":"&lt;sup&gt;14,15&lt;/sup&gt;","plainTextFormattedCitation":"14,15","previouslyFormattedCitation":"&lt;sup&gt;14,15&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14,15</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IMGT initially established four types of AA changes: very similar (+++), similar (++-, +-+), dissimilar (--+, -+-, +--), and very dissimilar (---)</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{"citationItems":[{"id":"ITEM-1","itemData":{"DOI":"10.1002/jmr.647","ISSN":"09523499","PMID":"14872534","abstract":"IMGT, the international ImMunoGeneTics information system® (http://imgt.cines.fr) is a high-quality integrated information system specializing in immunoglobulins (IG), T cell receptors (TR) and major histocompatibility complex (MHC) of human and other vertebrates. IMGT comprises IMGT/LIGM-DB, the comprehensive database of IG and TR sequences from human and other vertebrates (76 846 sequences in September 2003). In order to define the IMGT criteria necessary for standardized statistical analyses, the sequences of the IG variable regions (V-REGIONs) from productively rearranged human IG heavy (IGH) and IG light kappa (IGK) and lambda (IGL) chains were extracted from IMGT/LIGM-DB. The framework amino acid positions of 2474 V-REGIONs (1360 IGHV, 585 IGKV, 529 IGLV) were numbered according to the IMGT unique numbering. Two statistical methods (correspondence analysis and hierarchic classification) were used to analyze the 237 framework positions (80 for IGHV, 79 for IGKV, 78 for IGLV), for three properties (hydropathy, volume and chemical characteristics) of the 20 common amino acids. Results of the analyses are shown as standardized two-dimensional representations, designated as IMGT Colliers de Perles statistical profiles. They provide a characterization of the amino acid properties at each framework position of the expressed IG V-REGIONs, and a visualization of the resemblances and differences between heavy and light, and between kappa and lambda sequences. The standardized criteria defined in this paper, amino acid positions and property classes, will be useful to study the mutations and allele polymorphisms, to establish correlations between amino acids in the IG and TR protein three-dimensional structures and to extract new knowledge from V-like domains of chains, other than IG and TR, belonging to the immunoglobulin superfamily. Copyright © 2004 John Wiley &amp; Sons, Ltd.","author":[{"dropping-particle":"","family":"Pommié","given":"Christelle","non-dropping-particle":"","parse-names":false,"suffix":""},{"dropping-particle":"","family":"Levadoux","given":"Séverine","non-dropping-particle":"","parse-names":false,"suffix":""},{"dropping-particle":"","family":"Sabatier","given":"Robert","non-dropping-particle":"","parse-names":false,"suffix":""},{"dropping-particle":"","family":"Lefranc","given":"Gérard","non-dropping-particle":"","parse-names":false,"suffix":""},{"dropping-particle":"","family":"Lefranc","given":"Marie Paule","non-dropping-particle":"","parse-names":false,"suffix":""}],"container-title":"Journal of Molecular Recognition","id":"ITEM-1","issue":"1","issued":{"date-parts":[["2004"]]},"page":"17-32","title":"IMGT standardized criteria for statistical analysis of immunoglobulin V-Region amino acid properties","type":"article-journal","volume":"17"},"uris":["http://www.mendeley.com/documents/?uuid=39cf4776-2fca-41d3-b664-daeb46a18fb7"]}],"mendeley":{"formattedCitation":"&lt;sup&gt;15&lt;/sup&gt;","plainTextFormattedCitation":"15","previouslyFormattedCitation":"&lt;sup&gt;15&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15</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We simplified this grouping into two categories: similar or dissimilar AA changes, wherein similar AA changes follow all (+++) or (++-, +-+) any two of the IMGT similarity criteria while dissimilar AAs belong to only one (--+, -+-, +--) or completely different (---) IMGT classification.  </w:t>
      </w:r>
    </w:p>
    <w:p w14:paraId="2F5E142C" w14:textId="77777777" w:rsidR="00CC299A" w:rsidRPr="003A2793" w:rsidRDefault="00CC299A" w:rsidP="00CC299A">
      <w:pPr>
        <w:spacing w:line="480" w:lineRule="auto"/>
        <w:ind w:firstLine="720"/>
        <w:jc w:val="both"/>
        <w:rPr>
          <w:rFonts w:ascii="Arial" w:hAnsi="Arial" w:cs="Arial"/>
          <w:color w:val="000000" w:themeColor="text1"/>
          <w:sz w:val="20"/>
          <w:szCs w:val="20"/>
        </w:rPr>
      </w:pPr>
    </w:p>
    <w:p w14:paraId="47389F0C" w14:textId="77777777" w:rsidR="00CC299A" w:rsidRPr="003A2793" w:rsidRDefault="00CC299A" w:rsidP="00CC299A">
      <w:pPr>
        <w:spacing w:line="480" w:lineRule="auto"/>
        <w:rPr>
          <w:rFonts w:ascii="Arial" w:hAnsi="Arial" w:cs="Arial"/>
          <w:b/>
          <w:color w:val="000000" w:themeColor="text1"/>
          <w:sz w:val="20"/>
          <w:szCs w:val="20"/>
        </w:rPr>
      </w:pPr>
      <w:r w:rsidRPr="003A2793">
        <w:rPr>
          <w:rFonts w:ascii="Arial" w:hAnsi="Arial" w:cs="Arial"/>
          <w:b/>
          <w:color w:val="000000" w:themeColor="text1"/>
          <w:sz w:val="20"/>
          <w:szCs w:val="20"/>
        </w:rPr>
        <w:t xml:space="preserve">Antibody expression, IgG quantification, and purification </w:t>
      </w:r>
    </w:p>
    <w:p w14:paraId="623A58A3" w14:textId="07E7FF2B" w:rsidR="00CC299A" w:rsidRPr="003A2793" w:rsidRDefault="00CC299A" w:rsidP="00CC299A">
      <w:pPr>
        <w:spacing w:line="480" w:lineRule="auto"/>
        <w:jc w:val="both"/>
        <w:rPr>
          <w:rFonts w:ascii="Arial" w:hAnsi="Arial" w:cs="Arial"/>
          <w:color w:val="000000" w:themeColor="text1"/>
          <w:sz w:val="20"/>
          <w:szCs w:val="20"/>
        </w:rPr>
      </w:pPr>
      <w:r w:rsidRPr="003A2793">
        <w:rPr>
          <w:rFonts w:ascii="Arial" w:hAnsi="Arial" w:cs="Arial"/>
          <w:color w:val="000000" w:themeColor="text1"/>
          <w:sz w:val="20"/>
          <w:szCs w:val="20"/>
        </w:rPr>
        <w:tab/>
        <w:t xml:space="preserve">Adherent human embryonic kidney (HEK) 293T cells were transfected with equimolar amounts of in-house generated human immunoglobulin G1 (IgG1) heavy and kappa light chain expression vectors using branched </w:t>
      </w:r>
      <w:proofErr w:type="spellStart"/>
      <w:r w:rsidRPr="003A2793">
        <w:rPr>
          <w:rFonts w:ascii="Arial" w:hAnsi="Arial" w:cs="Arial"/>
          <w:color w:val="000000" w:themeColor="text1"/>
          <w:sz w:val="20"/>
          <w:szCs w:val="20"/>
        </w:rPr>
        <w:t>polyethylenimine</w:t>
      </w:r>
      <w:proofErr w:type="spellEnd"/>
      <w:r w:rsidRPr="003A2793">
        <w:rPr>
          <w:rFonts w:ascii="Arial" w:hAnsi="Arial" w:cs="Arial"/>
          <w:color w:val="000000" w:themeColor="text1"/>
          <w:sz w:val="20"/>
          <w:szCs w:val="20"/>
        </w:rPr>
        <w:t xml:space="preserve"> (Sigma-Aldrich Inc., St. Louis, MO, USA) </w:t>
      </w:r>
      <w:r w:rsidRPr="003A2793">
        <w:rPr>
          <w:rFonts w:ascii="Arial" w:hAnsi="Arial" w:cs="Arial"/>
          <w:color w:val="000000" w:themeColor="text1"/>
          <w:sz w:val="20"/>
          <w:szCs w:val="20"/>
        </w:rPr>
        <w:lastRenderedPageBreak/>
        <w:t xml:space="preserve">at an optimal 1:3 total DNA/PEI ratio. Transient expression of recombinant human IgG antibodies was performed in micro-scale and large-scale cultures for 5 and 7 days, respectively. </w:t>
      </w:r>
      <w:r w:rsidR="00BD60B5">
        <w:rPr>
          <w:rFonts w:ascii="Arial" w:hAnsi="Arial" w:cs="Arial"/>
          <w:color w:val="000000" w:themeColor="text1"/>
          <w:sz w:val="20"/>
          <w:szCs w:val="20"/>
        </w:rPr>
        <w:t>The</w:t>
      </w:r>
      <w:r w:rsidRPr="003A2793">
        <w:rPr>
          <w:rFonts w:ascii="Arial" w:hAnsi="Arial" w:cs="Arial"/>
          <w:color w:val="000000" w:themeColor="text1"/>
          <w:sz w:val="20"/>
          <w:szCs w:val="20"/>
        </w:rPr>
        <w:t xml:space="preserve"> </w:t>
      </w:r>
      <w:r w:rsidR="00BD60B5" w:rsidRPr="003A2793">
        <w:rPr>
          <w:rFonts w:ascii="Arial" w:hAnsi="Arial" w:cs="Arial"/>
          <w:color w:val="000000" w:themeColor="text1"/>
          <w:sz w:val="20"/>
          <w:szCs w:val="20"/>
        </w:rPr>
        <w:t xml:space="preserve">collected </w:t>
      </w:r>
      <w:r w:rsidRPr="003A2793">
        <w:rPr>
          <w:rFonts w:ascii="Arial" w:hAnsi="Arial" w:cs="Arial"/>
          <w:color w:val="000000" w:themeColor="text1"/>
          <w:sz w:val="20"/>
          <w:szCs w:val="20"/>
        </w:rPr>
        <w:t>cell culture supernatants</w:t>
      </w:r>
      <w:r w:rsidR="00F12FB9">
        <w:rPr>
          <w:rFonts w:ascii="Arial" w:hAnsi="Arial" w:cs="Arial"/>
          <w:color w:val="000000" w:themeColor="text1"/>
          <w:sz w:val="20"/>
          <w:szCs w:val="20"/>
        </w:rPr>
        <w:t xml:space="preserve"> </w:t>
      </w:r>
      <w:r w:rsidRPr="003A2793">
        <w:rPr>
          <w:rFonts w:ascii="Arial" w:hAnsi="Arial" w:cs="Arial"/>
          <w:color w:val="000000" w:themeColor="text1"/>
          <w:sz w:val="20"/>
          <w:szCs w:val="20"/>
        </w:rPr>
        <w:t xml:space="preserve">containing the secreted antibodies were clarified by centrifugation at 3000 x g for 10 min, neutralized with phosphate-buffered saline to a final concentration of 1X, passed through 0.20 </w:t>
      </w:r>
      <w:proofErr w:type="spellStart"/>
      <w:r w:rsidRPr="003A2793">
        <w:rPr>
          <w:rFonts w:ascii="Arial" w:hAnsi="Arial" w:cs="Arial"/>
          <w:color w:val="000000" w:themeColor="text1"/>
          <w:sz w:val="20"/>
          <w:szCs w:val="20"/>
        </w:rPr>
        <w:t>μm</w:t>
      </w:r>
      <w:proofErr w:type="spellEnd"/>
      <w:r w:rsidRPr="003A2793">
        <w:rPr>
          <w:rFonts w:ascii="Arial" w:hAnsi="Arial" w:cs="Arial"/>
          <w:color w:val="000000" w:themeColor="text1"/>
          <w:sz w:val="20"/>
          <w:szCs w:val="20"/>
        </w:rPr>
        <w:t xml:space="preserve"> filters (Sartorius, Gottingen, DE), and analyzed for </w:t>
      </w:r>
      <w:proofErr w:type="spellStart"/>
      <w:r w:rsidRPr="003A2793">
        <w:rPr>
          <w:rFonts w:ascii="Arial" w:hAnsi="Arial" w:cs="Arial"/>
          <w:color w:val="000000" w:themeColor="text1"/>
          <w:sz w:val="20"/>
          <w:szCs w:val="20"/>
        </w:rPr>
        <w:t>MAb</w:t>
      </w:r>
      <w:proofErr w:type="spellEnd"/>
      <w:r w:rsidRPr="003A2793">
        <w:rPr>
          <w:rFonts w:ascii="Arial" w:hAnsi="Arial" w:cs="Arial"/>
          <w:color w:val="000000" w:themeColor="text1"/>
          <w:sz w:val="20"/>
          <w:szCs w:val="20"/>
        </w:rPr>
        <w:t xml:space="preserve"> concentration by indirect ELISA using purified recombinant Protein A and Protein G fusion proteins immobilized onto 96-well plates. For large-scale expression, human IgG1 monoclonal antibodies were purified by affinity chromatography using Protein G-coupled agarose beads (Millipore, MA, USA). After binding the supernatant with the beads for 16-18 h at 4°C, the beads were manually packed onto a 1mL-polypropylene chromatography column (Qiagen</w:t>
      </w:r>
      <w:r w:rsidR="007B0ED2">
        <w:rPr>
          <w:rFonts w:ascii="Arial" w:hAnsi="Arial" w:cs="Arial"/>
          <w:color w:val="000000" w:themeColor="text1"/>
          <w:sz w:val="20"/>
          <w:szCs w:val="20"/>
        </w:rPr>
        <w:t>, Santa Clarita, CA, USA</w:t>
      </w:r>
      <w:r w:rsidRPr="003A2793">
        <w:rPr>
          <w:rFonts w:ascii="Arial" w:hAnsi="Arial" w:cs="Arial"/>
          <w:color w:val="000000" w:themeColor="text1"/>
          <w:sz w:val="20"/>
          <w:szCs w:val="20"/>
        </w:rPr>
        <w:t xml:space="preserve">) at a flow rate of 1 mL/min, followed by equilibration with 10 column volumes (CV) of PBS (pH 7.0) washing buffer. The antibody was eluted with 0.1 M Glycine buffer (pH 2.3) onto 96-well plates containing 50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1 M Tris-</w:t>
      </w:r>
      <w:proofErr w:type="spellStart"/>
      <w:r w:rsidRPr="003A2793">
        <w:rPr>
          <w:rFonts w:ascii="Arial" w:hAnsi="Arial" w:cs="Arial"/>
          <w:color w:val="000000" w:themeColor="text1"/>
          <w:sz w:val="20"/>
          <w:szCs w:val="20"/>
        </w:rPr>
        <w:t>HCl</w:t>
      </w:r>
      <w:proofErr w:type="spellEnd"/>
      <w:r w:rsidRPr="003A2793">
        <w:rPr>
          <w:rFonts w:ascii="Arial" w:hAnsi="Arial" w:cs="Arial"/>
          <w:color w:val="000000" w:themeColor="text1"/>
          <w:sz w:val="20"/>
          <w:szCs w:val="20"/>
        </w:rPr>
        <w:t xml:space="preserve"> (pH 8.9) in ten successive fractions of 300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High-antibody fractions were collected per antibody, and each was dialyzed against Tris buffer (pH 6.5) thrice at 4°C using Slide-A-</w:t>
      </w:r>
      <w:proofErr w:type="spellStart"/>
      <w:r w:rsidRPr="003A2793">
        <w:rPr>
          <w:rFonts w:ascii="Arial" w:hAnsi="Arial" w:cs="Arial"/>
          <w:color w:val="000000" w:themeColor="text1"/>
          <w:sz w:val="20"/>
          <w:szCs w:val="20"/>
        </w:rPr>
        <w:t>Lyzer</w:t>
      </w:r>
      <w:proofErr w:type="spellEnd"/>
      <w:r w:rsidRPr="003A2793">
        <w:rPr>
          <w:rFonts w:ascii="Arial" w:hAnsi="Arial" w:cs="Arial"/>
          <w:color w:val="000000" w:themeColor="text1"/>
          <w:sz w:val="20"/>
          <w:szCs w:val="20"/>
        </w:rPr>
        <w:t>® dialysis cassettes (</w:t>
      </w:r>
      <w:proofErr w:type="spellStart"/>
      <w:r w:rsidRPr="003A2793">
        <w:rPr>
          <w:rFonts w:ascii="Arial" w:hAnsi="Arial" w:cs="Arial"/>
          <w:color w:val="000000" w:themeColor="text1"/>
          <w:sz w:val="20"/>
          <w:szCs w:val="20"/>
        </w:rPr>
        <w:t>Thermo</w:t>
      </w:r>
      <w:proofErr w:type="spellEnd"/>
      <w:r w:rsidRPr="003A2793">
        <w:rPr>
          <w:rFonts w:ascii="Arial" w:hAnsi="Arial" w:cs="Arial"/>
          <w:color w:val="000000" w:themeColor="text1"/>
          <w:sz w:val="20"/>
          <w:szCs w:val="20"/>
        </w:rPr>
        <w:t xml:space="preserve"> Fisher Scientific Inc., Rockford, IL, USA). The purified IgG concentration was estimated using a Qubit® protein assay kit (Life Technologies, </w:t>
      </w:r>
      <w:proofErr w:type="spellStart"/>
      <w:r w:rsidRPr="003A2793">
        <w:rPr>
          <w:rFonts w:ascii="Arial" w:hAnsi="Arial" w:cs="Arial"/>
          <w:color w:val="000000" w:themeColor="text1"/>
          <w:sz w:val="20"/>
          <w:szCs w:val="20"/>
        </w:rPr>
        <w:t>Thermo</w:t>
      </w:r>
      <w:proofErr w:type="spellEnd"/>
      <w:r w:rsidRPr="003A2793">
        <w:rPr>
          <w:rFonts w:ascii="Arial" w:hAnsi="Arial" w:cs="Arial"/>
          <w:color w:val="000000" w:themeColor="text1"/>
          <w:sz w:val="20"/>
          <w:szCs w:val="20"/>
        </w:rPr>
        <w:t xml:space="preserve"> Fisher Scientific Inc., Rockford, IL, USA). For F(ab) and 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antibody production, the transformed cells were utilized to grow and express the histidine-tagged K8b-F(ab) and K8b-F(ab’)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antibodies, and </w:t>
      </w:r>
      <w:r w:rsidRPr="003A2793">
        <w:rPr>
          <w:rFonts w:ascii="Arial" w:hAnsi="Arial" w:cs="Arial"/>
          <w:color w:val="000000" w:themeColor="text1"/>
          <w:sz w:val="20"/>
          <w:szCs w:val="20"/>
        </w:rPr>
        <w:lastRenderedPageBreak/>
        <w:t xml:space="preserve">the proteins were purified using Ni-NDA affinity chromatography according to the manufacturer’s protocol (Chelating </w:t>
      </w:r>
      <w:proofErr w:type="spellStart"/>
      <w:r w:rsidRPr="003A2793">
        <w:rPr>
          <w:rFonts w:ascii="Arial" w:hAnsi="Arial" w:cs="Arial"/>
          <w:color w:val="000000" w:themeColor="text1"/>
          <w:sz w:val="20"/>
          <w:szCs w:val="20"/>
        </w:rPr>
        <w:t>Sepharose</w:t>
      </w:r>
      <w:proofErr w:type="spellEnd"/>
      <w:r w:rsidRPr="003A2793">
        <w:rPr>
          <w:rFonts w:ascii="Arial" w:hAnsi="Arial" w:cs="Arial"/>
          <w:color w:val="000000" w:themeColor="text1"/>
          <w:sz w:val="20"/>
          <w:szCs w:val="20"/>
        </w:rPr>
        <w:t xml:space="preserve"> Fast Flow; GE Healthcare, Uppsala, SWE). </w:t>
      </w:r>
    </w:p>
    <w:p w14:paraId="736757C7" w14:textId="77777777" w:rsidR="00CC299A" w:rsidRPr="003A2793" w:rsidRDefault="00CC299A" w:rsidP="00CC299A">
      <w:pPr>
        <w:spacing w:line="480" w:lineRule="auto"/>
        <w:ind w:firstLine="720"/>
        <w:jc w:val="both"/>
        <w:rPr>
          <w:rFonts w:ascii="Arial" w:hAnsi="Arial" w:cs="Arial"/>
          <w:b/>
          <w:color w:val="000000" w:themeColor="text1"/>
          <w:sz w:val="20"/>
          <w:szCs w:val="20"/>
        </w:rPr>
      </w:pPr>
      <w:r w:rsidRPr="003A2793">
        <w:rPr>
          <w:rFonts w:ascii="Arial" w:hAnsi="Arial" w:cs="Arial"/>
          <w:color w:val="000000" w:themeColor="text1"/>
          <w:sz w:val="20"/>
          <w:szCs w:val="20"/>
        </w:rPr>
        <w:t>The purity of the full-length K8b-IgG1, K8b-F(ab’)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and K8b-F(ab) antibody preparations was assessed by native sodium dodecyl sulfate -polyacrylamide gel electrophoresis (SDS-PAGE).  Specifically, purified proteins (1 </w:t>
      </w:r>
      <w:proofErr w:type="spellStart"/>
      <w:r w:rsidRPr="003A2793">
        <w:rPr>
          <w:rFonts w:ascii="Arial" w:hAnsi="Arial" w:cs="Arial"/>
          <w:color w:val="000000" w:themeColor="text1"/>
          <w:sz w:val="20"/>
          <w:szCs w:val="20"/>
        </w:rPr>
        <w:t>μg</w:t>
      </w:r>
      <w:proofErr w:type="spellEnd"/>
      <w:r w:rsidRPr="003A2793">
        <w:rPr>
          <w:rFonts w:ascii="Arial" w:hAnsi="Arial" w:cs="Arial"/>
          <w:color w:val="000000" w:themeColor="text1"/>
          <w:sz w:val="20"/>
          <w:szCs w:val="20"/>
        </w:rPr>
        <w:t xml:space="preserve">) were mixed with a nonreducing </w:t>
      </w:r>
      <w:proofErr w:type="spellStart"/>
      <w:r w:rsidRPr="003A2793">
        <w:rPr>
          <w:rFonts w:ascii="Arial" w:hAnsi="Arial" w:cs="Arial"/>
          <w:color w:val="000000" w:themeColor="text1"/>
          <w:sz w:val="20"/>
          <w:szCs w:val="20"/>
        </w:rPr>
        <w:t>Laemmli</w:t>
      </w:r>
      <w:proofErr w:type="spellEnd"/>
      <w:r w:rsidRPr="003A2793">
        <w:rPr>
          <w:rFonts w:ascii="Arial" w:hAnsi="Arial" w:cs="Arial"/>
          <w:color w:val="000000" w:themeColor="text1"/>
          <w:sz w:val="20"/>
          <w:szCs w:val="20"/>
        </w:rPr>
        <w:t xml:space="preserve"> sample buffer, resolved on a 4-20% gradient polyacrylamide gel (Mini-Protean TGX; Bio-Rad, Hercules, CA, USA) in Tris-glycine SDS running buffer, and stained with Coomassie blue dye. </w:t>
      </w:r>
    </w:p>
    <w:p w14:paraId="26130AE6" w14:textId="77777777" w:rsidR="00CC299A" w:rsidRPr="003A2793" w:rsidRDefault="00CC299A" w:rsidP="00A74ED6">
      <w:pPr>
        <w:spacing w:line="480" w:lineRule="auto"/>
        <w:jc w:val="both"/>
        <w:rPr>
          <w:rFonts w:ascii="Arial" w:hAnsi="Arial" w:cs="Arial"/>
          <w:b/>
          <w:color w:val="000000" w:themeColor="text1"/>
          <w:sz w:val="20"/>
          <w:szCs w:val="20"/>
        </w:rPr>
      </w:pPr>
    </w:p>
    <w:p w14:paraId="4395DC17" w14:textId="13B1CEBB" w:rsidR="00CC299A" w:rsidRPr="003A2793" w:rsidRDefault="00541533"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 xml:space="preserve">Immunoglobulin G Enzyme-linked immunosorbent Assay </w:t>
      </w:r>
      <w:r>
        <w:rPr>
          <w:rFonts w:ascii="Arial" w:hAnsi="Arial" w:cs="Arial"/>
          <w:b/>
          <w:color w:val="000000" w:themeColor="text1"/>
          <w:sz w:val="20"/>
          <w:szCs w:val="20"/>
        </w:rPr>
        <w:t>(IgG-</w:t>
      </w:r>
      <w:r w:rsidR="00CC299A" w:rsidRPr="003A2793">
        <w:rPr>
          <w:rFonts w:ascii="Arial" w:hAnsi="Arial" w:cs="Arial"/>
          <w:b/>
          <w:color w:val="000000" w:themeColor="text1"/>
          <w:sz w:val="20"/>
          <w:szCs w:val="20"/>
        </w:rPr>
        <w:t>ELISA</w:t>
      </w:r>
      <w:r>
        <w:rPr>
          <w:rFonts w:ascii="Arial" w:hAnsi="Arial" w:cs="Arial"/>
          <w:b/>
          <w:color w:val="000000" w:themeColor="text1"/>
          <w:sz w:val="20"/>
          <w:szCs w:val="20"/>
        </w:rPr>
        <w:t>)</w:t>
      </w:r>
    </w:p>
    <w:p w14:paraId="67294395" w14:textId="17FA8AF2" w:rsidR="00CC299A" w:rsidRDefault="00CC299A" w:rsidP="00794CAB">
      <w:pPr>
        <w:autoSpaceDE w:val="0"/>
        <w:autoSpaceDN w:val="0"/>
        <w:adjustRightInd w:val="0"/>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An IgG ELISA was used to </w:t>
      </w:r>
      <w:r w:rsidR="0077072C">
        <w:rPr>
          <w:rFonts w:ascii="Arial" w:hAnsi="Arial" w:cs="Arial"/>
          <w:color w:val="000000" w:themeColor="text1"/>
          <w:sz w:val="20"/>
          <w:szCs w:val="20"/>
        </w:rPr>
        <w:t xml:space="preserve">test the presence and binding reactivity of antigen-specific </w:t>
      </w:r>
      <w:proofErr w:type="spellStart"/>
      <w:r w:rsidR="0077072C">
        <w:rPr>
          <w:rFonts w:ascii="Arial" w:hAnsi="Arial" w:cs="Arial"/>
          <w:color w:val="000000" w:themeColor="text1"/>
          <w:sz w:val="20"/>
          <w:szCs w:val="20"/>
        </w:rPr>
        <w:t>IgGs</w:t>
      </w:r>
      <w:proofErr w:type="spellEnd"/>
      <w:r w:rsidR="0077072C">
        <w:rPr>
          <w:rFonts w:ascii="Arial" w:hAnsi="Arial" w:cs="Arial"/>
          <w:color w:val="000000" w:themeColor="text1"/>
          <w:sz w:val="20"/>
          <w:szCs w:val="20"/>
        </w:rPr>
        <w:t xml:space="preserve"> </w:t>
      </w:r>
      <w:r w:rsidR="00CF3A06">
        <w:rPr>
          <w:rFonts w:ascii="Arial" w:hAnsi="Arial" w:cs="Arial"/>
          <w:color w:val="000000" w:themeColor="text1"/>
          <w:sz w:val="20"/>
          <w:szCs w:val="20"/>
        </w:rPr>
        <w:t>among the</w:t>
      </w:r>
      <w:r w:rsidRPr="003A2793">
        <w:rPr>
          <w:rFonts w:ascii="Arial" w:hAnsi="Arial" w:cs="Arial"/>
          <w:color w:val="000000" w:themeColor="text1"/>
          <w:sz w:val="20"/>
          <w:szCs w:val="20"/>
        </w:rPr>
        <w:t xml:space="preserve"> </w:t>
      </w:r>
      <w:r w:rsidR="00CE641A">
        <w:rPr>
          <w:rFonts w:ascii="Arial" w:hAnsi="Arial" w:cs="Arial"/>
          <w:color w:val="000000" w:themeColor="text1"/>
          <w:sz w:val="20"/>
          <w:szCs w:val="20"/>
        </w:rPr>
        <w:t>dengue-negative or healthy</w:t>
      </w:r>
      <w:r w:rsidR="00CE641A" w:rsidRPr="003A2793">
        <w:rPr>
          <w:rFonts w:ascii="Arial" w:hAnsi="Arial" w:cs="Arial"/>
          <w:color w:val="000000" w:themeColor="text1"/>
          <w:sz w:val="20"/>
          <w:szCs w:val="20"/>
        </w:rPr>
        <w:t xml:space="preserve"> </w:t>
      </w:r>
      <w:r w:rsidRPr="003A2793">
        <w:rPr>
          <w:rFonts w:ascii="Arial" w:hAnsi="Arial" w:cs="Arial"/>
          <w:color w:val="000000" w:themeColor="text1"/>
          <w:sz w:val="20"/>
          <w:szCs w:val="20"/>
        </w:rPr>
        <w:t>and dengue-infected polyclonal sera</w:t>
      </w:r>
      <w:r w:rsidR="00541533">
        <w:rPr>
          <w:rFonts w:ascii="Arial" w:hAnsi="Arial" w:cs="Arial"/>
          <w:color w:val="000000" w:themeColor="text1"/>
          <w:sz w:val="20"/>
          <w:szCs w:val="20"/>
        </w:rPr>
        <w:t>,</w:t>
      </w:r>
      <w:r w:rsidR="00CF3A06">
        <w:rPr>
          <w:rFonts w:ascii="Arial" w:hAnsi="Arial" w:cs="Arial"/>
          <w:color w:val="000000" w:themeColor="text1"/>
          <w:sz w:val="20"/>
          <w:szCs w:val="20"/>
        </w:rPr>
        <w:t xml:space="preserve"> or </w:t>
      </w:r>
      <w:r w:rsidR="0077072C">
        <w:rPr>
          <w:rFonts w:ascii="Arial" w:hAnsi="Arial" w:cs="Arial"/>
          <w:color w:val="000000" w:themeColor="text1"/>
          <w:sz w:val="20"/>
          <w:szCs w:val="20"/>
        </w:rPr>
        <w:t xml:space="preserve">in the </w:t>
      </w:r>
      <w:r w:rsidR="00CF3A06">
        <w:rPr>
          <w:rFonts w:ascii="Arial" w:hAnsi="Arial" w:cs="Arial"/>
          <w:color w:val="000000" w:themeColor="text1"/>
          <w:sz w:val="20"/>
          <w:szCs w:val="20"/>
        </w:rPr>
        <w:t>cell-culture supernatants co-cultivated with B cells</w:t>
      </w:r>
      <w:r w:rsidR="0077072C">
        <w:rPr>
          <w:rFonts w:ascii="Arial" w:hAnsi="Arial" w:cs="Arial"/>
          <w:color w:val="000000" w:themeColor="text1"/>
          <w:sz w:val="20"/>
          <w:szCs w:val="20"/>
        </w:rPr>
        <w:t>, or</w:t>
      </w:r>
      <w:r w:rsidR="00794CAB">
        <w:rPr>
          <w:rFonts w:ascii="Arial" w:hAnsi="Arial" w:cs="Arial"/>
          <w:color w:val="000000" w:themeColor="text1"/>
          <w:sz w:val="20"/>
          <w:szCs w:val="20"/>
        </w:rPr>
        <w:t xml:space="preserve"> of the purified human monoclonal antibodies</w:t>
      </w:r>
      <w:r w:rsidR="0077072C">
        <w:rPr>
          <w:rFonts w:ascii="Arial" w:hAnsi="Arial" w:cs="Arial"/>
          <w:color w:val="000000" w:themeColor="text1"/>
          <w:sz w:val="20"/>
          <w:szCs w:val="20"/>
        </w:rPr>
        <w:t xml:space="preserve"> </w:t>
      </w:r>
      <w:r w:rsidRPr="003A2793">
        <w:rPr>
          <w:rFonts w:ascii="Arial" w:hAnsi="Arial" w:cs="Arial"/>
          <w:color w:val="000000" w:themeColor="text1"/>
          <w:sz w:val="20"/>
          <w:szCs w:val="20"/>
        </w:rPr>
        <w:t>using the same antigen-capture ELISA protocol previously described with minor modifications</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{"citationItems":[{"id":"ITEM-1","itemData":{"DOI":"10.7554/eLife.38970","ISSN":"2050084X","PMID":"30334522","abstract":"Dengue fever is caused by four different serotypes of dengue virus (DENV) which is the leading cause of worldwide arboviral diseases in humans. Virus-like particles (VLPs) containing flavivirus prM/E proteins have been demonstrated to be a potential vaccine candidate; however, the structure of dengue VLP is poorly understood. Herein VLP derived from DENV serotype-2 were engineered becoming highly matured (mD2VLP) and showed variable size distribution with diameter of ~31 nm forming the major population under cryo-electron microscopy examination. Furthermore, mD2VLP particles of 31 nm diameter possess a T = 1 icosahedral symmetry with a groove located within the E-protein dimers near the 2-fold vertices that exposed highly overlapping, cryptic neutralizing epitopes. Mice vaccinated with mD2VLP generated higher cross-reactive (CR) neutralization antibodies (NtAbs) and were fully protected against all 4 serotypes of DENV. Our results highlight the potential of ‘epitope-resurfaced’ mature-form D2VLPs in inducing quaternary structure-recognizing broad CR NtAbs to guide future dengue vaccine design.","author":[{"dropping-particle":"","family":"Shen","given":"Wen Fan","non-dropping-particle":"","parse-names":false,"suffix":""},{"dropping-particle":"","family":"Galula","given":"Jedhan Ucat","non-dropping-particle":"","parse-names":false,"suffix":""},{"dropping-particle":"","family":"Liu","given":"Jyung Hurng","non-dropping-particle":"","parse-names":false,"suffix":""},{"dropping-particle":"","family":"Liao","given":"Mei Ying","non-dropping-particle":"","parse-names":false,"suffix":""},{"dropping-particle":"","family":"Huang","given":"Cheng Hao","non-dropping-particle":"","parse-names":false,"suffix":""},{"dropping-particle":"","family":"Wang","given":"Yu Chun","non-dropping-particle":"","parse-names":false,"suffix":""},{"dropping-particle":"","family":"Wu","given":"Han Chung","non-dropping-particle":"","parse-names":false,"suffix":""},{"dropping-particle":"","family":"Liang","given":"Jian Jong","non-dropping-particle":"","parse-names":false,"suffix":""},{"dropping-particle":"","family":"Lin","given":"Yi Ling","non-dropping-particle":"","parse-names":false,"suffix":""},{"dropping-particle":"","family":"Whitney","given":"Matthew T.","non-dropping-particle":"","parse-names":false,"suffix":""},{"dropping-particle":"","family":"Chang","given":"Gwong Jen J.","non-dropping-particle":"","parse-names":false,"suffix":""},{"dropping-particle":"","family":"Chen","given":"Sheng Ren","non-dropping-particle":"","parse-names":false,"suffix":""},{"dropping-particle":"","family":"Wu","given":"Shang Rung","non-dropping-particle":"","parse-names":false,"suffix":""},{"dropping-particle":"","family":"Chao","given":"Day Yu","non-dropping-particle":"","parse-names":false,"suffix":""}],"container-title":"eLife","id":"ITEM-1","issued":{"date-parts":[["2018"]]},"page":"1-24","title":"Epitope resurfacing on dengue virus-like particle vaccine preparation to induce broad neutralizing antibody","type":"article-journal","volume":"7"},"uris":["http://www.mendeley.com/documents/?uuid=8b153c32-3a17-42bb-a1b6-9279f37d1267"]},{"id":"ITEM-2","itemData":{"DOI":"10.3390/diagnostics11050741","ISSN":"20754418","PMID":"33919324","abstract":"Background: Dengue virus (DENV) infection remains a global public health concern. Enzyme-linked immunosorbent assays (ELISAs), which detect antibodies targeting the envelope (E) protein of DENV, serve as the front-line serological test for presumptive dengue diagnosis. Very few studies have determined the serostatus by detecting antibodies targeting the nonstructural protein 1 (NS1), which can function as diagnostic biomarkers to distinguish natural immunity from vaccine-induced immunity. Methods: We used community-acquired human serum specimens, with the serostatus confirmed by focus reduction microneutralization test (FRµNT), to evaluate the diagnostic performances of two NS1-based ELISA methods, namely, immunoglobulin G antibody-capture ELISA (NS1 GAC–ELISA) and indirect NS1 IgG ELISA, and compared the results with an E-based virus-like particle (VLP) GAC–ELISA. Results: NS1-based methods had comparable accuracies as VLP GAC–ELISA. Although the sensitivity in detecting anti-NS1 IgM was poor, indirect NS1 IgG ELISA showed similar limits of detection (~1–2 ng/mL) as NS1 GAC–ELISA in detecting anti-NS1 IgG. Combining the results from two or more tests as a composite reference standard can determine the DENV serostatus with a specificity reaching 100%. Conclusion: NS1-based ELISAs have comparable accuracies as VLP GAC–ELISA in determining dengue serostatus, which could effectively assist clinicians during assessments of vaccine eligibility.","author":[{"dropping-particle":"","family":"Galula","given":"Jedhan Ucat","non-dropping-particle":"","parse-names":false,"suffix":""},{"dropping-particle":"","family":"Salem","given":"Gielenny M.","non-dropping-particle":"","parse-names":false,"suffix":""},{"dropping-particle":"V.","family":"Destura","given":"Raul","non-dropping-particle":"","parse-names":false,"suffix":""},{"dropping-particle":"","family":"Remenyi","given":"Roland","non-dropping-particle":"","parse-names":false,"suffix":""},{"dropping-particle":"","family":"Chao","given":"Day Yu","non-dropping-particle":"","parse-names":false,"suffix":""}],"container-title":"Diagnostics","id":"ITEM-2","issue":"5","issued":{"date-parts":[["2021"]]},"page":"1-17","title":"Comparable accuracies of nonstructural protein 1-and envelope protein-based enzyme-linked immunosorbent assays in detecting anti-dengue immunoglobulin g antibodies","type":"article-journal","volume":"11"},"uris":["http://www.mendeley.com/documents/?uuid=754f87e4-d052-4ffb-b2f7-75f06193ae0d"]}],"mendeley":{"formattedCitation":"&lt;sup&gt;8,9&lt;/sup&gt;","plainTextFormattedCitation":"8,9","previouslyFormattedCitation":"&lt;sup&gt;8,9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8,9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Briefly, flat-bottom 96-well </w:t>
      </w:r>
      <w:proofErr w:type="spellStart"/>
      <w:r w:rsidRPr="003A2793">
        <w:rPr>
          <w:rFonts w:ascii="Arial" w:hAnsi="Arial" w:cs="Arial"/>
          <w:color w:val="000000" w:themeColor="text1"/>
          <w:sz w:val="20"/>
          <w:szCs w:val="20"/>
        </w:rPr>
        <w:t>MaxiSorp</w:t>
      </w:r>
      <w:proofErr w:type="spellEnd"/>
      <w:r w:rsidRPr="003A2793">
        <w:rPr>
          <w:rFonts w:ascii="Arial" w:hAnsi="Arial" w:cs="Arial"/>
          <w:color w:val="000000" w:themeColor="text1"/>
          <w:sz w:val="20"/>
          <w:szCs w:val="20"/>
        </w:rPr>
        <w:t xml:space="preserve"> NUNC-</w:t>
      </w:r>
      <w:proofErr w:type="spellStart"/>
      <w:r w:rsidRPr="003A2793">
        <w:rPr>
          <w:rFonts w:ascii="Arial" w:hAnsi="Arial" w:cs="Arial"/>
          <w:color w:val="000000" w:themeColor="text1"/>
          <w:sz w:val="20"/>
          <w:szCs w:val="20"/>
        </w:rPr>
        <w:t>Immuno</w:t>
      </w:r>
      <w:proofErr w:type="spellEnd"/>
      <w:r w:rsidRPr="003A2793">
        <w:rPr>
          <w:rFonts w:ascii="Arial" w:hAnsi="Arial" w:cs="Arial"/>
          <w:color w:val="000000" w:themeColor="text1"/>
          <w:sz w:val="20"/>
          <w:szCs w:val="20"/>
        </w:rPr>
        <w:t xml:space="preserve"> plates (NUNC, Roskilde, </w:t>
      </w:r>
      <w:r w:rsidR="00EB4B50" w:rsidRPr="003A2793">
        <w:rPr>
          <w:rFonts w:ascii="Arial" w:hAnsi="Arial" w:cs="Arial"/>
          <w:color w:val="000000" w:themeColor="text1"/>
          <w:sz w:val="20"/>
          <w:szCs w:val="20"/>
        </w:rPr>
        <w:t>D</w:t>
      </w:r>
      <w:r w:rsidR="00EB4B50">
        <w:rPr>
          <w:rFonts w:ascii="Arial" w:hAnsi="Arial" w:cs="Arial"/>
          <w:color w:val="000000" w:themeColor="text1"/>
          <w:sz w:val="20"/>
          <w:szCs w:val="20"/>
        </w:rPr>
        <w:t>K</w:t>
      </w:r>
      <w:r w:rsidRPr="003A2793">
        <w:rPr>
          <w:rFonts w:ascii="Arial" w:hAnsi="Arial" w:cs="Arial"/>
          <w:color w:val="000000" w:themeColor="text1"/>
          <w:sz w:val="20"/>
          <w:szCs w:val="20"/>
        </w:rPr>
        <w:t>) were coated with 50</w:t>
      </w:r>
      <w:r>
        <w:rPr>
          <w:rFonts w:ascii="Arial" w:hAnsi="Arial" w:cs="Arial"/>
          <w:color w:val="000000" w:themeColor="text1"/>
          <w:sz w:val="20"/>
          <w:szCs w:val="20"/>
        </w:rPr>
        <w:t xml:space="preserve">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of serotype-specific rabbit anti-DENV virus-like particles (VLP) sera (1:500), rabbit anti-JEV VLP sera (1:3,200) or rabbit-anti-ZIKV VLP (1:8,000) sera at indicated dilutions in bicarbonate buffer (0.015 M Na</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CO</w:t>
      </w:r>
      <w:r w:rsidRPr="003A2793">
        <w:rPr>
          <w:rFonts w:ascii="Arial" w:hAnsi="Arial" w:cs="Arial"/>
          <w:color w:val="000000" w:themeColor="text1"/>
          <w:sz w:val="20"/>
          <w:szCs w:val="20"/>
          <w:vertAlign w:val="subscript"/>
        </w:rPr>
        <w:t>3</w:t>
      </w:r>
      <w:r w:rsidRPr="003A2793">
        <w:rPr>
          <w:rFonts w:ascii="Arial" w:hAnsi="Arial" w:cs="Arial"/>
          <w:color w:val="000000" w:themeColor="text1"/>
          <w:sz w:val="20"/>
          <w:szCs w:val="20"/>
        </w:rPr>
        <w:t>, 0.035 NaHCO</w:t>
      </w:r>
      <w:r w:rsidRPr="003A2793">
        <w:rPr>
          <w:rFonts w:ascii="Arial" w:hAnsi="Arial" w:cs="Arial"/>
          <w:color w:val="000000" w:themeColor="text1"/>
          <w:sz w:val="20"/>
          <w:szCs w:val="20"/>
          <w:vertAlign w:val="subscript"/>
        </w:rPr>
        <w:t>3</w:t>
      </w:r>
      <w:r w:rsidRPr="003A2793">
        <w:rPr>
          <w:rFonts w:ascii="Arial" w:hAnsi="Arial" w:cs="Arial"/>
          <w:color w:val="000000" w:themeColor="text1"/>
          <w:sz w:val="20"/>
          <w:szCs w:val="20"/>
        </w:rPr>
        <w:t>, pH 9.6), incubated overnight at 4°C, and blocked with 200</w:t>
      </w:r>
      <w:r>
        <w:rPr>
          <w:rFonts w:ascii="Arial" w:hAnsi="Arial" w:cs="Arial"/>
          <w:color w:val="000000" w:themeColor="text1"/>
          <w:sz w:val="20"/>
          <w:szCs w:val="20"/>
        </w:rPr>
        <w:t xml:space="preserve">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of 5% milk in 1x PBS with 0.1% Tween-20 (5% milk/PBST) for 1 h at 37°C. </w:t>
      </w:r>
      <w:r w:rsidRPr="003A2793">
        <w:rPr>
          <w:rFonts w:ascii="Arial" w:hAnsi="Arial" w:cs="Arial"/>
          <w:color w:val="000000" w:themeColor="text1"/>
          <w:sz w:val="20"/>
          <w:szCs w:val="20"/>
        </w:rPr>
        <w:lastRenderedPageBreak/>
        <w:t xml:space="preserve">Equimolar amounts of DENV, JEV, or ZIKV VLPs diluted in the blocking buffer were added onto each well, incubated for 2 h at 37°C, and washed five times with 200 </w:t>
      </w:r>
      <w:bookmarkStart w:id="5" w:name="OLE_LINK1"/>
      <w:bookmarkStart w:id="6" w:name="OLE_LINK2"/>
      <w:proofErr w:type="spellStart"/>
      <w:r w:rsidRPr="003A2793">
        <w:rPr>
          <w:rFonts w:ascii="Arial" w:hAnsi="Arial" w:cs="Arial"/>
          <w:color w:val="000000" w:themeColor="text1"/>
          <w:sz w:val="20"/>
          <w:szCs w:val="20"/>
        </w:rPr>
        <w:t>μ</w:t>
      </w:r>
      <w:bookmarkEnd w:id="5"/>
      <w:bookmarkEnd w:id="6"/>
      <w:r w:rsidRPr="003A2793">
        <w:rPr>
          <w:rFonts w:ascii="Arial" w:hAnsi="Arial" w:cs="Arial"/>
          <w:color w:val="000000" w:themeColor="text1"/>
          <w:sz w:val="20"/>
          <w:szCs w:val="20"/>
        </w:rPr>
        <w:t>L</w:t>
      </w:r>
      <w:proofErr w:type="spellEnd"/>
      <w:r w:rsidRPr="003A2793">
        <w:rPr>
          <w:rFonts w:ascii="Arial" w:hAnsi="Arial" w:cs="Arial"/>
          <w:color w:val="000000" w:themeColor="text1"/>
          <w:sz w:val="20"/>
          <w:szCs w:val="20"/>
        </w:rPr>
        <w:t xml:space="preserve"> of 0.1% PBST. The transient expression of each VLP in this study was carried out as described </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{"citationItems":[{"id":"ITEM-1","itemData":{"DOI":"10.3390/diagnostics11050741","ISSN":"20754418","PMID":"33919324","abstract":"Background: Dengue virus (DENV) infection remains a global public health concern. Enzyme-linked immunosorbent assays (ELISAs), which detect antibodies targeting the envelope (E) protein of DENV, serve as the front-line serological test for presumptive dengue diagnosis. Very few studies have determined the serostatus by detecting antibodies targeting the nonstructural protein 1 (NS1), which can function as diagnostic biomarkers to distinguish natural immunity from vaccine-induced immunity. Methods: We used community-acquired human serum specimens, with the serostatus confirmed by focus reduction microneutralization test (FRµNT), to evaluate the diagnostic performances of two NS1-based ELISA methods, namely, immunoglobulin G antibody-capture ELISA (NS1 GAC–ELISA) and indirect NS1 IgG ELISA, and compared the results with an E-based virus-like particle (VLP) GAC–ELISA. Results: NS1-based methods had comparable accuracies as VLP GAC–ELISA. Although the sensitivity in detecting anti-NS1 IgM was poor, indirect NS1 IgG ELISA showed similar limits of detection (~1–2 ng/mL) as NS1 GAC–ELISA in detecting anti-NS1 IgG. Combining the results from two or more tests as a composite reference standard can determine the DENV serostatus with a specificity reaching 100%. Conclusion: NS1-based ELISAs have comparable accuracies as VLP GAC–ELISA in determining dengue serostatus, which could effectively assist clinicians during assessments of vaccine eligibility.","author":[{"dropping-particle":"","family":"Galula","given":"Jedhan Ucat","non-dropping-particle":"","parse-names":false,"suffix":""},{"dropping-particle":"","family":"Salem","given":"Gielenny M.","non-dropping-particle":"","parse-names":false,"suffix":""},{"dropping-particle":"V.","family":"Destura","given":"Raul","non-dropping-particle":"","parse-names":false,"suffix":""},{"dropping-particle":"","family":"Remenyi","given":"Roland","non-dropping-particle":"","parse-names":false,"suffix":""},{"dropping-particle":"","family":"Chao","given":"Day Yu","non-dropping-particle":"","parse-names":false,"suffix":""}],"container-title":"Diagnostics","id":"ITEM-1","issue":"5","issued":{"date-parts":[["2021"]]},"page":"1-17","title":"Comparable accuracies of nonstructural protein 1-and envelope protein-based enzyme-linked immunosorbent assays in detecting anti-dengue immunoglobulin g antibodies","type":"article-journal","volume":"11"},"uris":["http://www.mendeley.com/documents/?uuid=754f87e4-d052-4ffb-b2f7-75f06193ae0d"]}],"mendeley":{"formattedCitation":"&lt;sup&gt;9&lt;/sup&gt;","plainTextFormattedCitation":"9","previouslyFormattedCitation":"&lt;sup&gt;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using previously-established transcriptionally and translationally optimized eukaryotic cell expression plasmids</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{"citationItems":[{"id":"ITEM-1","itemData":{"DOI":"10.1016/S0042-6822(02)00028-4","ISSN":"00426822","PMID":"12620809","abstract":"We have constructed a series of plasmids encoding premembrane (prM) and envelope (E) protein genes of dengue virus type 2 (DEN-2). These plasmids included an authentic DEN-2 prM-E construct (pCBD2-14-6), and two chimeric constructs, 90% DEN-2 E-10% Japanese encephalitis (JE) virus E (pCB9D2-1J-4-3) and 80% DEN-2 E-20% JE E (pCB8D2-2J-2-9-1). Monoclonal antibody (MAb) reactivity indicated that all three plasmids expressed authentic DEN-2 virus E protein epitopes representative of flavivirus domains 1, 2, and 3. However, only the pCB8D2-2J-2-9-1 construct secreted high levels of prM, M (membrane), and E proteins into the culture fluid of plasmid-transformed COS-1 cells. The major portion of the prM and E proteins expressed by COS-1 cells transformed by pCBD2-14-6 or pCB9D2-4-3 plasmids remained membrane-bound. The results supported the notion that an unidentified membrane retention sequence is located between E-397 and E-436 of DEN-2 virus E protein. Replacing the carboxyl-terminal 20% of DEN-2 E (397-450) with the corresponding JE sequence had no effect on anti-DEN-2 MAb reactivity, indicating that this region is antigenically inert, although it is required for antigen secretion. Plasmid pCBD2-2J-2-9-1, which expressed secreted forms of prM/M and E that have the potential to form subviral particles, was superior to other constructs in stimulating an antibody response. Ninety percent neutralization titers ranging from 1:40 to &gt;1:1000 were observed in seven of nine serum specimens from pCB8D2-2J-2-9-1-immunized mice. Eleven of twelve 2-day-old neonatal mice, derived from a pCB8D2-2J-2-9-1 immunized female mouse, survived intraperitoneal challenge of DEN-2 New Guinea C virus. © 2003 Elsevier Science (USA). All rights reserved.","author":[{"dropping-particle":"","family":"Chang","given":"Gwong Jen J.","non-dropping-particle":"","parse-names":false,"suffix":""},{"dropping-particle":"","family":"Hunt","given":"Ann R.","non-dropping-particle":"","parse-names":false,"suffix":""},{"dropping-particle":"","family":"Holmes","given":"Derek A.","non-dropping-particle":"","parse-names":false,"suffix":""},{"dropping-particle":"","family":"Springfield","given":"Tracy","non-dropping-particle":"","parse-names":false,"suffix":""},{"dropping-particle":"","family":"Chiueh","given":"Tzong Shi","non-dropping-particle":"","parse-names":false,"suffix":""},{"dropping-particle":"","family":"Roehrig","given":"John T.","non-dropping-particle":"","parse-names":false,"suffix":""},{"dropping-particle":"","family":"Gubler","given":"Duane J.","non-dropping-particle":"","parse-names":false,"suffix":""}],"container-title":"Virology","id":"ITEM-1","issue":"1","issued":{"date-parts":[["2003"]]},"page":"170-180","title":"Enhancing biosynthesis and secretion of premembrane and envelope proteins by the chimeric plasmid of dengue virus type 2 and Japanese encephalitis virus","type":"article-journal","volume":"306"},"uris":["http://www.mendeley.com/documents/?uuid=a19f0fad-84e9-457a-9208-92ba1a082fd6"]},{"id":"ITEM-2","itemData":{"DOI":"10.1016/j.vaccine.2006.11.056","ISSN":"0264410X","PMID":"17224209","abstract":"West Nile virus (WNV) has caused significant morbidity and mortality in humans, mammals, and both native and exotic birds in North America since its emergence in New York City in 1999 and its subsequent spread westward. Prior to the arrival of WNV to the western United States, prospective vaccination was conducted for the entire population of endangered California condors, both in captivity and in the wild. Here we show that this vaccine is safe for condors, stimulates protective immunity in adults, nestlings, and newly hatched chicks. Most importantly, we demonstrate protection of captive birds exposed to naturally circulating WNV during the 2004 transmission season. The prospective vaccination of the entire population of California condors before the arrival of WNV has thus potentially saved this endangered species from subsequent lethal WNV encephalitis, and possible extinction.","author":[{"dropping-particle":"","family":"Chang","given":"Gwong Jen J.","non-dropping-particle":"","parse-names":false,"suffix":""},{"dropping-particle":"","family":"Davis","given":"Brent S.","non-dropping-particle":"","parse-names":false,"suffix":""},{"dropping-particle":"","family":"Stringfield","given":"Cynthia","non-dropping-particle":"","parse-names":false,"suffix":""},{"dropping-particle":"","family":"Lutz","given":"Christine","non-dropping-particle":"","parse-names":false,"suffix":""}],"container-title":"Vaccine","id":"ITEM-2","issue":"12","issued":{"date-parts":[["2007"]]},"page":"2325-2330","title":"Prospective immunization of the endangered California condors (Gymnogyps californianus) protects this species from lethal West Nile virus infection","type":"article-journal","volume":"25"},"uris":["http://www.mendeley.com/documents/?uuid=fe3b57f0-a5dd-40f4-abda-0a82a8d0a5a7"]}],"mendeley":{"formattedCitation":"&lt;sup&gt;16,17&lt;/sup&gt;","plainTextFormattedCitation":"16,17","previouslyFormattedCitation":"&lt;sup&gt;16,17&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16,17</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VLP concentration was determined from the standard curves generated using purified antigens following a sigmoidal dose-response analysis using GraphPad Prism (version 7.0, GraphPad Software, Inc., La Jolla, CA, USA), which is ~25</w:t>
      </w:r>
      <w:r>
        <w:rPr>
          <w:rFonts w:ascii="Arial" w:hAnsi="Arial" w:cs="Arial"/>
          <w:color w:val="000000" w:themeColor="text1"/>
          <w:sz w:val="20"/>
          <w:szCs w:val="20"/>
        </w:rPr>
        <w:t xml:space="preserve"> </w:t>
      </w:r>
      <w:r w:rsidRPr="003A2793">
        <w:rPr>
          <w:rFonts w:ascii="Arial" w:hAnsi="Arial" w:cs="Arial"/>
          <w:color w:val="000000" w:themeColor="text1"/>
          <w:sz w:val="20"/>
          <w:szCs w:val="20"/>
        </w:rPr>
        <w:t>ng, as we have previously determined</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{"citationItems":[{"id":"ITEM-1","itemData":{"DOI":"10.3390/diagnostics11050741","ISSN":"20754418","PMID":"33919324","abstract":"Background: Dengue virus (DENV) infection remains a global public health concern. Enzyme-linked immunosorbent assays (ELISAs), which detect antibodies targeting the envelope (E) protein of DENV, serve as the front-line serological test for presumptive dengue diagnosis. Very few studies have determined the serostatus by detecting antibodies targeting the nonstructural protein 1 (NS1), which can function as diagnostic biomarkers to distinguish natural immunity from vaccine-induced immunity. Methods: We used community-acquired human serum specimens, with the serostatus confirmed by focus reduction microneutralization test (FRµNT), to evaluate the diagnostic performances of two NS1-based ELISA methods, namely, immunoglobulin G antibody-capture ELISA (NS1 GAC–ELISA) and indirect NS1 IgG ELISA, and compared the results with an E-based virus-like particle (VLP) GAC–ELISA. Results: NS1-based methods had comparable accuracies as VLP GAC–ELISA. Although the sensitivity in detecting anti-NS1 IgM was poor, indirect NS1 IgG ELISA showed similar limits of detection (~1–2 ng/mL) as NS1 GAC–ELISA in detecting anti-NS1 IgG. Combining the results from two or more tests as a composite reference standard can determine the DENV serostatus with a specificity reaching 100%. Conclusion: NS1-based ELISAs have comparable accuracies as VLP GAC–ELISA in determining dengue serostatus, which could effectively assist clinicians during assessments of vaccine eligibility.","author":[{"dropping-particle":"","family":"Galula","given":"Jedhan Ucat","non-dropping-particle":"","parse-names":false,"suffix":""},{"dropping-particle":"","family":"Salem","given":"Gielenny M.","non-dropping-particle":"","parse-names":false,"suffix":""},{"dropping-particle":"V.","family":"Destura","given":"Raul","non-dropping-particle":"","parse-names":false,"suffix":""},{"dropping-particle":"","family":"Remenyi","given":"Roland","non-dropping-particle":"","parse-names":false,"suffix":""},{"dropping-particle":"","family":"Chao","given":"Day Yu","non-dropping-particle":"","parse-names":false,"suffix":""}],"container-title":"Diagnostics","id":"ITEM-1","issue":"5","issued":{"date-parts":[["2021"]]},"page":"1-17","title":"Comparable accuracies of nonstructural protein 1-and envelope protein-based enzyme-linked immunosorbent assays in detecting anti-dengue immunoglobulin g antibodies","type":"article-journal","volume":"11"},"uris":["http://www.mendeley.com/documents/?uuid=754f87e4-d052-4ffb-b2f7-75f06193ae0d"]},{"id":"ITEM-2","itemData":{"DOI":"10.7554/eLife.38970","ISSN":"2050084X","PMID":"30334522","abstract":"Dengue fever is caused by four different serotypes of dengue virus (DENV) which is the leading cause of worldwide arboviral diseases in humans. Virus-like particles (VLPs) containing flavivirus prM/E proteins have been demonstrated to be a potential vaccine candidate; however, the structure of dengue VLP is poorly understood. Herein VLP derived from DENV serotype-2 were engineered becoming highly matured (mD2VLP) and showed variable size distribution with diameter of ~31 nm forming the major population under cryo-electron microscopy examination. Furthermore, mD2VLP particles of 31 nm diameter possess a T = 1 icosahedral symmetry with a groove located within the E-protein dimers near the 2-fold vertices that exposed highly overlapping, cryptic neutralizing epitopes. Mice vaccinated with mD2VLP generated higher cross-reactive (CR) neutralization antibodies (NtAbs) and were fully protected against all 4 serotypes of DENV. Our results highlight the potential of ‘epitope-resurfaced’ mature-form D2VLPs in inducing quaternary structure-recognizing broad CR NtAbs to guide future dengue vaccine design.","author":[{"dropping-particle":"","family":"Shen","given":"Wen Fan","non-dropping-particle":"","parse-names":false,"suffix":""},{"dropping-particle":"","family":"Galula","given":"Jedhan Ucat","non-dropping-particle":"","parse-names":false,"suffix":""},{"dropping-particle":"","family":"Liu","given":"Jyung Hurng","non-dropping-particle":"","parse-names":false,"suffix":""},{"dropping-particle":"","family":"Liao","given":"Mei Ying","non-dropping-particle":"","parse-names":false,"suffix":""},{"dropping-particle":"","family":"Huang","given":"Cheng Hao","non-dropping-particle":"","parse-names":false,"suffix":""},{"dropping-particle":"","family":"Wang","given":"Yu Chun","non-dropping-particle":"","parse-names":false,"suffix":""},{"dropping-particle":"","family":"Wu","given":"Han Chung","non-dropping-particle":"","parse-names":false,"suffix":""},{"dropping-particle":"","family":"Liang","given":"Jian Jong","non-dropping-particle":"","parse-names":false,"suffix":""},{"dropping-particle":"","family":"Lin","given":"Yi Ling","non-dropping-particle":"","parse-names":false,"suffix":""},{"dropping-particle":"","family":"Whitney","given":"Matthew T.","non-dropping-particle":"","parse-names":false,"suffix":""},{"dropping-particle":"","family":"Chang","given":"Gwong Jen J.","non-dropping-particle":"","parse-names":false,"suffix":""},{"dropping-particle":"","family":"Chen","given":"Sheng Ren","non-dropping-particle":"","parse-names":false,"suffix":""},{"dropping-particle":"","family":"Wu","given":"Shang Rung","non-dropping-particle":"","parse-names":false,"suffix":""},{"dropping-particle":"","family":"Chao","given":"Day Yu","non-dropping-particle":"","parse-names":false,"suffix":""}],"container-title":"eLife","id":"ITEM-2","issued":{"date-parts":[["2018"]]},"page":"1-24","title":"Epitope resurfacing on dengue virus-like particle vaccine preparation to induce broad neutralizing antibody","type":"article-journal","volume":"7"},"uris":["http://www.mendeley.com/documents/?uuid=8b153c32-3a17-42bb-a1b6-9279f37d1267"]}],"mendeley":{"formattedCitation":"&lt;sup&gt;8,9&lt;/sup&gt;","plainTextFormattedCitation":"8,9","previouslyFormattedCitation":"&lt;sup&gt;8,9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8,9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Individual human or mouse polyclonal sera were initially diluted at 1:1,000, titrated two-fold, added into wells in duplicate, and incubated for 1 h</w:t>
      </w:r>
      <w:r>
        <w:rPr>
          <w:rFonts w:ascii="Arial" w:hAnsi="Arial" w:cs="Arial"/>
          <w:color w:val="000000" w:themeColor="text1"/>
          <w:sz w:val="20"/>
          <w:szCs w:val="20"/>
        </w:rPr>
        <w:t xml:space="preserve"> </w:t>
      </w:r>
      <w:r w:rsidRPr="003A2793">
        <w:rPr>
          <w:rFonts w:ascii="Arial" w:hAnsi="Arial" w:cs="Arial"/>
          <w:color w:val="000000" w:themeColor="text1"/>
          <w:sz w:val="20"/>
          <w:szCs w:val="20"/>
        </w:rPr>
        <w:t>at 37°C. Dengue</w:t>
      </w:r>
      <w:r w:rsidR="00CC5316">
        <w:rPr>
          <w:rFonts w:ascii="Arial" w:hAnsi="Arial" w:cs="Arial"/>
          <w:color w:val="000000" w:themeColor="text1"/>
          <w:sz w:val="20"/>
          <w:szCs w:val="20"/>
        </w:rPr>
        <w:t>-negative</w:t>
      </w:r>
      <w:r w:rsidR="00AE6D45">
        <w:rPr>
          <w:rFonts w:ascii="Arial" w:hAnsi="Arial" w:cs="Arial"/>
          <w:color w:val="000000" w:themeColor="text1"/>
          <w:sz w:val="20"/>
          <w:szCs w:val="20"/>
        </w:rPr>
        <w:t xml:space="preserve"> </w:t>
      </w:r>
      <w:r w:rsidR="000C52FD">
        <w:rPr>
          <w:rFonts w:ascii="Arial" w:hAnsi="Arial" w:cs="Arial"/>
          <w:color w:val="000000" w:themeColor="text1"/>
          <w:sz w:val="20"/>
          <w:szCs w:val="20"/>
        </w:rPr>
        <w:t xml:space="preserve">or </w:t>
      </w:r>
      <w:r w:rsidRPr="003A2793">
        <w:rPr>
          <w:rFonts w:ascii="Arial" w:hAnsi="Arial" w:cs="Arial"/>
          <w:color w:val="000000" w:themeColor="text1"/>
          <w:sz w:val="20"/>
          <w:szCs w:val="20"/>
        </w:rPr>
        <w:t>healthy controls</w:t>
      </w:r>
      <w:r w:rsidR="00760C19">
        <w:rPr>
          <w:rFonts w:ascii="Arial" w:hAnsi="Arial" w:cs="Arial"/>
          <w:color w:val="000000" w:themeColor="text1"/>
          <w:sz w:val="20"/>
          <w:szCs w:val="20"/>
        </w:rPr>
        <w:t>,</w:t>
      </w:r>
      <w:r w:rsidRPr="003A2793">
        <w:rPr>
          <w:rFonts w:ascii="Arial" w:hAnsi="Arial" w:cs="Arial"/>
          <w:color w:val="000000" w:themeColor="text1"/>
          <w:sz w:val="20"/>
          <w:szCs w:val="20"/>
        </w:rPr>
        <w:t xml:space="preserve"> pre-vaccination mouse sera</w:t>
      </w:r>
      <w:r w:rsidR="00760C19">
        <w:rPr>
          <w:rFonts w:ascii="Arial" w:hAnsi="Arial" w:cs="Arial"/>
          <w:color w:val="000000" w:themeColor="text1"/>
          <w:sz w:val="20"/>
          <w:szCs w:val="20"/>
        </w:rPr>
        <w:t>,</w:t>
      </w:r>
      <w:r w:rsidRPr="003A2793">
        <w:rPr>
          <w:rFonts w:ascii="Arial" w:hAnsi="Arial" w:cs="Arial"/>
          <w:color w:val="000000" w:themeColor="text1"/>
          <w:sz w:val="20"/>
          <w:szCs w:val="20"/>
        </w:rPr>
        <w:t xml:space="preserve"> </w:t>
      </w:r>
      <w:proofErr w:type="spellStart"/>
      <w:r w:rsidR="00760C19">
        <w:rPr>
          <w:rFonts w:ascii="Arial" w:hAnsi="Arial" w:cs="Arial"/>
          <w:color w:val="000000" w:themeColor="text1"/>
          <w:sz w:val="20"/>
          <w:szCs w:val="20"/>
        </w:rPr>
        <w:t>u</w:t>
      </w:r>
      <w:r w:rsidR="00760C19" w:rsidRPr="003A2793">
        <w:rPr>
          <w:rFonts w:ascii="Arial" w:hAnsi="Arial" w:cs="Arial"/>
          <w:color w:val="000000" w:themeColor="text1"/>
          <w:sz w:val="20"/>
          <w:szCs w:val="20"/>
        </w:rPr>
        <w:t>ntransfected</w:t>
      </w:r>
      <w:proofErr w:type="spellEnd"/>
      <w:r w:rsidR="00760C19" w:rsidRPr="003A2793">
        <w:rPr>
          <w:rFonts w:ascii="Arial" w:hAnsi="Arial" w:cs="Arial"/>
          <w:color w:val="000000" w:themeColor="text1"/>
          <w:sz w:val="20"/>
          <w:szCs w:val="20"/>
        </w:rPr>
        <w:t xml:space="preserve"> HEK293T cell culture </w:t>
      </w:r>
      <w:r w:rsidR="00FA3779">
        <w:rPr>
          <w:rFonts w:ascii="Arial" w:hAnsi="Arial" w:cs="Arial"/>
          <w:color w:val="000000" w:themeColor="text1"/>
          <w:sz w:val="20"/>
          <w:szCs w:val="20"/>
        </w:rPr>
        <w:t xml:space="preserve">supernatant </w:t>
      </w:r>
      <w:r w:rsidR="00760C19" w:rsidRPr="003A2793">
        <w:rPr>
          <w:rFonts w:ascii="Arial" w:hAnsi="Arial" w:cs="Arial"/>
          <w:color w:val="000000" w:themeColor="text1"/>
          <w:sz w:val="20"/>
          <w:szCs w:val="20"/>
        </w:rPr>
        <w:t xml:space="preserve">or IgG isotype control (in-house generated SARS-CoV-2 virus-specific </w:t>
      </w:r>
      <w:proofErr w:type="spellStart"/>
      <w:r w:rsidR="00760C19" w:rsidRPr="003A2793">
        <w:rPr>
          <w:rFonts w:ascii="Arial" w:hAnsi="Arial" w:cs="Arial"/>
          <w:color w:val="000000" w:themeColor="text1"/>
          <w:sz w:val="20"/>
          <w:szCs w:val="20"/>
        </w:rPr>
        <w:t>huMAb</w:t>
      </w:r>
      <w:proofErr w:type="spellEnd"/>
      <w:r w:rsidR="00760C19" w:rsidRPr="003A2793">
        <w:rPr>
          <w:rFonts w:ascii="Arial" w:hAnsi="Arial" w:cs="Arial"/>
          <w:color w:val="000000" w:themeColor="text1"/>
          <w:sz w:val="20"/>
          <w:szCs w:val="20"/>
        </w:rPr>
        <w:t>) were used as negative antibody controls</w:t>
      </w:r>
      <w:r w:rsidR="00C150B7">
        <w:rPr>
          <w:rFonts w:ascii="Arial" w:hAnsi="Arial" w:cs="Arial"/>
          <w:color w:val="000000" w:themeColor="text1"/>
          <w:sz w:val="20"/>
          <w:szCs w:val="20"/>
        </w:rPr>
        <w:t xml:space="preserve"> for</w:t>
      </w:r>
      <w:r w:rsidRPr="003A2793">
        <w:rPr>
          <w:rFonts w:ascii="Arial" w:hAnsi="Arial" w:cs="Arial"/>
          <w:color w:val="000000" w:themeColor="text1"/>
          <w:sz w:val="20"/>
          <w:szCs w:val="20"/>
        </w:rPr>
        <w:t xml:space="preserve"> ELISAs. A similar ELISA protocol was used to determine the binding reactivity of isolated human or murine monoclonal antibodies, initially diluted to 10</w:t>
      </w:r>
      <w:r w:rsidR="00D64CB1">
        <w:rPr>
          <w:rFonts w:ascii="Arial" w:hAnsi="Arial" w:cs="Arial"/>
          <w:color w:val="000000" w:themeColor="text1"/>
          <w:sz w:val="20"/>
          <w:szCs w:val="20"/>
        </w:rPr>
        <w:t xml:space="preserve"> </w:t>
      </w:r>
      <w:proofErr w:type="spellStart"/>
      <w:r w:rsidR="00D64CB1" w:rsidRPr="003A2793">
        <w:rPr>
          <w:rFonts w:ascii="Arial" w:hAnsi="Arial" w:cs="Arial"/>
          <w:color w:val="000000" w:themeColor="text1"/>
          <w:sz w:val="20"/>
          <w:szCs w:val="20"/>
        </w:rPr>
        <w:t>μ</w:t>
      </w:r>
      <w:r w:rsidRPr="003A2793">
        <w:rPr>
          <w:rFonts w:ascii="Arial" w:hAnsi="Arial" w:cs="Arial"/>
          <w:color w:val="000000" w:themeColor="text1"/>
          <w:sz w:val="20"/>
          <w:szCs w:val="20"/>
        </w:rPr>
        <w:t>g</w:t>
      </w:r>
      <w:proofErr w:type="spellEnd"/>
      <w:r w:rsidRPr="003A2793">
        <w:rPr>
          <w:rFonts w:ascii="Arial" w:hAnsi="Arial" w:cs="Arial"/>
          <w:color w:val="000000" w:themeColor="text1"/>
          <w:sz w:val="20"/>
          <w:szCs w:val="20"/>
        </w:rPr>
        <w:t>/mL followed by two-fold titration. Incubations with the donkey anti-human IgG (1:5,000, Sigma-Aldrich, St. Louis, MO</w:t>
      </w:r>
      <w:bookmarkStart w:id="7" w:name="OLE_LINK3"/>
      <w:bookmarkStart w:id="8" w:name="OLE_LINK4"/>
      <w:r w:rsidR="00C43A6C">
        <w:rPr>
          <w:rFonts w:ascii="Arial" w:hAnsi="Arial" w:cs="Arial"/>
          <w:color w:val="000000" w:themeColor="text1"/>
          <w:sz w:val="20"/>
          <w:szCs w:val="20"/>
        </w:rPr>
        <w:t>, USA</w:t>
      </w:r>
      <w:r w:rsidRPr="003A2793">
        <w:rPr>
          <w:rFonts w:ascii="Arial" w:hAnsi="Arial" w:cs="Arial"/>
          <w:color w:val="000000" w:themeColor="text1"/>
          <w:sz w:val="20"/>
          <w:szCs w:val="20"/>
        </w:rPr>
        <w:t xml:space="preserve">) </w:t>
      </w:r>
      <w:bookmarkEnd w:id="7"/>
      <w:bookmarkEnd w:id="8"/>
      <w:r w:rsidRPr="003A2793">
        <w:rPr>
          <w:rFonts w:ascii="Arial" w:hAnsi="Arial" w:cs="Arial"/>
          <w:color w:val="000000" w:themeColor="text1"/>
          <w:sz w:val="20"/>
          <w:szCs w:val="20"/>
        </w:rPr>
        <w:t>or goat anti-mouse IgG (1:5,000, Sigma-Aldrich, St. Louis, MO</w:t>
      </w:r>
      <w:r w:rsidR="00323B85">
        <w:rPr>
          <w:rFonts w:ascii="Arial" w:hAnsi="Arial" w:cs="Arial"/>
          <w:color w:val="000000" w:themeColor="text1"/>
          <w:sz w:val="20"/>
          <w:szCs w:val="20"/>
        </w:rPr>
        <w:t>, USA</w:t>
      </w:r>
      <w:r w:rsidRPr="003A2793">
        <w:rPr>
          <w:rFonts w:ascii="Arial" w:hAnsi="Arial" w:cs="Arial"/>
          <w:color w:val="000000" w:themeColor="text1"/>
          <w:sz w:val="20"/>
          <w:szCs w:val="20"/>
        </w:rPr>
        <w:t xml:space="preserve">) conjugates and substrate were carried out according to the standard ELISA. The OD450 values, modeled as non-linear functions of the log10 serum dilutions using a sigmoidal dose-response (variable slope) equation and endpoint antibody titers from two independent experiments, were determined as the dilutions where the OD value was twice the </w:t>
      </w:r>
      <w:r w:rsidRPr="003A2793">
        <w:rPr>
          <w:rFonts w:ascii="Arial" w:hAnsi="Arial" w:cs="Arial"/>
          <w:color w:val="000000" w:themeColor="text1"/>
          <w:sz w:val="20"/>
          <w:szCs w:val="20"/>
        </w:rPr>
        <w:lastRenderedPageBreak/>
        <w:t xml:space="preserve">average OD of the negative control. </w:t>
      </w:r>
    </w:p>
    <w:p w14:paraId="0B18CF22" w14:textId="3141A119" w:rsidR="00760C19" w:rsidRPr="003A2793" w:rsidRDefault="00760C19" w:rsidP="00CC299A">
      <w:pPr>
        <w:autoSpaceDE w:val="0"/>
        <w:autoSpaceDN w:val="0"/>
        <w:adjustRightInd w:val="0"/>
        <w:spacing w:line="480" w:lineRule="auto"/>
        <w:ind w:firstLine="720"/>
        <w:jc w:val="both"/>
        <w:rPr>
          <w:rFonts w:ascii="Arial" w:hAnsi="Arial" w:cs="Arial"/>
          <w:color w:val="000000" w:themeColor="text1"/>
          <w:sz w:val="20"/>
          <w:szCs w:val="20"/>
        </w:rPr>
      </w:pPr>
      <w:r w:rsidRPr="00E706C6">
        <w:rPr>
          <w:rFonts w:ascii="Arial" w:hAnsi="Arial" w:cs="Arial"/>
          <w:sz w:val="20"/>
          <w:szCs w:val="20"/>
        </w:rPr>
        <w:t>As for antigen-specific human IgG and IgG3 detection, the in-house developed antigen-capture ELISA was performed using</w:t>
      </w:r>
      <w:r w:rsidRPr="00E706C6">
        <w:rPr>
          <w:rFonts w:ascii="Arial" w:hAnsi="Arial" w:cs="Arial"/>
          <w:b/>
          <w:sz w:val="20"/>
          <w:szCs w:val="20"/>
        </w:rPr>
        <w:t xml:space="preserve"> </w:t>
      </w:r>
      <w:r w:rsidRPr="00E706C6">
        <w:rPr>
          <w:rFonts w:ascii="Arial" w:hAnsi="Arial" w:cs="Arial"/>
          <w:sz w:val="20"/>
          <w:szCs w:val="20"/>
        </w:rPr>
        <w:t>serum-free grown</w:t>
      </w:r>
      <w:r w:rsidRPr="00E706C6">
        <w:rPr>
          <w:rFonts w:ascii="Arial" w:hAnsi="Arial" w:cs="Arial"/>
          <w:b/>
          <w:sz w:val="20"/>
          <w:szCs w:val="20"/>
        </w:rPr>
        <w:t xml:space="preserve"> </w:t>
      </w:r>
      <w:r w:rsidRPr="00E706C6">
        <w:rPr>
          <w:rFonts w:ascii="Arial" w:hAnsi="Arial" w:cs="Arial"/>
          <w:sz w:val="20"/>
          <w:szCs w:val="20"/>
        </w:rPr>
        <w:t>ZIKV virus-like particles (VLPs) as capture antigens described previously with minor modifications</w:t>
      </w:r>
      <w:r w:rsidRPr="00E706C6">
        <w:rPr>
          <w:rFonts w:ascii="Arial" w:hAnsi="Arial" w:cs="Arial"/>
          <w:sz w:val="20"/>
          <w:szCs w:val="20"/>
        </w:rPr>
        <w:fldChar w:fldCharType="begin" w:fldLock="1"/>
      </w:r>
      <w:r w:rsidR="00C937AB">
        <w:rPr>
          <w:rFonts w:ascii="Arial" w:hAnsi="Arial" w:cs="Arial"/>
          <w:sz w:val="20"/>
          <w:szCs w:val="20"/>
        </w:rPr>
        <w:instrText>ADDIN CSL_CITATION {"citationItems":[{"id":"ITEM-1","itemData":{"DOI":"10.3390/diagnostics11050741","ISSN":"20754418","PMID":"33919324","abstract":"Background: Dengue virus (DENV) infection remains a global public health concern. Enzyme-linked immunosorbent assays (ELISAs), which detect antibodies targeting the envelope (E) protein of DENV, serve as the front-line serological test for presumptive dengue diagnosis. Very few studies have determined the serostatus by detecting antibodies targeting the nonstructural protein 1 (NS1), which can function as diagnostic biomarkers to distinguish natural immunity from vaccine-induced immunity. Methods: We used community-acquired human serum specimens, with the serostatus confirmed by focus reduction microneutralization test (FRµNT), to evaluate the diagnostic performances of two NS1-based ELISA methods, namely, immunoglobulin G antibody-capture ELISA (NS1 GAC–ELISA) and indirect NS1 IgG ELISA, and compared the results with an E-based virus-like particle (VLP) GAC–ELISA. Results: NS1-based methods had comparable accuracies as VLP GAC–ELISA. Although the sensitivity in detecting anti-NS1 IgM was poor, indirect NS1 IgG ELISA showed similar limits of detection (~1–2 ng/mL) as NS1 GAC–ELISA in detecting anti-NS1 IgG. Combining the results from two or more tests as a composite reference standard can determine the DENV serostatus with a specificity reaching 100%. Conclusion: NS1-based ELISAs have comparable accuracies as VLP GAC–ELISA in determining dengue serostatus, which could effectively assist clinicians during assessments of vaccine eligibility.","author":[{"dropping-particle":"","family":"Galula","given":"Jedhan Ucat","non-dropping-particle":"","parse-names":false,"suffix":""},{"dropping-particle":"","family":"Salem","given":"Gielenny M.","non-dropping-particle":"","parse-names":false,"suffix":""},{"dropping-particle":"V.","family":"Destura","given":"Raul","non-dropping-particle":"","parse-names":false,"suffix":""},{"dropping-particle":"","family":"Remenyi","given":"Roland","non-dropping-particle":"","parse-names":false,"suffix":""},{"dropping-particle":"","family":"Chao","given":"Day Yu","non-dropping-particle":"","parse-names":false,"suffix":""}],"container-title":"Diagnostics","id":"ITEM-1","issue":"5","issued":{"date-parts":[["2021"]]},"page":"1-17","title":"Comparable accuracies of nonstructural protein 1-and envelope protein-based enzyme-linked immunosorbent assays in detecting anti-dengue immunoglobulin g antibodies","type":"article-journal","volume":"11"},"uris":["http://www.mendeley.com/documents/?uuid=754f87e4-d052-4ffb-b2f7-75f06193ae0d"]}],"mendeley":{"formattedCitation":"&lt;sup&gt;9&lt;/sup&gt;","plainTextFormattedCitation":"9","previouslyFormattedCitation":"&lt;sup&gt;9&lt;/sup&gt;"},"properties":{"noteIndex":0},"schema":"https://github.com/citation-style-language/schema/raw/master/csl-citation.json"}</w:instrText>
      </w:r>
      <w:r w:rsidRPr="00E706C6">
        <w:rPr>
          <w:rFonts w:ascii="Arial" w:hAnsi="Arial" w:cs="Arial"/>
          <w:sz w:val="20"/>
          <w:szCs w:val="20"/>
        </w:rPr>
        <w:fldChar w:fldCharType="separate"/>
      </w:r>
      <w:r w:rsidR="00420BD1" w:rsidRPr="00420BD1">
        <w:rPr>
          <w:rFonts w:ascii="Arial" w:hAnsi="Arial" w:cs="Arial"/>
          <w:noProof/>
          <w:sz w:val="20"/>
          <w:szCs w:val="20"/>
          <w:vertAlign w:val="superscript"/>
        </w:rPr>
        <w:t>9</w:t>
      </w:r>
      <w:r w:rsidRPr="00E706C6">
        <w:rPr>
          <w:rFonts w:ascii="Arial" w:hAnsi="Arial" w:cs="Arial"/>
          <w:sz w:val="20"/>
          <w:szCs w:val="20"/>
        </w:rPr>
        <w:fldChar w:fldCharType="end"/>
      </w:r>
      <w:r w:rsidRPr="00E706C6">
        <w:rPr>
          <w:rFonts w:ascii="Arial" w:hAnsi="Arial" w:cs="Arial"/>
          <w:sz w:val="20"/>
          <w:szCs w:val="20"/>
        </w:rPr>
        <w:t xml:space="preserve">. Polyclonal dengue-infected and healthy control plasma were added to the pre-coated plates and incubated for 1 h at 37°C. VLP-reactive total human IgG or IgG3 were detected using HRP-conjugated donkey anti-human IgG or mouse anti-human IgG3 (Invitrogen, </w:t>
      </w:r>
      <w:proofErr w:type="spellStart"/>
      <w:r w:rsidRPr="00E706C6">
        <w:rPr>
          <w:rFonts w:ascii="Arial" w:hAnsi="Arial" w:cs="Arial"/>
          <w:sz w:val="20"/>
          <w:szCs w:val="20"/>
        </w:rPr>
        <w:t>Thermo</w:t>
      </w:r>
      <w:proofErr w:type="spellEnd"/>
      <w:r w:rsidRPr="00E706C6">
        <w:rPr>
          <w:rFonts w:ascii="Arial" w:hAnsi="Arial" w:cs="Arial"/>
          <w:sz w:val="20"/>
          <w:szCs w:val="20"/>
        </w:rPr>
        <w:t xml:space="preserve"> Fisher Scientific, Inc., Rockford, IL, USA) for 1 h at 37°</w:t>
      </w:r>
      <w:proofErr w:type="spellStart"/>
      <w:r w:rsidRPr="00E706C6">
        <w:rPr>
          <w:rFonts w:ascii="Arial" w:hAnsi="Arial" w:cs="Arial"/>
          <w:sz w:val="20"/>
          <w:szCs w:val="20"/>
        </w:rPr>
        <w:t>C at</w:t>
      </w:r>
      <w:proofErr w:type="spellEnd"/>
      <w:r w:rsidRPr="00E706C6">
        <w:rPr>
          <w:rFonts w:ascii="Arial" w:hAnsi="Arial" w:cs="Arial"/>
          <w:sz w:val="20"/>
          <w:szCs w:val="20"/>
        </w:rPr>
        <w:t xml:space="preserve"> 1:5,000 or 1:1</w:t>
      </w:r>
      <w:r w:rsidR="00571F06">
        <w:rPr>
          <w:rFonts w:ascii="Arial" w:hAnsi="Arial" w:cs="Arial"/>
          <w:sz w:val="20"/>
          <w:szCs w:val="20"/>
        </w:rPr>
        <w:t>,</w:t>
      </w:r>
      <w:r w:rsidRPr="00E706C6">
        <w:rPr>
          <w:rFonts w:ascii="Arial" w:hAnsi="Arial" w:cs="Arial"/>
          <w:sz w:val="20"/>
          <w:szCs w:val="20"/>
        </w:rPr>
        <w:t xml:space="preserve">000, respectively. </w:t>
      </w:r>
    </w:p>
    <w:p w14:paraId="3512942E" w14:textId="77777777" w:rsidR="00CC299A" w:rsidRDefault="00CC299A" w:rsidP="00CC299A">
      <w:pPr>
        <w:autoSpaceDE w:val="0"/>
        <w:autoSpaceDN w:val="0"/>
        <w:adjustRightInd w:val="0"/>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The binding of purified K8b-F(ab) and K8b-F(ab’)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molecules was determined alongside purified K8b-IgG1 using the VLP capture ELISA described above. Bound F(ab) and 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molecules to the VLPs were detected with 1:40,000 HRP-conjugated goat anti-human F(ab) (Jackson </w:t>
      </w:r>
      <w:proofErr w:type="spellStart"/>
      <w:r w:rsidRPr="003A2793">
        <w:rPr>
          <w:rFonts w:ascii="Arial" w:hAnsi="Arial" w:cs="Arial"/>
          <w:color w:val="000000" w:themeColor="text1"/>
          <w:sz w:val="20"/>
          <w:szCs w:val="20"/>
        </w:rPr>
        <w:t>ImmunoResearch</w:t>
      </w:r>
      <w:proofErr w:type="spellEnd"/>
      <w:r w:rsidRPr="003A2793">
        <w:rPr>
          <w:rFonts w:ascii="Arial" w:hAnsi="Arial" w:cs="Arial"/>
          <w:color w:val="000000" w:themeColor="text1"/>
          <w:sz w:val="20"/>
          <w:szCs w:val="20"/>
        </w:rPr>
        <w:t xml:space="preserve"> Laboratories Inc., West Grove, PA, USA). After washing with PBS ten times, TMB substrate was added into the wells, incubated for 10 min, and the reaction was stopped with 2N H</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SO</w:t>
      </w:r>
      <w:r w:rsidRPr="003A2793">
        <w:rPr>
          <w:rFonts w:ascii="Arial" w:hAnsi="Arial" w:cs="Arial"/>
          <w:color w:val="000000" w:themeColor="text1"/>
          <w:sz w:val="20"/>
          <w:szCs w:val="20"/>
          <w:vertAlign w:val="subscript"/>
        </w:rPr>
        <w:t>4</w:t>
      </w:r>
      <w:r w:rsidRPr="003A2793">
        <w:rPr>
          <w:rFonts w:ascii="Arial" w:hAnsi="Arial" w:cs="Arial"/>
          <w:color w:val="000000" w:themeColor="text1"/>
          <w:sz w:val="20"/>
          <w:szCs w:val="20"/>
        </w:rPr>
        <w:t>. Reactions were measured at A</w:t>
      </w:r>
      <w:r w:rsidRPr="003A2793">
        <w:rPr>
          <w:rFonts w:ascii="Arial" w:hAnsi="Arial" w:cs="Arial"/>
          <w:color w:val="000000" w:themeColor="text1"/>
          <w:sz w:val="20"/>
          <w:szCs w:val="20"/>
          <w:vertAlign w:val="subscript"/>
        </w:rPr>
        <w:t>450/630</w:t>
      </w:r>
      <w:r w:rsidRPr="003A2793">
        <w:rPr>
          <w:rFonts w:ascii="Arial" w:hAnsi="Arial" w:cs="Arial"/>
          <w:color w:val="000000" w:themeColor="text1"/>
          <w:sz w:val="20"/>
          <w:szCs w:val="20"/>
        </w:rPr>
        <w:t>. The relative binding reactivity of F(ab) and F(ab’)</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 xml:space="preserve"> molecules was determined by comparing the P/N values generated from the replicate wells with that of IgG1 molecules. </w:t>
      </w:r>
    </w:p>
    <w:p w14:paraId="047D6D14" w14:textId="77777777" w:rsidR="00CC299A" w:rsidRPr="003A2793" w:rsidRDefault="00CC299A" w:rsidP="00CC299A">
      <w:pPr>
        <w:autoSpaceDE w:val="0"/>
        <w:autoSpaceDN w:val="0"/>
        <w:adjustRightInd w:val="0"/>
        <w:spacing w:line="480" w:lineRule="auto"/>
        <w:jc w:val="both"/>
        <w:rPr>
          <w:rFonts w:ascii="Arial" w:hAnsi="Arial" w:cs="Arial"/>
          <w:color w:val="000000" w:themeColor="text1"/>
          <w:sz w:val="20"/>
          <w:szCs w:val="20"/>
        </w:rPr>
      </w:pPr>
    </w:p>
    <w:p w14:paraId="5ACE3C9B" w14:textId="77777777" w:rsidR="00CC299A" w:rsidRPr="003A2793" w:rsidRDefault="00CC299A" w:rsidP="00CC299A">
      <w:pPr>
        <w:autoSpaceDE w:val="0"/>
        <w:autoSpaceDN w:val="0"/>
        <w:adjustRightInd w:val="0"/>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 xml:space="preserve">K8b-IgG1 and mD2VLP Immune complex formation and </w:t>
      </w:r>
      <w:proofErr w:type="spellStart"/>
      <w:r w:rsidRPr="003A2793">
        <w:rPr>
          <w:rFonts w:ascii="Arial" w:hAnsi="Arial" w:cs="Arial"/>
          <w:b/>
          <w:color w:val="000000" w:themeColor="text1"/>
          <w:sz w:val="20"/>
          <w:szCs w:val="20"/>
        </w:rPr>
        <w:t>cryoEM</w:t>
      </w:r>
      <w:proofErr w:type="spellEnd"/>
      <w:r w:rsidRPr="003A2793">
        <w:rPr>
          <w:rFonts w:ascii="Arial" w:hAnsi="Arial" w:cs="Arial"/>
          <w:b/>
          <w:color w:val="000000" w:themeColor="text1"/>
          <w:sz w:val="20"/>
          <w:szCs w:val="20"/>
        </w:rPr>
        <w:t xml:space="preserve"> 3D reconstruction</w:t>
      </w:r>
    </w:p>
    <w:p w14:paraId="34F7E3D2" w14:textId="3A4A61B5" w:rsidR="00CC299A" w:rsidRPr="003A2793" w:rsidRDefault="00CC299A" w:rsidP="00CC299A">
      <w:pPr>
        <w:autoSpaceDE w:val="0"/>
        <w:autoSpaceDN w:val="0"/>
        <w:adjustRightInd w:val="0"/>
        <w:spacing w:line="480" w:lineRule="auto"/>
        <w:ind w:firstLine="720"/>
        <w:jc w:val="both"/>
        <w:rPr>
          <w:rFonts w:ascii="Arial" w:hAnsi="Arial" w:cs="Arial"/>
          <w:color w:val="000000" w:themeColor="text1"/>
          <w:sz w:val="20"/>
          <w:szCs w:val="20"/>
        </w:rPr>
      </w:pPr>
      <w:r w:rsidRPr="003A2793">
        <w:rPr>
          <w:rFonts w:ascii="Arial" w:eastAsia="PingFang TC" w:hAnsi="Arial" w:cs="Arial"/>
          <w:color w:val="000000" w:themeColor="text1"/>
          <w:sz w:val="20"/>
          <w:szCs w:val="20"/>
        </w:rPr>
        <w:t xml:space="preserve">The </w:t>
      </w:r>
      <w:r w:rsidR="00BD6C70">
        <w:rPr>
          <w:rFonts w:ascii="Arial" w:eastAsia="PingFang TC" w:hAnsi="Arial" w:cs="Arial"/>
          <w:color w:val="000000" w:themeColor="text1"/>
          <w:sz w:val="20"/>
          <w:szCs w:val="20"/>
        </w:rPr>
        <w:t xml:space="preserve">previously developed and characterized </w:t>
      </w:r>
      <w:r w:rsidRPr="003A2793">
        <w:rPr>
          <w:rFonts w:ascii="Arial" w:eastAsia="PingFang TC" w:hAnsi="Arial" w:cs="Arial"/>
          <w:color w:val="000000" w:themeColor="text1"/>
          <w:sz w:val="20"/>
          <w:szCs w:val="20"/>
        </w:rPr>
        <w:t xml:space="preserve">mature dengue </w:t>
      </w:r>
      <w:r w:rsidRPr="003A2793">
        <w:rPr>
          <w:rFonts w:ascii="Arial" w:hAnsi="Arial" w:cs="Arial"/>
          <w:color w:val="000000" w:themeColor="text1"/>
          <w:sz w:val="20"/>
          <w:szCs w:val="20"/>
        </w:rPr>
        <w:t>VLPs (mD2VLPs)</w:t>
      </w:r>
      <w:r w:rsidR="00C937AB">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{"citationItems":[{"id":"ITEM-1","itemData":{"DOI":"10.7554/eLife.38970","ISSN":"2050084X","PMID":"30334522","abstract":"Dengue fever is caused by four different serotypes of dengue virus (DENV) which is the leading cause of worldwide arboviral diseases in humans. Virus-like particles (VLPs) containing flavivirus prM/E proteins have been demonstrated to be a potential vaccine candidate; however, the structure of dengue VLP is poorly understood. Herein VLP derived from DENV serotype-2 were engineered becoming highly matured (mD2VLP) and showed variable size distribution with diameter of ~31 nm forming the major population under cryo-electron microscopy examination. Furthermore, mD2VLP particles of 31 nm diameter possess a T = 1 icosahedral symmetry with a groove located within the E-protein dimers near the 2-fold vertices that exposed highly overlapping, cryptic neutralizing epitopes. Mice vaccinated with mD2VLP generated higher cross-reactive (CR) neutralization antibodies (NtAbs) and were fully protected against all 4 serotypes of DENV. Our results highlight the potential of ‘epitope-resurfaced’ mature-form D2VLPs in inducing quaternary structure-recognizing broad CR NtAbs to guide future dengue vaccine design.","author":[{"dropping-particle":"","family":"Shen","given":"Wen Fan","non-dropping-particle":"","parse-names":false,"suffix":""},{"dropping-particle":"","family":"Galula","given":"Jedhan Ucat","non-dropping-particle":"","parse-names":false,"suffix":""},{"dropping-particle":"","family":"Liu","given":"Jyung Hurng","non-dropping-particle":"","parse-names":false,"suffix":""},{"dropping-particle":"","family":"Liao","given":"Mei Ying","non-dropping-particle":"","parse-names":false,"suffix":""},{"dropping-particle":"","family":"Huang","given":"Cheng Hao","non-dropping-particle":"","parse-names":false,"suffix":""},{"dropping-particle":"","family":"Wang","given":"Yu Chun","non-dropping-particle":"","parse-names":false,"suffix":""},{"dropping-particle":"","family":"Wu","given":"Han Chung","non-dropping-particle":"","parse-names":false,"suffix":""},{"dropping-particle":"","family":"Liang","given":"Jian Jong","non-dropping-particle":"","parse-names":false,"suffix":""},{"dropping-particle":"","family":"Lin","given":"Yi Ling","non-dropping-particle":"","parse-names":false,"suffix":""},{"dropping-particle":"","family":"Whitney","given":"Matthew T.","non-dropping-particle":"","parse-names":false,"suffix":""},{"dropping-particle":"","family":"Chang","given":"Gwong Jen J.","non-dropping-particle":"","parse-names":false,"suffix":""},{"dropping-particle":"","family":"Chen","given":"Sheng Ren","non-dropping-particle":"","parse-names":false,"suffix":""},{"dropping-particle":"","family":"Wu","given":"Shang Rung","non-dropping-particle":"","parse-names":false,"suffix":""},{"dropping-particle":"","family":"Chao","given":"Day Yu","non-dropping-particle":"","parse-names":false,"suffix":""}],"container-title":"eLife","id":"ITEM-1","issued":{"date-parts":[["2018"]]},"page":"1-24","title":"Epitope resurfacing on dengue virus-like particle vaccine preparation to induce broad neutralizing antibody","type":"article-journal","volume":"7"},"uris":["http://www.mendeley.com/documents/?uuid=8b153c32-3a17-42bb-a1b6-9279f37d1267"]}],"mendeley":{"formattedCitation":"&lt;sup&gt;8&lt;/sup&gt;","plainTextFormattedCitation":"8"},"properties":{"noteIndex":0},"schema":"https://github.com/citation-style-language/schema/raw/master/csl-citation.json"}</w:instrText>
      </w:r>
      <w:r w:rsidR="00C937AB">
        <w:rPr>
          <w:rFonts w:ascii="Arial" w:hAnsi="Arial" w:cs="Arial"/>
          <w:color w:val="000000" w:themeColor="text1"/>
          <w:sz w:val="20"/>
          <w:szCs w:val="20"/>
        </w:rPr>
        <w:fldChar w:fldCharType="separate"/>
      </w:r>
      <w:r w:rsidR="00C937AB" w:rsidRPr="00C937AB">
        <w:rPr>
          <w:rFonts w:ascii="Arial" w:hAnsi="Arial" w:cs="Arial"/>
          <w:noProof/>
          <w:color w:val="000000" w:themeColor="text1"/>
          <w:sz w:val="20"/>
          <w:szCs w:val="20"/>
          <w:vertAlign w:val="superscript"/>
        </w:rPr>
        <w:t>8</w:t>
      </w:r>
      <w:r w:rsidR="00C937AB">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were </w:t>
      </w:r>
      <w:r w:rsidRPr="003A2793">
        <w:rPr>
          <w:rFonts w:ascii="Arial" w:hAnsi="Arial" w:cs="Arial"/>
          <w:color w:val="000000" w:themeColor="text1"/>
          <w:sz w:val="20"/>
          <w:szCs w:val="20"/>
        </w:rPr>
        <w:lastRenderedPageBreak/>
        <w:t xml:space="preserve">generated by transfecting HEK-293T cells with the recombinant pVD2i-C18S plasmid using Lipofectamine2000 (Invitrogen, OR, USA) according to the manufacturer’s instructions. The culture supernatants were harvested and purified by sucrose gradient centrifugation in TNE buffer (50 </w:t>
      </w:r>
      <w:proofErr w:type="spellStart"/>
      <w:r w:rsidRPr="003A2793">
        <w:rPr>
          <w:rFonts w:ascii="Arial" w:hAnsi="Arial" w:cs="Arial"/>
          <w:color w:val="000000" w:themeColor="text1"/>
          <w:sz w:val="20"/>
          <w:szCs w:val="20"/>
        </w:rPr>
        <w:t>mM</w:t>
      </w:r>
      <w:proofErr w:type="spellEnd"/>
      <w:r w:rsidRPr="003A2793">
        <w:rPr>
          <w:rFonts w:ascii="Arial" w:hAnsi="Arial" w:cs="Arial"/>
          <w:color w:val="000000" w:themeColor="text1"/>
          <w:sz w:val="20"/>
          <w:szCs w:val="20"/>
        </w:rPr>
        <w:t xml:space="preserve"> Tris-</w:t>
      </w:r>
      <w:proofErr w:type="spellStart"/>
      <w:r w:rsidRPr="003A2793">
        <w:rPr>
          <w:rFonts w:ascii="Arial" w:hAnsi="Arial" w:cs="Arial"/>
          <w:color w:val="000000" w:themeColor="text1"/>
          <w:sz w:val="20"/>
          <w:szCs w:val="20"/>
        </w:rPr>
        <w:t>HCl</w:t>
      </w:r>
      <w:proofErr w:type="spellEnd"/>
      <w:r w:rsidRPr="003A2793">
        <w:rPr>
          <w:rFonts w:ascii="Arial" w:hAnsi="Arial" w:cs="Arial"/>
          <w:color w:val="000000" w:themeColor="text1"/>
          <w:sz w:val="20"/>
          <w:szCs w:val="20"/>
        </w:rPr>
        <w:t xml:space="preserve">, 100mM </w:t>
      </w:r>
      <w:proofErr w:type="spellStart"/>
      <w:r w:rsidRPr="003A2793">
        <w:rPr>
          <w:rFonts w:ascii="Arial" w:hAnsi="Arial" w:cs="Arial"/>
          <w:color w:val="000000" w:themeColor="text1"/>
          <w:sz w:val="20"/>
          <w:szCs w:val="20"/>
        </w:rPr>
        <w:t>NaCl</w:t>
      </w:r>
      <w:proofErr w:type="spellEnd"/>
      <w:r w:rsidRPr="003A2793">
        <w:rPr>
          <w:rFonts w:ascii="Arial" w:hAnsi="Arial" w:cs="Arial"/>
          <w:color w:val="000000" w:themeColor="text1"/>
          <w:sz w:val="20"/>
          <w:szCs w:val="20"/>
        </w:rPr>
        <w:t xml:space="preserve">, 0.1 </w:t>
      </w:r>
      <w:proofErr w:type="spellStart"/>
      <w:r w:rsidRPr="003A2793">
        <w:rPr>
          <w:rFonts w:ascii="Arial" w:hAnsi="Arial" w:cs="Arial"/>
          <w:color w:val="000000" w:themeColor="text1"/>
          <w:sz w:val="20"/>
          <w:szCs w:val="20"/>
        </w:rPr>
        <w:t>mM</w:t>
      </w:r>
      <w:proofErr w:type="spellEnd"/>
      <w:r w:rsidRPr="003A2793">
        <w:rPr>
          <w:rFonts w:ascii="Arial" w:hAnsi="Arial" w:cs="Arial"/>
          <w:color w:val="000000" w:themeColor="text1"/>
          <w:sz w:val="20"/>
          <w:szCs w:val="20"/>
        </w:rPr>
        <w:t xml:space="preserve"> EDTA) using a Beckman SW-40 rotor. The fraction with the highest OD reading in ELISA was collected, and the VLPs were resuspended in TNE buffer. These samples were then concentrated using </w:t>
      </w:r>
      <w:proofErr w:type="spellStart"/>
      <w:r w:rsidRPr="003A2793">
        <w:rPr>
          <w:rFonts w:ascii="Arial" w:hAnsi="Arial" w:cs="Arial"/>
          <w:color w:val="000000" w:themeColor="text1"/>
          <w:sz w:val="20"/>
          <w:szCs w:val="20"/>
        </w:rPr>
        <w:t>Amicon</w:t>
      </w:r>
      <w:proofErr w:type="spellEnd"/>
      <w:r w:rsidRPr="003A2793">
        <w:rPr>
          <w:rFonts w:ascii="Arial" w:hAnsi="Arial" w:cs="Arial"/>
          <w:color w:val="000000" w:themeColor="text1"/>
          <w:sz w:val="20"/>
          <w:szCs w:val="20"/>
        </w:rPr>
        <w:t xml:space="preserve">® Ultra-0.5 centrifugal filter units with 100 </w:t>
      </w:r>
      <w:proofErr w:type="spellStart"/>
      <w:r w:rsidRPr="003A2793">
        <w:rPr>
          <w:rFonts w:ascii="Arial" w:hAnsi="Arial" w:cs="Arial"/>
          <w:color w:val="000000" w:themeColor="text1"/>
          <w:sz w:val="20"/>
          <w:szCs w:val="20"/>
        </w:rPr>
        <w:t>kDa</w:t>
      </w:r>
      <w:proofErr w:type="spellEnd"/>
      <w:r w:rsidRPr="003A2793">
        <w:rPr>
          <w:rFonts w:ascii="Arial" w:hAnsi="Arial" w:cs="Arial"/>
          <w:color w:val="000000" w:themeColor="text1"/>
          <w:sz w:val="20"/>
          <w:szCs w:val="20"/>
        </w:rPr>
        <w:t xml:space="preserve"> cut-off before being applied to a glow-discharged </w:t>
      </w:r>
      <w:proofErr w:type="spellStart"/>
      <w:r w:rsidRPr="003A2793">
        <w:rPr>
          <w:rFonts w:ascii="Arial" w:hAnsi="Arial" w:cs="Arial"/>
          <w:color w:val="000000" w:themeColor="text1"/>
          <w:sz w:val="20"/>
          <w:szCs w:val="20"/>
        </w:rPr>
        <w:t>Quatifoil</w:t>
      </w:r>
      <w:proofErr w:type="spellEnd"/>
      <w:r w:rsidRPr="003A2793">
        <w:rPr>
          <w:rFonts w:ascii="Arial" w:hAnsi="Arial" w:cs="Arial"/>
          <w:color w:val="000000" w:themeColor="text1"/>
          <w:sz w:val="20"/>
          <w:szCs w:val="20"/>
        </w:rPr>
        <w:t xml:space="preserve"> 2/2 grid (</w:t>
      </w:r>
      <w:proofErr w:type="spellStart"/>
      <w:r w:rsidRPr="003A2793">
        <w:rPr>
          <w:rFonts w:ascii="Arial" w:hAnsi="Arial" w:cs="Arial"/>
          <w:color w:val="000000" w:themeColor="text1"/>
          <w:sz w:val="20"/>
          <w:szCs w:val="20"/>
        </w:rPr>
        <w:t>Quatifoil</w:t>
      </w:r>
      <w:proofErr w:type="spellEnd"/>
      <w:r w:rsidRPr="003A2793">
        <w:rPr>
          <w:rFonts w:ascii="Arial" w:hAnsi="Arial" w:cs="Arial"/>
          <w:color w:val="000000" w:themeColor="text1"/>
          <w:sz w:val="20"/>
          <w:szCs w:val="20"/>
        </w:rPr>
        <w:t xml:space="preserve"> GmbH, Germany) for cryo-EM grid preparation. After removing the excel liquid, the grid was rapidly frozen in liquid nitrogen-cooled liquid ethane using a </w:t>
      </w:r>
      <w:proofErr w:type="spellStart"/>
      <w:r w:rsidRPr="003A2793">
        <w:rPr>
          <w:rFonts w:ascii="Arial" w:hAnsi="Arial" w:cs="Arial"/>
          <w:color w:val="000000" w:themeColor="text1"/>
          <w:sz w:val="20"/>
          <w:szCs w:val="20"/>
        </w:rPr>
        <w:t>Gatan</w:t>
      </w:r>
      <w:proofErr w:type="spellEnd"/>
      <w:r w:rsidRPr="003A2793">
        <w:rPr>
          <w:rFonts w:ascii="Arial" w:hAnsi="Arial" w:cs="Arial"/>
          <w:color w:val="000000" w:themeColor="text1"/>
          <w:sz w:val="20"/>
          <w:szCs w:val="20"/>
        </w:rPr>
        <w:t xml:space="preserve"> CP3. Cryo-EM images were captured at 15,000x magnification with an accelerating voltage of 200kV using a JEM2100F transmission electron microscope and a direct electron detector (DE-12 Camera System-Direct Electron, LP) with a pixel size of 6mm (~4Å at the specimen level). The image processing and 3D reconstruction were performed by a single-particle approach </w:t>
      </w:r>
      <w:r w:rsidRPr="003A2793">
        <w:rPr>
          <w:rFonts w:ascii="Arial" w:hAnsi="Arial" w:cs="Arial"/>
          <w:color w:val="000000" w:themeColor="text1"/>
          <w:sz w:val="20"/>
          <w:szCs w:val="20"/>
          <w:lang w:eastAsia="zh-CN"/>
        </w:rPr>
        <w:t>using the EMAN2</w:t>
      </w:r>
      <w:r w:rsidRPr="003A2793">
        <w:rPr>
          <w:rFonts w:ascii="Arial" w:hAnsi="Arial" w:cs="Arial"/>
          <w:color w:val="000000" w:themeColor="text1"/>
          <w:sz w:val="20"/>
          <w:szCs w:val="20"/>
          <w:lang w:eastAsia="zh-CN"/>
        </w:rPr>
        <w:fldChar w:fldCharType="begin" w:fldLock="1"/>
      </w:r>
      <w:r w:rsidR="00C937AB">
        <w:rPr>
          <w:rFonts w:ascii="Arial" w:hAnsi="Arial" w:cs="Arial"/>
          <w:color w:val="000000" w:themeColor="text1"/>
          <w:sz w:val="20"/>
          <w:szCs w:val="20"/>
          <w:lang w:eastAsia="zh-CN"/>
        </w:rPr>
        <w:instrText>ADDIN CSL_CITATION {"citationItems":[{"id":"ITEM-1","itemData":{"DOI":"10.1006/jsbi.1999.4174","ISSN":"10478477","PMID":"10600563","abstract":"We present EMAN (Electron Micrograph ANalysis), a software package for performing semiautomated single-particle reconstructions from transmission electron micrographs. The goal of this project is to provide software capable of performing single-particle reconstructions beyond 10 Å as such high- resolution data become available. A complete single-particle reconstruction algorithm is implemented. Options are available to generate an initial model for particles with no symmetry, a single axis of rotational symmetry, or icosahedral symmetry. Model refinement is an iterative process, which utilizes classification by model-based projection matching. CTF (contrast transfer function) parameters are determined using a new paradigm in which data from multiple micrographs are fit simultaneously. Amplitude and phase CTF correction is then performed automatically as part of the refinement loop. A graphical user interface is provided, so even those with little image processing experience will be able to begin performing reconstructions. Advanced users can directly use the lower level shell commands and even expand the package utilizing EMAN's extensive image-processing library. The package was written from scratch in C++ and is provided free of charge on our Web site. We present an overview of the package as well as several conformance tests with simulated data.","author":[{"dropping-particle":"","family":"Ludtke","given":"Steven J.","non-dropping-particle":"","parse-names":false,"suffix":""},{"dropping-particle":"","family":"Baldwin","given":"Philip R.","non-dropping-particle":"","parse-names":false,"suffix":""},{"dropping-particle":"","family":"Chiu","given":"Wah","non-dropping-particle":"","parse-names":false,"suffix":""}],"container-title":"Journal of Structural Biology","id":"ITEM-1","issue":"1","issued":{"date-parts":[["1999"]]},"page":"82-97","title":"EMAN: Semiautomated software for high-resolution single-particle reconstructions","type":"article-journal","volume":"128"},"uris":["http://www.mendeley.com/documents/?uuid=030b5756-7bc8-495d-9887-287b6c55bc29","http://www.mendeley.com/documents/?uuid=e723eee5-5d5e-470a-b7b1-576b5c61c0c5"]},{"id":"ITEM-2","itemData":{"DOI":"10.1016/j.jsb.2006.05.009","ISSN":"10478477","PMID":"16859925","abstract":"EMAN is a scientific image processing package with a particular focus on single particle reconstruction from transmission electron microscopy (TEM) images. It was first released in 1999, and new versions have been released typically 2-3 times each year since that time. EMAN2 has been under development for the last two years, with a completely refactored image processing library, and a wide range of features to make it much more flexible and extensible than EMAN1. The user-level programs are better documented, more straightforward to use, and written in the Python scripting language, so advanced users can modify the programs' behavior without any recompilation. A completely rewritten 3D transformation class simplifies translation between Euler angle standards and symmetry conventions. The core C++ library has over 500 functions for image processing and associated tasks, and it is modular with introspection capabilities, so programmers can add new algorithms with minimal effort and programs can incorporate new capabilities automatically. Finally, a flexible new parallelism system has been designed to address the shortcomings in the rigid system in EMAN1. © 2006 Elsevier Inc. All rights reserved.","author":[{"dropping-particle":"","family":"Tang","given":"Guang","non-dropping-particle":"","parse-names":false,"suffix":""},{"dropping-particle":"","family":"Peng","given":"Liwei","non-dropping-particle":"","parse-names":false,"suffix":""},{"dropping-particle":"","family":"Baldwin","given":"Philip R.","non-dropping-particle":"","parse-names":false,"suffix":""},{"dropping-particle":"","family":"Mann","given":"Deepinder S.","non-dropping-particle":"","parse-names":false,"suffix":""},{"dropping-particle":"","family":"Jiang","given":"Wen","non-dropping-particle":"","parse-names":false,"suffix":""},{"dropping-particle":"","family":"Rees","given":"Ian","non-dropping-particle":"","parse-names":false,"suffix":""},{"dropping-particle":"","family":"Ludtke","given":"Steven J.","non-dropping-particle":"","parse-names":false,"suffix":""}],"container-title":"Journal of Structural Biology","id":"ITEM-2","issue":"1","issued":{"date-parts":[["2007"]]},"page":"38-46","title":"EMAN2: An extensible image processing suite for electron microscopy","type":"article-journal","volume":"157"},"uris":["http://www.mendeley.com/documents/?uuid=93af931c-0bd9-4796-8a8b-045fb8da364b","http://www.mendeley.com/documents/?uuid=b1c54b41-6113-4b03-bf26-cc47e8b17b6f"]}],"mendeley":{"formattedCitation":"&lt;sup&gt;18,19&lt;/sup&gt;","plainTextFormattedCitation":"18,19","previouslyFormattedCitation":"&lt;sup&gt;18,19&lt;/sup&gt;"},"properties":{"noteIndex":0},"schema":"https://github.com/citation-style-language/schema/raw/master/csl-citation.json"}</w:instrText>
      </w:r>
      <w:r w:rsidRPr="003A2793">
        <w:rPr>
          <w:rFonts w:ascii="Arial" w:hAnsi="Arial" w:cs="Arial"/>
          <w:color w:val="000000" w:themeColor="text1"/>
          <w:sz w:val="20"/>
          <w:szCs w:val="20"/>
          <w:lang w:eastAsia="zh-CN"/>
        </w:rPr>
        <w:fldChar w:fldCharType="separate"/>
      </w:r>
      <w:r w:rsidR="00420BD1" w:rsidRPr="00420BD1">
        <w:rPr>
          <w:rFonts w:ascii="Arial" w:hAnsi="Arial" w:cs="Arial"/>
          <w:noProof/>
          <w:color w:val="000000" w:themeColor="text1"/>
          <w:sz w:val="20"/>
          <w:szCs w:val="20"/>
          <w:vertAlign w:val="superscript"/>
          <w:lang w:eastAsia="zh-CN"/>
        </w:rPr>
        <w:t>18,19</w:t>
      </w:r>
      <w:r w:rsidRPr="003A2793">
        <w:rPr>
          <w:rFonts w:ascii="Arial" w:hAnsi="Arial" w:cs="Arial"/>
          <w:color w:val="000000" w:themeColor="text1"/>
          <w:sz w:val="20"/>
          <w:szCs w:val="20"/>
          <w:lang w:eastAsia="zh-CN"/>
        </w:rPr>
        <w:fldChar w:fldCharType="end"/>
      </w:r>
      <w:r w:rsidRPr="003A2793">
        <w:rPr>
          <w:rFonts w:ascii="Arial" w:hAnsi="Arial" w:cs="Arial"/>
          <w:color w:val="000000" w:themeColor="text1"/>
          <w:sz w:val="20"/>
          <w:szCs w:val="20"/>
          <w:lang w:eastAsia="zh-CN"/>
        </w:rPr>
        <w:t xml:space="preserve"> software package. Accordingly, 2,035 particle images in different projections were selected, corrected for the contrast transfer function, and used to create a starting model </w:t>
      </w:r>
      <w:r w:rsidRPr="003A2793">
        <w:rPr>
          <w:rFonts w:ascii="Arial" w:hAnsi="Arial" w:cs="Arial"/>
          <w:i/>
          <w:color w:val="000000" w:themeColor="text1"/>
          <w:sz w:val="20"/>
          <w:szCs w:val="20"/>
          <w:lang w:eastAsia="zh-CN"/>
        </w:rPr>
        <w:t>de novo,</w:t>
      </w:r>
      <w:r w:rsidRPr="003A2793">
        <w:rPr>
          <w:rFonts w:ascii="Arial" w:hAnsi="Arial" w:cs="Arial"/>
          <w:color w:val="000000" w:themeColor="text1"/>
          <w:sz w:val="20"/>
          <w:szCs w:val="20"/>
          <w:lang w:eastAsia="zh-CN"/>
        </w:rPr>
        <w:t xml:space="preserve"> which was further refined by the iterative process of alignment, classification, averaging, and creation of a new 3D model until no further improvement was achieved. The resolution of the reconstruction was estimated from a Fourier shell correlation curve using gold standard method.</w:t>
      </w:r>
      <w:r w:rsidRPr="003A2793">
        <w:rPr>
          <w:rFonts w:ascii="Arial" w:hAnsi="Arial" w:cs="Arial"/>
          <w:color w:val="000000" w:themeColor="text1"/>
          <w:sz w:val="20"/>
          <w:szCs w:val="20"/>
        </w:rPr>
        <w:t xml:space="preserve"> </w:t>
      </w:r>
    </w:p>
    <w:p w14:paraId="24EBBD24" w14:textId="77777777" w:rsidR="00CC299A" w:rsidRPr="003A2793" w:rsidRDefault="00CC299A" w:rsidP="00CC299A">
      <w:pPr>
        <w:spacing w:line="480" w:lineRule="auto"/>
        <w:jc w:val="both"/>
        <w:rPr>
          <w:rFonts w:ascii="Arial" w:hAnsi="Arial" w:cs="Arial"/>
          <w:color w:val="000000" w:themeColor="text1"/>
          <w:sz w:val="20"/>
          <w:szCs w:val="20"/>
        </w:rPr>
      </w:pPr>
    </w:p>
    <w:p w14:paraId="02C3DD5B" w14:textId="77777777" w:rsidR="00CC299A" w:rsidRPr="003A2793" w:rsidRDefault="00CC299A" w:rsidP="00CC299A">
      <w:pPr>
        <w:autoSpaceDE w:val="0"/>
        <w:autoSpaceDN w:val="0"/>
        <w:adjustRightInd w:val="0"/>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lastRenderedPageBreak/>
        <w:t>Annotation of Antibody CDRs and Antibody modeling using AlphaFold2 and MODELLER</w:t>
      </w:r>
    </w:p>
    <w:p w14:paraId="2F0FA647" w14:textId="32CBD6E8" w:rsidR="00CC299A" w:rsidRPr="003A2793" w:rsidRDefault="00CC299A" w:rsidP="00CC299A">
      <w:pPr>
        <w:autoSpaceDE w:val="0"/>
        <w:autoSpaceDN w:val="0"/>
        <w:adjustRightInd w:val="0"/>
        <w:spacing w:line="480" w:lineRule="auto"/>
        <w:jc w:val="both"/>
        <w:rPr>
          <w:rFonts w:ascii="Arial" w:hAnsi="Arial" w:cs="Arial"/>
          <w:color w:val="000000" w:themeColor="text1"/>
          <w:sz w:val="20"/>
          <w:szCs w:val="20"/>
        </w:rPr>
      </w:pPr>
      <w:r w:rsidRPr="003A2793">
        <w:rPr>
          <w:rFonts w:ascii="Arial" w:hAnsi="Arial" w:cs="Arial"/>
          <w:b/>
          <w:color w:val="000000" w:themeColor="text1"/>
          <w:sz w:val="20"/>
          <w:szCs w:val="20"/>
        </w:rPr>
        <w:tab/>
      </w:r>
      <w:r w:rsidRPr="003A2793">
        <w:rPr>
          <w:rFonts w:ascii="Arial" w:hAnsi="Arial" w:cs="Arial"/>
          <w:color w:val="000000" w:themeColor="text1"/>
          <w:sz w:val="20"/>
          <w:szCs w:val="20"/>
        </w:rPr>
        <w:t xml:space="preserve">The three-dimensional structure of K8b-IgG1 was determined using </w:t>
      </w:r>
      <w:proofErr w:type="spellStart"/>
      <w:r w:rsidRPr="003A2793">
        <w:rPr>
          <w:rFonts w:ascii="Arial" w:hAnsi="Arial" w:cs="Arial"/>
          <w:color w:val="000000" w:themeColor="text1"/>
          <w:sz w:val="20"/>
          <w:szCs w:val="20"/>
        </w:rPr>
        <w:t>AlphaFold</w:t>
      </w:r>
      <w:proofErr w:type="spellEnd"/>
      <w:r w:rsidRPr="003A2793">
        <w:rPr>
          <w:rFonts w:ascii="Arial" w:hAnsi="Arial" w:cs="Arial"/>
          <w:color w:val="000000" w:themeColor="text1"/>
          <w:sz w:val="20"/>
          <w:szCs w:val="20"/>
        </w:rPr>
        <w:t xml:space="preserve"> tool in UCSF </w:t>
      </w:r>
      <w:proofErr w:type="spellStart"/>
      <w:r w:rsidRPr="003A2793">
        <w:rPr>
          <w:rFonts w:ascii="Arial" w:hAnsi="Arial" w:cs="Arial"/>
          <w:color w:val="000000" w:themeColor="text1"/>
          <w:sz w:val="20"/>
          <w:szCs w:val="20"/>
        </w:rPr>
        <w:t>ChimeraX</w:t>
      </w:r>
      <w:proofErr w:type="spellEnd"/>
      <w:r w:rsidRPr="003A2793">
        <w:rPr>
          <w:rFonts w:ascii="Arial" w:hAnsi="Arial" w:cs="Arial"/>
          <w:color w:val="000000" w:themeColor="text1"/>
          <w:sz w:val="20"/>
          <w:szCs w:val="20"/>
        </w:rPr>
        <w:t xml:space="preserve"> (version 1.3)</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{"citationItems":[{"id":"ITEM-1","itemData":{"DOI":"10.1038/s41586-021-03819-2","ISSN":"14764687","PMID":"34265844","abstract":"Proteins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author":[{"dropping-particle":"","family":"Jumper","given":"John","non-dropping-particle":"","parse-names":false,"suffix":""},{"dropping-particle":"","family":"Evans","given":"Richard","non-dropping-particle":"","parse-names":false,"suffix":""},{"dropping-particle":"","family":"Pritzel","given":"Alexander","non-dropping-particle":"","parse-names":false,"suffix":""},{"dropping-particle":"","family":"Green","given":"Tim","non-dropping-particle":"","parse-names":false,"suffix":""},{"dropping-particle":"","family":"Figurnov","given":"Michael","non-dropping-particle":"","parse-names":false,"suffix":""},{"dropping-particle":"","family":"Ronneberger","given":"Olaf","non-dropping-particle":"","parse-names":false,"suffix":""},{"dropping-particle":"","family":"Tunyasuvunakool","given":"Kathryn","non-dropping-particle":"","parse-names":false,"suffix":""},{"dropping-particle":"","family":"Bates","given":"Russ","non-dropping-particle":"","parse-names":false,"suffix":""},{"dropping-particle":"","family":"Žídek","given":"Augustin","non-dropping-particle":"","parse-names":false,"suffix":""},{"dropping-particle":"","family":"Potapenko","given":"Anna","non-dropping-particle":"","parse-names":false,"suffix":""},{"dropping-particle":"","family":"Bridgland","given":"Alex","non-dropping-particle":"","parse-names":false,"suffix":""},{"dropping-particle":"","family":"Meyer","given":"Clemens","non-dropping-particle":"","parse-names":false,"suffix":""},{"dropping-particle":"","family":"Kohl","given":"Simon A.A.","non-dropping-particle":"","parse-names":false,"suffix":""},{"dropping-particle":"","family":"Ballard","given":"Andrew J.","non-dropping-particle":"","parse-names":false,"suffix":""},{"dropping-particle":"","family":"Cowie","given":"Andrew","non-dropping-particle":"","parse-names":false,"suffix":""},{"dropping-particle":"","family":"Romera-Paredes","given":"Bernardino","non-dropping-particle":"","parse-names":false,"suffix":""},{"dropping-particle":"","family":"Nikolov","given":"Stanislav","non-dropping-particle":"","parse-names":false,"suffix":""},{"dropping-particle":"","family":"Jain","given":"Rishub","non-dropping-particle":"","parse-names":false,"suffix":""},{"dropping-particle":"","family":"Adler","given":"Jonas","non-dropping-particle":"","parse-names":false,"suffix":""},{"dropping-particle":"","family":"Back","given":"Trevor","non-dropping-particle":"","parse-names":false,"suffix":""},{"dropping-particle":"","family":"Petersen","given":"Stig","non-dropping-particle":"","parse-names":false,"suffix":""},{"dropping-particle":"","family":"Reiman","given":"David","non-dropping-particle":"","parse-names":false,"suffix":""},{"dropping-particle":"","family":"Clancy","given":"Ellen","non-dropping-particle":"","parse-names":false,"suffix":""},{"dropping-particle":"","family":"Zielinski","given":"Michal","non-dropping-particle":"","parse-names":false,"suffix":""},{"dropping-particle":"","family":"Steinegger","given":"Martin","non-dropping-particle":"","parse-names":false,"suffix":""},{"dropping-particle":"","family":"Pacholska","given":"Michalina","non-dropping-particle":"","parse-names":false,"suffix":""},{"dropping-particle":"","family":"Berghammer","given":"Tamas","non-dropping-particle":"","parse-names":false,"suffix":""},{"dropping-particle":"","family":"Bodenstein","given":"Sebastian","non-dropping-particle":"","parse-names":false,"suffix":""},{"dropping-particle":"","family":"Silver","given":"David","non-dropping-particle":"","parse-names":false,"suffix":""},{"dropping-particle":"","family":"Vinyals","given":"Oriol","non-dropping-particle":"","parse-names":false,"suffix":""},{"dropping-particle":"","family":"Senior","given":"Andrew W.","non-dropping-particle":"","parse-names":false,"suffix":""},{"dropping-particle":"","family":"Kavukcuoglu","given":"Koray","non-dropping-particle":"","parse-names":false,"suffix":""},{"dropping-particle":"","family":"Kohli","given":"Pushmeet","non-dropping-particle":"","parse-names":false,"suffix":""},{"dropping-particle":"","family":"Hassabis","given":"Demis","non-dropping-particle":"","parse-names":false,"suffix":""}],"container-title":"Nature","id":"ITEM-1","issue":"7873","issued":{"date-parts":[["2021"]]},"page":"583-589","publisher":"Springer US","title":"Highly accurate protein structure prediction with AlphaFold","type":"article-journal","volume":"596"},"uris":["http://www.mendeley.com/documents/?uuid=3bd0c02d-87e3-4ed5-93fb-62c3b04208e4"]},{"id":"ITEM-2","itemData":{"DOI":"10.1002/pro.3943","ISSN":"1469896X","PMID":"32881101","abstract":"UCSF ChimeraX is the next-generation interactive visualization program from the Resource for Biocomputing, Visualization, and Informatics (RBVI), following UCSF Chimera. ChimeraX brings (a) significant performance and graphics enhancements; (b) new implementations of Chimera's most highly used tools, many with further improvements; (c) several entirely new analysis features; (d) support for new areas such as virtual reality, light-sheet microscopy, and medical imaging data; (e) major ease-of-use advances, including toolbars with icons to perform actions with a single click, basic “undo” capabilities, and more logical and consistent commands; and (f) an app store for researchers to contribute new tools. ChimeraX includes full user documentation and is free for noncommercial use, with downloads available for Windows, Linux, and macOS from https://www.rbvi.ucsf.edu/chimerax.","author":[{"dropping-particle":"","family":"Pettersen","given":"Eric F.","non-dropping-particle":"","parse-names":false,"suffix":""},{"dropping-particle":"","family":"Goddard","given":"Thomas D.","non-dropping-particle":"","parse-names":false,"suffix":""},{"dropping-particle":"","family":"Huang","given":"Conrad C.","non-dropping-particle":"","parse-names":false,"suffix":""},{"dropping-particle":"","family":"Meng","given":"Elaine C.","non-dropping-particle":"","parse-names":false,"suffix":""},{"dropping-particle":"","family":"Couch","given":"Gregory S.","non-dropping-particle":"","parse-names":false,"suffix":""},{"dropping-particle":"","family":"Croll","given":"Tristan I.","non-dropping-particle":"","parse-names":false,"suffix":""},{"dropping-particle":"","family":"Morris","given":"John H.","non-dropping-particle":"","parse-names":false,"suffix":""},{"dropping-particle":"","family":"Ferrin","given":"Thomas E.","non-dropping-particle":"","parse-names":false,"suffix":""}],"container-title":"Protein Science","id":"ITEM-2","issue":"1","issued":{"date-parts":[["2021"]]},"page":"70-82","title":"UCSF ChimeraX: Structure visualization for researchers, educators, and developers","type":"article-journal","volume":"30"},"uris":["http://www.mendeley.com/documents/?uuid=258dfa67-34b0-4e65-aa61-959b6609b092"]}],"mendeley":{"formattedCitation":"&lt;sup&gt;20,21&lt;/sup&gt;","plainTextFormattedCitation":"20,21","previouslyFormattedCitation":"&lt;sup&gt;20,21&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20,21</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antibody was modeled independently from the antigens using the full AlphaFold2 pipeline with default parameters</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{"citationItems":[{"id":"ITEM-1","itemData":{"DOI":"10.1038/s41586-021-03819-2","ISSN":"14764687","PMID":"34265844","abstract":"Proteins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author":[{"dropping-particle":"","family":"Jumper","given":"John","non-dropping-particle":"","parse-names":false,"suffix":""},{"dropping-particle":"","family":"Evans","given":"Richard","non-dropping-particle":"","parse-names":false,"suffix":""},{"dropping-particle":"","family":"Pritzel","given":"Alexander","non-dropping-particle":"","parse-names":false,"suffix":""},{"dropping-particle":"","family":"Green","given":"Tim","non-dropping-particle":"","parse-names":false,"suffix":""},{"dropping-particle":"","family":"Figurnov","given":"Michael","non-dropping-particle":"","parse-names":false,"suffix":""},{"dropping-particle":"","family":"Ronneberger","given":"Olaf","non-dropping-particle":"","parse-names":false,"suffix":""},{"dropping-particle":"","family":"Tunyasuvunakool","given":"Kathryn","non-dropping-particle":"","parse-names":false,"suffix":""},{"dropping-particle":"","family":"Bates","given":"Russ","non-dropping-particle":"","parse-names":false,"suffix":""},{"dropping-particle":"","family":"Žídek","given":"Augustin","non-dropping-particle":"","parse-names":false,"suffix":""},{"dropping-particle":"","family":"Potapenko","given":"Anna","non-dropping-particle":"","parse-names":false,"suffix":""},{"dropping-particle":"","family":"Bridgland","given":"Alex","non-dropping-particle":"","parse-names":false,"suffix":""},{"dropping-particle":"","family":"Meyer","given":"Clemens","non-dropping-particle":"","parse-names":false,"suffix":""},{"dropping-particle":"","family":"Kohl","given":"Simon A.A.","non-dropping-particle":"","parse-names":false,"suffix":""},{"dropping-particle":"","family":"Ballard","given":"Andrew J.","non-dropping-particle":"","parse-names":false,"suffix":""},{"dropping-particle":"","family":"Cowie","given":"Andrew","non-dropping-particle":"","parse-names":false,"suffix":""},{"dropping-particle":"","family":"Romera-Paredes","given":"Bernardino","non-dropping-particle":"","parse-names":false,"suffix":""},{"dropping-particle":"","family":"Nikolov","given":"Stanislav","non-dropping-particle":"","parse-names":false,"suffix":""},{"dropping-particle":"","family":"Jain","given":"Rishub","non-dropping-particle":"","parse-names":false,"suffix":""},{"dropping-particle":"","family":"Adler","given":"Jonas","non-dropping-particle":"","parse-names":false,"suffix":""},{"dropping-particle":"","family":"Back","given":"Trevor","non-dropping-particle":"","parse-names":false,"suffix":""},{"dropping-particle":"","family":"Petersen","given":"Stig","non-dropping-particle":"","parse-names":false,"suffix":""},{"dropping-particle":"","family":"Reiman","given":"David","non-dropping-particle":"","parse-names":false,"suffix":""},{"dropping-particle":"","family":"Clancy","given":"Ellen","non-dropping-particle":"","parse-names":false,"suffix":""},{"dropping-particle":"","family":"Zielinski","given":"Michal","non-dropping-particle":"","parse-names":false,"suffix":""},{"dropping-particle":"","family":"Steinegger","given":"Martin","non-dropping-particle":"","parse-names":false,"suffix":""},{"dropping-particle":"","family":"Pacholska","given":"Michalina","non-dropping-particle":"","parse-names":false,"suffix":""},{"dropping-particle":"","family":"Berghammer","given":"Tamas","non-dropping-particle":"","parse-names":false,"suffix":""},{"dropping-particle":"","family":"Bodenstein","given":"Sebastian","non-dropping-particle":"","parse-names":false,"suffix":""},{"dropping-particle":"","family":"Silver","given":"David","non-dropping-particle":"","parse-names":false,"suffix":""},{"dropping-particle":"","family":"Vinyals","given":"Oriol","non-dropping-particle":"","parse-names":false,"suffix":""},{"dropping-particle":"","family":"Senior","given":"Andrew W.","non-dropping-particle":"","parse-names":false,"suffix":""},{"dropping-particle":"","family":"Kavukcuoglu","given":"Koray","non-dropping-particle":"","parse-names":false,"suffix":""},{"dropping-particle":"","family":"Kohli","given":"Pushmeet","non-dropping-particle":"","parse-names":false,"suffix":""},{"dropping-particle":"","family":"Hassabis","given":"Demis","non-dropping-particle":"","parse-names":false,"suffix":""}],"container-title":"Nature","id":"ITEM-1","issue":"7873","issued":{"date-parts":[["2021"]]},"page":"583-589","publisher":"Springer US","title":"Highly accurate protein structure prediction with AlphaFold","type":"article-journal","volume":"596"},"uris":["http://www.mendeley.com/documents/?uuid=3bd0c02d-87e3-4ed5-93fb-62c3b04208e4"]}],"mendeley":{"formattedCitation":"&lt;sup&gt;20&lt;/sup&gt;","plainTextFormattedCitation":"20","previouslyFormattedCitation":"&lt;sup&gt;20&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20</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The variable heavy and light chain sequences of K8b have been concatenated. Antibody complementarity-determining regions (CDRs) were annotated with the </w:t>
      </w:r>
      <w:proofErr w:type="spellStart"/>
      <w:r w:rsidRPr="003A2793">
        <w:rPr>
          <w:rFonts w:ascii="Arial" w:hAnsi="Arial" w:cs="Arial"/>
          <w:color w:val="000000" w:themeColor="text1"/>
          <w:sz w:val="20"/>
          <w:szCs w:val="20"/>
        </w:rPr>
        <w:t>AHo</w:t>
      </w:r>
      <w:proofErr w:type="spellEnd"/>
      <w:r w:rsidRPr="003A2793">
        <w:rPr>
          <w:rFonts w:ascii="Arial" w:hAnsi="Arial" w:cs="Arial"/>
          <w:color w:val="000000" w:themeColor="text1"/>
          <w:sz w:val="20"/>
          <w:szCs w:val="20"/>
        </w:rPr>
        <w:t xml:space="preserve"> numbering</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{"citationItems":[{"id":"ITEM-1","itemData":{"DOI":"10.1006/jmbi.2001.4662","ISSN":"00222836","PMID":"11397087","abstract":"A common residue numbering scheme for all immunoglobulin variable domains (immunoglobulin light chain lambda (Vλ) and kappa (Vκ) variable domains, heavy chain variable domains (VH) and T-cell receptor alpha (Vα), beta (Vβ), gamma (Vγ) and delta (Vδ) variable domains) has been devised. Based on the spatial alignment of known three dimensional structures of immunoglobulin domains, it places the alignment gaps in a way that minimizes the average deviation from the averaged structure of the aligned domains. This residue numbering scheme was applied to the immunoglobulin variable domain structures in the PDB database to automate the extraction of information on structural variations in homologous positions of the different molecules. A number of methods are presented that allow the automated projection of information derived from individual structures or from the comparison of multi-structure alignments onto a graphical representation of the sequence alignment. © 2001 Academic Press.","author":[{"dropping-particle":"","family":"Honegger","given":"Annemarie","non-dropping-particle":"","parse-names":false,"suffix":""},{"dropping-particle":"","family":"Plückthun","given":"Andreas","non-dropping-particle":"","parse-names":false,"suffix":""}],"container-title":"Journal of Molecular Biology","id":"ITEM-1","issue":"3","issued":{"date-parts":[["2001"]]},"page":"657-670","title":"Yet another numbering scheme for immunoglobulin variable domains: An automatic modeling and analysis tool","type":"article-journal","volume":"309"},"uris":["http://www.mendeley.com/documents/?uuid=5446a618-7a57-4a8c-a3d8-bd4c6f52b345"]}],"mendeley":{"formattedCitation":"&lt;sup&gt;22&lt;/sup&gt;","plainTextFormattedCitation":"22","previouslyFormattedCitation":"&lt;sup&gt;22&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22</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scheme by the ANARCI program</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{"citationItems":[{"id":"ITEM-1","itemData":{"DOI":"10.1093/bioinformatics/btv552","ISSN":"14602059","PMID":"26424857","abstract":"Motivation: Antibody amino-acid sequences can be numbered to identify equivalent positions. Such annotations are valuable for antibody sequence comparison, protein structure modelling and engineering. Multiple different numbering schemes exist, they vary in the nomenclature they use to annotate residue positions, their definitions of position equivalence and their popularity within different scientific disciplines. However, currently no publicly available software exists that can apply all the most widely used schemes or for which an executable can be obtained under an open license. Results: ANARCI is a tool to classify and number antibody and T-cell receptor amino-acid variable domain sequences. It can annotate sequences with the five most popular numbering schemes: Kabat, Chothia, Enhanced Chothia, IMGT and AHo. Availability and implementation: ANARCI is available for download under GPLv3 license at opig.stats.ox.ac.uk/webapps/anarci. A web-interface to the program is available at the same address. Contact:","author":[{"dropping-particle":"","family":"Dunbar","given":"James","non-dropping-particle":"","parse-names":false,"suffix":""},{"dropping-particle":"","family":"Deane","given":"Charlotte M.","non-dropping-particle":"","parse-names":false,"suffix":""}],"container-title":"Bioinformatics","id":"ITEM-1","issue":"2","issued":{"date-parts":[["2016"]]},"page":"298-300","title":"ANARCI: Antigen receptor numbering and receptor classification","type":"article-journal","volume":"32"},"uris":["http://www.mendeley.com/documents/?uuid=b0a2c87d-363b-4c19-8eab-832ca5ff0597"]}],"mendeley":{"formattedCitation":"&lt;sup&gt;23&lt;/sup&gt;","plainTextFormattedCitation":"23","previouslyFormattedCitation":"&lt;sup&gt;23&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23</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To evaluate the modeling accuracy of the CDRs, we first superimposed the +/-4 flanking amino acid residues of each CDR in predicted models onto native antibody structures. Next, the RMSD of the CDRs were calculated by </w:t>
      </w:r>
      <w:proofErr w:type="spellStart"/>
      <w:r w:rsidRPr="003A2793">
        <w:rPr>
          <w:rFonts w:ascii="Arial" w:hAnsi="Arial" w:cs="Arial"/>
          <w:color w:val="000000" w:themeColor="text1"/>
          <w:sz w:val="20"/>
          <w:szCs w:val="20"/>
        </w:rPr>
        <w:t>Prody</w:t>
      </w:r>
      <w:proofErr w:type="spellEnd"/>
      <w:r w:rsidRPr="003A2793">
        <w:rPr>
          <w:rFonts w:ascii="Arial" w:hAnsi="Arial" w:cs="Arial"/>
          <w:color w:val="000000" w:themeColor="text1"/>
          <w:sz w:val="20"/>
          <w:szCs w:val="20"/>
        </w:rPr>
        <w:t xml:space="preserve"> 2.0</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{"citationItems":[{"id":"ITEM-1","itemData":{"DOI":"10.1093/bioinformatics/btab187","ISSN":"14602059","abstract":"ProDy, an integrated application programming interface developed for modelling and analysing protein dynamics, has significantly evolved in recent years in response to the growing data and needs of the computational biology community. We present major developments that led to ProDy 2.0: (i) improved interfacing with databases and parsing new file formats, (ii) SignDy for signature dynamics of protein families, (iii) CryoDy for collective dynamics of supramolecular systems using cryo-EM density maps and (iv) essential site scanning analysis for identifying sites essential to modulating global dynamics.","author":[{"dropping-particle":"","family":"Zhang","given":"She","non-dropping-particle":"","parse-names":false,"suffix":""},{"dropping-particle":"","family":"Krieger","given":"James M.","non-dropping-particle":"","parse-names":false,"suffix":""},{"dropping-particle":"","family":"Zhang","given":"Yan","non-dropping-particle":"","parse-names":false,"suffix":""},{"dropping-particle":"","family":"Kaya","given":"Cihan","non-dropping-particle":"","parse-names":false,"suffix":""},{"dropping-particle":"","family":"Kaynak","given":"Burak","non-dropping-particle":"","parse-names":false,"suffix":""},{"dropping-particle":"","family":"Mikulska-Ruminska","given":"Karolina","non-dropping-particle":"","parse-names":false,"suffix":""},{"dropping-particle":"","family":"Doruker","given":"Pemra","non-dropping-particle":"","parse-names":false,"suffix":""},{"dropping-particle":"","family":"Li","given":"Hongchun","non-dropping-particle":"","parse-names":false,"suffix":""},{"dropping-particle":"","family":"Bahar","given":"Ivet","non-dropping-particle":"","parse-names":false,"suffix":""}],"container-title":"Bioinformatics","id":"ITEM-1","issue":"20","issued":{"date-parts":[["2021"]]},"page":"3657-3659","title":"ProDy 2.0: increased scale and scope after 10 years of protein dynamics modelling with Python","type":"article-journal","volume":"37"},"uris":["http://www.mendeley.com/documents/?uuid=e345b716-1e04-42d8-9857-2d5d69fed852"]}],"mendeley":{"formattedCitation":"&lt;sup&gt;24&lt;/sup&gt;","plainTextFormattedCitation":"24","previouslyFormattedCitation":"&lt;sup&gt;24&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24</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paratope RMSD was computed similarly after superimposing the paratope of the model onto the native structure.</w:t>
      </w:r>
    </w:p>
    <w:p w14:paraId="066AD0CF" w14:textId="2DDAF285" w:rsidR="00CC299A" w:rsidRPr="003A2793" w:rsidRDefault="00CC299A" w:rsidP="00CC299A">
      <w:pPr>
        <w:autoSpaceDE w:val="0"/>
        <w:autoSpaceDN w:val="0"/>
        <w:adjustRightInd w:val="0"/>
        <w:spacing w:line="480" w:lineRule="auto"/>
        <w:ind w:firstLine="720"/>
        <w:jc w:val="both"/>
        <w:rPr>
          <w:rFonts w:ascii="Arial" w:hAnsi="Arial" w:cs="Arial"/>
          <w:color w:val="000000" w:themeColor="text1"/>
          <w:sz w:val="20"/>
          <w:szCs w:val="20"/>
          <w:lang w:eastAsia="zh-CN"/>
        </w:rPr>
      </w:pPr>
      <w:r w:rsidRPr="003A2793">
        <w:rPr>
          <w:rFonts w:ascii="Arial" w:hAnsi="Arial" w:cs="Arial"/>
          <w:color w:val="000000" w:themeColor="text1"/>
          <w:sz w:val="20"/>
          <w:szCs w:val="20"/>
        </w:rPr>
        <w:t>Simultaneously, the three-dimensional structure of K8b-IgG1 was predicted by comparative modeling using MODELLER</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{"citationItems":[{"id":"ITEM-1","itemData":{"DOI":"10.1002/0471140864.ps0209s50","ISBN":"0471140864","ISSN":"1934-3655","PMID":"18429317","abstract":"Functional characterization of a protein sequence is one of the most frequent problems in biology. This task is usually facilitated by accurate three-dimensional (3-D) structure of the studied protein. In the absence of an experimentally determined structure, comparative or homology modeling can sometimes provide a useful 3-D model for a protein that is related to at least one known protein structure. Comparative modeling predicts the 3-D structure of a given protein sequence (target) based primarily on its alignment to one or more proteins of known structure (templates). The prediction process consists of fold assignment, target-template alignment, model building, and model evaluation. This unit describes how to calculate comparative models using the program MODELLER and discusses all four steps of comparative modeling, frequently observed errors, and some applications. Modeling lactate dehydrogenase from Trichomonas vaginalis (TvLDH) is described as an example. The download and installation of the MODELLER software is also described.","author":[{"dropping-particle":"","family":"Eswar","given":"Narayanan","non-dropping-particle":"","parse-names":false,"suffix":""},{"dropping-particle":"","family":"Webb","given":"Ben","non-dropping-particle":"","parse-names":false,"suffix":""},{"dropping-particle":"","family":"Marti</w:instrText>
      </w:r>
      <w:r w:rsidR="00C937AB">
        <w:rPr>
          <w:rFonts w:ascii="Cambria Math" w:hAnsi="Cambria Math" w:cs="Cambria Math"/>
          <w:color w:val="000000" w:themeColor="text1"/>
          <w:sz w:val="20"/>
          <w:szCs w:val="20"/>
        </w:rPr>
        <w:instrText>‐</w:instrText>
      </w:r>
      <w:r w:rsidR="00C937AB">
        <w:rPr>
          <w:rFonts w:ascii="Arial" w:hAnsi="Arial" w:cs="Arial"/>
          <w:color w:val="000000" w:themeColor="text1"/>
          <w:sz w:val="20"/>
          <w:szCs w:val="20"/>
        </w:rPr>
        <w:instrText>Renom","given":"Marc A.","non-dropping-particle":"","parse-names":false,"suffix":""},{"dropping-particle":"","family":"Madhusudhan","given":"M.S.","non-dropping-particle":"","parse-names":false,"suffix":""},{"dropping-particle":"","family":"Eramian","given":"David","non-dropping-particle":"","parse-names":false,"suffix":""},{"dropping-particle":"","family":"Shen","given":"Min</w:instrText>
      </w:r>
      <w:r w:rsidR="00C937AB">
        <w:rPr>
          <w:rFonts w:ascii="Cambria Math" w:hAnsi="Cambria Math" w:cs="Cambria Math"/>
          <w:color w:val="000000" w:themeColor="text1"/>
          <w:sz w:val="20"/>
          <w:szCs w:val="20"/>
        </w:rPr>
        <w:instrText>‐</w:instrText>
      </w:r>
      <w:r w:rsidR="00C937AB">
        <w:rPr>
          <w:rFonts w:ascii="Arial" w:hAnsi="Arial" w:cs="Arial"/>
          <w:color w:val="000000" w:themeColor="text1"/>
          <w:sz w:val="20"/>
          <w:szCs w:val="20"/>
        </w:rPr>
        <w:instrText>yi","non-dropping-particle":"","parse-names":false,"suffix":""},{"dropping-particle":"","family":"Pieper","given":"Ursula","non-dropping-particle":"","parse-names":false,"suffix":""},{"dropping-particle":"","family":"Sali","given":"Andrej","non-dropping-particle":"","parse-names":false,"suffix":""}],"container-title":"Current Protocols in Protein Science","id":"ITEM-1","issue":"1","issued":{"date-parts":[["2007"]]},"number-of-pages":"1-31","title":"Comparative Protein Structure Modeling Using MODELLER","type":"book","volume":"50"},"uris":["http://www.mendeley.com/documents/?uuid=e322fd3b-b0dd-424c-b86a-f9115efba48e"]}],"mendeley":{"formattedCitation":"&lt;sup&gt;25&lt;/sup&gt;","plainTextFormattedCitation":"25","previouslyFormattedCitation":"&lt;sup&gt;25&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25</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We chose the crystal structure of </w:t>
      </w:r>
      <w:proofErr w:type="spellStart"/>
      <w:r w:rsidRPr="003A2793">
        <w:rPr>
          <w:rFonts w:ascii="Arial" w:hAnsi="Arial" w:cs="Arial" w:hint="eastAsia"/>
          <w:color w:val="000000" w:themeColor="text1"/>
          <w:sz w:val="20"/>
          <w:szCs w:val="20"/>
        </w:rPr>
        <w:t>Hu</w:t>
      </w:r>
      <w:r w:rsidRPr="003A2793">
        <w:rPr>
          <w:rFonts w:ascii="Arial" w:hAnsi="Arial" w:cs="Arial"/>
          <w:color w:val="000000" w:themeColor="text1"/>
          <w:sz w:val="20"/>
          <w:szCs w:val="20"/>
        </w:rPr>
        <w:t>Mab</w:t>
      </w:r>
      <w:proofErr w:type="spellEnd"/>
      <w:r w:rsidRPr="003A2793">
        <w:rPr>
          <w:rFonts w:ascii="Arial" w:hAnsi="Arial" w:cs="Arial"/>
          <w:color w:val="000000" w:themeColor="text1"/>
          <w:sz w:val="20"/>
          <w:szCs w:val="20"/>
        </w:rPr>
        <w:t xml:space="preserve"> P5A-2G9 (PDB</w:t>
      </w:r>
      <w:r w:rsidRPr="003A2793">
        <w:rPr>
          <w:rFonts w:ascii="Arial" w:hAnsi="Arial" w:cs="Arial" w:hint="eastAsia"/>
          <w:color w:val="000000" w:themeColor="text1"/>
          <w:sz w:val="20"/>
          <w:szCs w:val="20"/>
        </w:rPr>
        <w:t xml:space="preserve"> </w:t>
      </w:r>
      <w:r w:rsidRPr="003A2793">
        <w:rPr>
          <w:rFonts w:ascii="Arial" w:hAnsi="Arial" w:cs="Arial"/>
          <w:color w:val="000000" w:themeColor="text1"/>
          <w:sz w:val="20"/>
          <w:szCs w:val="20"/>
        </w:rPr>
        <w:t>ID: 7CZT)</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{"citationItems":[{"id":"ITEM-1","itemData":{"DOI":"10.1038/s41422-021-00487-9","ISSN":"17487838","PMID":"33731853","abstract":"Neutralizing monoclonal antibodies (nAbs) to severe acute respiratory syndrome coronavirus 2 (SARS-CoV-2) represent promising candidates for clinical intervention against coronavirus disease 2019 (COVID-19). We isolated a large number of nAbs from SARS-CoV-2-infected individuals capable of disrupting proper interaction between the receptor binding domain (RBD) of the viral spike (S) protein and the receptor angiotensin converting enzyme 2 (ACE2). However, the structural basis for their potent neutralizing activity remains unclear. Here, we report cryo-EM structures of the ten most potent nAbs in their native full-length IgG-form or in both IgG-form and Fab-form bound to the trimeric S protein of SARS-CoV-2. The bivalent binding of the full-length IgG is found to associate with more RBDs in the “up” conformation than the monovalent binding of Fab, perhaps contributing to the enhanced neutralizing activity of IgG and triggering more shedding of the S1 subunit from the S protein. Comparison of a large number of nAbs identified common and unique structural features associated with their potent neutralizing activities. This work provides a structural basis for further understanding the mechanism of nAbs, especially through revealing the bivalent binding and its correlation with more potent neutralization and the shedding of S1 subunit.","author":[{"dropping-particle":"","family":"Yan","given":"Renhong","non-dropping-particle":"","parse-names":false,"suffix":""},{"dropping-particle":"","family":"Wang","given":"Ruoke","non-dropping-particle":"","parse-names":false,"suffix":""},{"dropping-particle":"","family":"Ju","given":"Bin","non-dropping-particle":"","parse-names":false,"suffix":""},{"dropping-particle":"","family":"Yu","given":"Jinfang","non-dropping-particle":"","parse-names":false,"suffix":""},{"dropping-particle":"","family":"Zhang","given":"Yuanyuan","non-dropping-particle":"","parse-names":false,"suffix":""},{"dropping-particle":"","family":"Liu","given":"Nan","non-dropping-particle":"","parse-names":false,"suffix":""},{"dropping-particle":"","family":"Wang","given":"Jia","non-dropping-particle":"","parse-names":false,"suffix":""},{"dropping-particle":"","family":"Zhang","given":"Qi","non-dropping-particle":"","parse-names":false,"suffix":""},{"dropping-particle":"","family":"Chen","given":"Peng","non-dropping-particle":"","parse-names":false,"suffix":""},{"dropping-particle":"","family":"Zhou","given":"Bing","non-dropping-particle":"","parse-names":false,"suffix":""},{"dropping-particle":"","family":"Li","given":"Yaning","non-dropping-particle":"","parse-names":false,"suffix":""},{"dropping-particle":"","family":"Shen","given":"Yaping","non-dropping-particle":"","parse-names":false,"suffix":""},{"dropping-particle":"","family":"Zhang","given":"Shuyuan","non-dropping-particle":"","parse-names":false,"suffix":""},{"dropping-particle":"","family":"Tian","given":"Long","non-dropping-particle":"","parse-names":false,"suffix":""},{"dropping-particle":"","family":"Guo","given":"Yingying","non-dropping-particle":"","parse-names":false,"suffix":""},{"dropping-particle":"","family":"Xia","given":"Lu","non-dropping-particle":"","parse-names":false,"suffix":""},{"dropping-particle":"","family":"Zhong","given":"Xinyue","non-dropping-particle":"","parse-names":false,"suffix":""},{"dropping-particle":"","family":"Cheng","given":"Lin","non-dropping-particle":"","parse-names":false,"suffix":""},{"dropping-particle":"","family":"Ge","given":"Xiangyang","non-dropping-particle":"","parse-names":false,"suffix":""},{"dropping-particle":"","family":"Zhao","given":"Juanjuan","non-dropping-particle":"","parse-names":false,"suffix":""},{"dropping-particle":"","family":"Wang","given":"Hong Wei","non-dropping-particle":"","parse-names":false,"suffix":""},{"dropping-particle":"","family":"Wang","given":"Xinquan","non-dropping-particle":"","parse-names":false,"suffix":""},{"dropping-particle":"","family":"Zhang","given":"Zheng","non-dropping-particle":"","parse-names":false,"suffix":""},{"dropping-particle":"","family":"Zhang","given":"Linqi","non-dropping-particle":"","parse-names":false,"suffix":""},{"dropping-particle":"","family":"Zhou","given":"Qiang","non-dropping-particle":"","parse-names":false,"suffix":""}],"container-title":"Cell Research","id":"ITEM-1","issue":"5","issued":{"date-parts":[["2021"]]},"page":"517-525","publisher":"Springer US","title":"Structural basis for bivalent binding and inhibition of SARS-CoV-2 infection by human potent neutralizing antibodies","type":"article-journal","volume":"31"},"uris":["http://www.mendeley.com/documents/?uuid=50cea7d7-a931-4cdd-8688-37213be68106"]}],"mendeley":{"formattedCitation":"&lt;sup&gt;26&lt;/sup&gt;","plainTextFormattedCitation":"26","previouslyFormattedCitation":"&lt;sup&gt;26&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26</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to model the F(ab) domain, and the crystal structure of mouse </w:t>
      </w:r>
      <w:proofErr w:type="spellStart"/>
      <w:r w:rsidRPr="003A2793">
        <w:rPr>
          <w:rFonts w:ascii="Arial" w:hAnsi="Arial" w:cs="Arial"/>
          <w:color w:val="000000" w:themeColor="text1"/>
          <w:sz w:val="20"/>
          <w:szCs w:val="20"/>
        </w:rPr>
        <w:t>MAb</w:t>
      </w:r>
      <w:proofErr w:type="spellEnd"/>
      <w:r w:rsidRPr="003A2793">
        <w:rPr>
          <w:rFonts w:ascii="Arial" w:hAnsi="Arial" w:cs="Arial"/>
          <w:color w:val="000000" w:themeColor="text1"/>
          <w:sz w:val="20"/>
          <w:szCs w:val="20"/>
        </w:rPr>
        <w:t xml:space="preserve"> IgG2a (PDB ID: 1IGT)</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{"citationItems":[{"id":"ITEM-1","itemData":{"DOI":"10.1021/bi962514+","ISSN":"00062960","PMID":"9048542","abstract":"The structure of an intact, anti-canine lymphoma monoclonal antibody (Mab231)1 was determined by molecular replacement and refined in a triclinic cell to an R-value of 20.9%, using synchrotron diffraction data from 2.8 to 20 Å resolution. All segments of the antibody, including the hinge region and carbohydrate component, are visible in electron density maps. There is no overall symmetry to the antibody, as the Fc is disposed in an entirely oblique manner with respect to the Fabs. The C(H)2 and C(H)3 domains do, however, possess a nearly exact, local 2-fold relationship. The Fab segments are related by a second, independent, local dyad axis, exact only with respect to constant domains. Variable domains exhibit no symmetry relationship as a consequence of the 16°difference in Fab elbow angles. Variable domain pair associations V(L):V(H) for the Fabs are virtually the same, and corresponding CDRs of the two Fabs also are nearly identical in structure. CDR-H3 displays the greatest difference. Hypervariable loops of both Fabs are involved in contacts with symmetry-related Fc segments at the C(H)2-C(H)3 switch junction, suggesting a 'complex' structure. The hinge segment connecting Fabs with the Fc is quite extended and exhibits thermal factors indicative of a high degree of mobility. It consists of a well- defined upper hinge that partially maintains dyad symmetry and a fairly rigid core bounded above and below by fluid polypeptides that provide segmental flexibility. This structure represents the first visualization by X-ray analysis of a murine Fc segment, and its C(H)2 domains exhibit substantial rigid body conformational changes with respect to the human Fc used as an initial molecular replacement model. The oligosaccharides were found by difference Fourier syntheses to be very similar to those of the free human Fc fragment, although differences are present in the terminal residues. The detailed structure of the IgG presented here, and the distribution of effector binding sites, appears consistent with effector activation mechanisms involving translocation and/or aggregation of the Fc following antigen binding by the Fabs.","author":[{"dropping-particle":"","family":"Harris","given":"Lisa J.","non-dropping-particle":"","parse-names":false,"suffix":""},{"dropping-particle":"","family":"Larson","given":"Steven B.","non-dropping-particle":"","parse-names":false,"suffix":""},{"dropping-particle":"","family":"Hasel","given":"Karl W.","non-dropping-particle":"","parse-names":false,"suffix":""},{"dropping-particle":"","family":"McPherson","given":"Alexander","non-dropping-particle":"","parse-names":false,"suffix":""}],"container-title":"Biochemistry","id":"ITEM-1","issue":"7","issued":{"date-parts":[["1997"]]},"page":"1581-1597","title":"Refined structure of an intact IgG2a monoclonal antibody","type":"article-journal","volume":"36"},"uris":["http://www.mendeley.com/documents/?uuid=8f5b042d-7249-413e-bd6c-82ed4b9e9ee9"]}],"mendeley":{"formattedCitation":"&lt;sup&gt;27&lt;/sup&gt;","plainTextFormattedCitation":"27","previouslyFormattedCitation":"&lt;sup&gt;27&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27</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to model the Fc domain and the glycan chains. </w:t>
      </w:r>
      <w:r w:rsidRPr="003A2793">
        <w:rPr>
          <w:rFonts w:ascii="Arial" w:hAnsi="Arial" w:cs="Arial" w:hint="eastAsia"/>
          <w:color w:val="000000" w:themeColor="text1"/>
          <w:sz w:val="20"/>
          <w:szCs w:val="20"/>
        </w:rPr>
        <w:t>E</w:t>
      </w:r>
      <w:r w:rsidRPr="003A2793">
        <w:rPr>
          <w:rFonts w:ascii="Arial" w:hAnsi="Arial" w:cs="Arial"/>
          <w:color w:val="000000" w:themeColor="text1"/>
          <w:sz w:val="20"/>
          <w:szCs w:val="20"/>
        </w:rPr>
        <w:t xml:space="preserve"> proteins and K8b-IgG1 F(ab) </w:t>
      </w:r>
      <w:r w:rsidRPr="003A2793">
        <w:rPr>
          <w:rFonts w:ascii="Arial" w:hAnsi="Arial" w:cs="Arial" w:hint="eastAsia"/>
          <w:color w:val="000000" w:themeColor="text1"/>
          <w:sz w:val="20"/>
          <w:szCs w:val="20"/>
        </w:rPr>
        <w:t>d</w:t>
      </w:r>
      <w:r w:rsidRPr="003A2793">
        <w:rPr>
          <w:rFonts w:ascii="Arial" w:hAnsi="Arial" w:cs="Arial"/>
          <w:color w:val="000000" w:themeColor="text1"/>
          <w:sz w:val="20"/>
          <w:szCs w:val="20"/>
        </w:rPr>
        <w:t>omains were fitted rigidly using the Fit-in-Map tool in UCSF Chimera</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{"citationItems":[{"id":"ITEM-1","itemData":{"DOI":"10.1002/pro.3943","ISSN":"1469896X","PMID":"32881101","abstract":"UCSF ChimeraX is the next-generation interactive visualization program from the Resource for Biocomputing, Visualization, and Informatics (RBVI), following UCSF Chimera. ChimeraX brings (a) significant performance and graphics enhancements; (b) new implementations of Chimera's most highly used tools, many with further improvements; (c) several entirely new analysis features; (d) support for new areas such as virtual reality, light-sheet microscopy, and medical imaging data; (e) major ease-of-use advances, including toolbars with icons to perform actions with a single click, basic “undo” capabilities, and more logical and consistent commands; and (f) an app store for researchers to contribute new tools. ChimeraX includes full user documentation and is free for noncommercial use, with downloads available for Windows, Linux, and macOS from https://www.rbvi.ucsf.edu/chimerax.","author":[{"dropping-particle":"","family":"Pettersen","given":"Eric F.","non-dropping-particle":"","parse-names":false,"suffix":""},{"dropping-particle":"","family":"Goddard","given":"Thomas D.","non-dropping-particle":"","parse-names":false,"suffix":""},{"dropping-particle":"","family":"Huang","given":"Conrad C.","non-dropping-particle":"","parse-names":false,"suffix":""},{"dropping-particle":"","family":"Meng","given":"Elaine C.","non-dropping-particle":"","parse-names":false,"suffix":""},{"dropping-particle":"","family":"Couch","given":"Gregory S.","non-dropping-particle":"","parse-names":false,"suffix":""},{"dropping-particle":"","family":"Croll","given":"Tristan I.","non-dropping-particle":"","parse-names":false,"suffix":""},{"dropping-particle":"","family":"Morris","given":"John H.","non-dropping-particle":"","parse-names":false,"suffix":""},{"dropping-particle":"","family":"Ferrin","given":"Thomas E.","non-dropping-particle":"","parse-names":false,"suffix":""}],"container-title":"Protein Science","id":"ITEM-1","issue":"1","issued":{"date-parts":[["2021"]]},"page":"70-82","title":"UCSF ChimeraX: Structure visualization for researchers, educators, and developers","type":"article-journal","volume":"30"},"uris":["http://www.mendeley.com/documents/?uuid=258dfa67-34b0-4e65-aa61-959b6609b092"]}],"mendeley":{"formattedCitation":"&lt;sup&gt;21&lt;/sup&gt;","plainTextFormattedCitation":"21","previouslyFormattedCitation":"&lt;sup&gt;21&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21</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with the maximized CCC (Cross-Correlation Coefficient) score. The symmetry restraints were applied to avoid clashes between neighboring protein molecules. Due to its symmetry nature, the Fab domain would have a two-fold rotation related binding poses which cannot be distinguished under low resolution map. To resolve this pose ambiguity, we used the protein docking software HEX</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{"citationItems":[{"id":"ITEM-1","itemData":{"DOI":"10.1093/bioinformatics/btq444","ISSN":"13674803","PMID":"20685958","abstract":"Motivation: Modelling protein-protein interactions (PPIs) is an increasingly important aspect of structural bioinformatics. However, predicting PPIs using in silico docking techniques is computationally very expensive. Developing very fast protein docking tools will be useful for studying large-scale PPI networks, and could contribute to the rational design of new drugs.Results: The Hex spherical polar Fourier protein docking algorithm has been implemented on Nvidia graphics processor units (GPUs). On a GTX 285 GPU, an exhaustive and densely sampled 6D docking search can be calculated in just 15 s using multiple 1D fast Fourier transforms (FFTs). This represents a 45-fold speed-up over the corresponding calculation on a single CPU, being at least two orders of magnitude times faster than a similar CPU calculation using ZDOCK 3.0.1, and estimated to be at least three orders of magnitude faster than the GPU-accelerated version of PIPER on comparable hardware. Hence, for the first time, exhaustive FFT-based protein docking calculations may now be performed in a matter of seconds on a contemporary GPU. Three-dimensional Hex FFT correlations are also accelerated by the GPU, but the speed-up factor of only 2.5 is much less than that obtained with 1D FFTs. Thus, the Hex algorithm appears to be especially well suited to exploit GPUs compared to conventional 3D FFT docking approaches. © The Author 2010. Published by Oxford University Press. All rights reserved.","author":[{"dropping-particle":"","family":"Ritchie","given":"David W.","non-dropping-particle":"","parse-names":false,"suffix":""},{"dropping-particle":"","family":"Venkatraman","given":"Vishwesh","non-dropping-particle":"","parse-names":false,"suffix":""}],"container-title":"Bioinformatics","id":"ITEM-1","issue":"19","issued":{"date-parts":[["2010"]]},"page":"2398-2405","title":"Ultra-fast FFT protein docking on graphics processors","type":"article-journal","volume":"26"},"uris":["http://www.mendeley.com/documents/?uuid=26bea680-b1fa-4f92-8b2b-399d81b96de2"]}],"mendeley":{"formattedCitation":"&lt;sup&gt;28&lt;/sup&gt;","plainTextFormattedCitation":"28","previouslyFormattedCitation":"&lt;sup&gt;28&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28</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to </w:t>
      </w:r>
      <w:r w:rsidRPr="003A2793">
        <w:rPr>
          <w:rFonts w:ascii="Arial" w:hAnsi="Arial" w:cs="Arial"/>
          <w:color w:val="000000" w:themeColor="text1"/>
          <w:sz w:val="20"/>
          <w:szCs w:val="20"/>
        </w:rPr>
        <w:lastRenderedPageBreak/>
        <w:t>estimate the binding energy and to refine the final binding pose. To further refine the immune complex structure and optimize the antigen-antibody interface, we conducted the flexible fitting procedure using the Flex-EM module in MODELLER</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 xml:space="preserve">ADDIN CSL_CITATION {"citationItems":[{"id":"ITEM-1","itemData":{"DOI":"10.1016/j.str.2007.11.016","ISSN":"09692126","PMID":"18275820","abstract":"For many macromolecular assemblies, both a cryo-electron microscopy map and atomic structures of its component proteins are available. Here we describe a method for fitting and refining a component structure within its map at intermediate resolution (&lt;15 Å). The atomic positions are optimized with respect to a scoring function that includes the crosscorrelation coefficient between the structure and the map as well as stereochemical and nonbonded interaction terms. A heuristic optimization that relies on a Monte Carlo search, a conjugate-gradients minimization, and simulated annealing molecular dynamics is applied to a series of subdivisions of the structure into progressively smaller rigid bodies. The method was tested on 15 proteins of known structure with 13 simulated maps and 3 experimentally determined maps. At </w:instrText>
      </w:r>
      <w:r w:rsidR="00C937AB">
        <w:rPr>
          <w:rFonts w:ascii="Cambria Math" w:hAnsi="Cambria Math" w:cs="Cambria Math"/>
          <w:color w:val="000000" w:themeColor="text1"/>
          <w:sz w:val="20"/>
          <w:szCs w:val="20"/>
        </w:rPr>
        <w:instrText>∼</w:instrText>
      </w:r>
      <w:r w:rsidR="00C937AB">
        <w:rPr>
          <w:rFonts w:ascii="Arial" w:hAnsi="Arial" w:cs="Arial"/>
          <w:color w:val="000000" w:themeColor="text1"/>
          <w:sz w:val="20"/>
          <w:szCs w:val="20"/>
        </w:rPr>
        <w:instrText xml:space="preserve">10 Å resolution, Cα rmsd between the initial and final structures was reduced on average by </w:instrText>
      </w:r>
      <w:r w:rsidR="00C937AB">
        <w:rPr>
          <w:rFonts w:ascii="Cambria Math" w:hAnsi="Cambria Math" w:cs="Cambria Math"/>
          <w:color w:val="000000" w:themeColor="text1"/>
          <w:sz w:val="20"/>
          <w:szCs w:val="20"/>
        </w:rPr>
        <w:instrText>∼</w:instrText>
      </w:r>
      <w:r w:rsidR="00C937AB">
        <w:rPr>
          <w:rFonts w:ascii="Arial" w:hAnsi="Arial" w:cs="Arial"/>
          <w:color w:val="000000" w:themeColor="text1"/>
          <w:sz w:val="20"/>
          <w:szCs w:val="20"/>
        </w:rPr>
        <w:instrText>53%. The method is automated and can refine both experimental and predicted atomic structures. © 2008 Elsevier Ltd. All rights reserved.","author":[{"dropping-particle":"","family":"Topf","given":"Maya","non-dropping-particle":"","parse-names":false,"suffix":""},{"dropping-particle":"","family":"Lasker","given":"Keren","non-dropping-particle":"","parse-names":false,"suffix":""},{"dropping-particle":"","family":"Webb","given":"Ben","non-dropping-particle":"","parse-names":false,"suffix":""},{"dropping-particle":"","family":"Wolfson","given":"Haim","non-dropping-particle":"","parse-names":false,"suffix":""},{"dropping-particle":"","family":"Chiu","given":"Wah","non-dropping-particle":"","parse-names":false,"suffix":""},{"dropping-particle":"","family":"Sali","given":"Andrej","non-dropping-particle":"","parse-names":false,"suffix":""}],"container-title":"Structure","id":"ITEM-1","issue":"2","issued":{"date-parts":[["2008"]]},"page":"295-307","title":"Protein Structure Fitting and Refinement Guided by Cryo-EM Density","type":"article-journal","volume":"16"},"uris":["http://www.mendeley.com/documents/?uuid=6bd2a46a-1cb7-40b9-979a-401fd9d991a0"]}],"mendeley":{"formattedCitation":"&lt;sup&gt;29&lt;/sup&gt;","plainTextFormattedCitation":"29","previouslyFormattedCitation":"&lt;sup&gt;29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secondary structure elements in E protein and Fab were treated as rigid bodies during the fitting. To reduce the computation expense, only half the size of the Fab and three E dimers were included in molecular dynamics simulation. We performed 20 independent simulated annealing molecular dynamics runs and picked ten final conformers with lower binding free energies for subsequent analysis. The antigen-antibody interfaces were analyzed using PDBePISA</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{"citationItems":[{"id":"ITEM-1","itemData":{"DOI":"10.1016/j.jmb.2007.05.022","ISSN":"00222836","PMID":"17681537","abstract":"We discuss basic physical-chemical principles underlying the formation of stable macromolecular complexes, which in many cases are likely to be the biological units performing a certain physiological function. We also consider available theoretical approaches to the calculation of macromolecular affinity and entropy of complexation. The latter is shown to play an important role and make a major effect on complex size and symmetry. We develop a new method, based on chemical thermodynamics, for automatic detection of macromolecular assemblies in the Protein Data Bank (PDB) entries that are the results of X-ray diffraction experiments. As found, biological units may be recovered at 80-90% success rate, which makes X-ray crystallography an important source of experimental data on macromolecular complexes and protein-protein interactions. The method is implemented as a public WWW service†.†http://www.ebi.ac.uk/msd-srv/prot int/pistart.html. © 2007 Elsevier Ltd. All rights reserved.","author":[{"dropping-particle":"","family":"Krissinel","given":"Evgeny","non-dropping-particle":"","parse-names":false,"suffix":""},{"dropping-particle":"","family":"Henrick","given":"Kim","non-dropping-particle":"","parse-names":false,"suffix":""}],"container-title":"Journal of Molecular Biology","id":"ITEM-1","issue":"3","issued":{"date-parts":[["2007"]]},"page":"774-797","title":"Inference of Macromolecular Assemblies from Crystalline State","type":"article-journal","volume":"372"},"uris":["http://www.mendeley.com/documents/?uuid=e78c5b46-0494-4c5e-8d47-331c3f98bb55"]}],"mendeley":{"formattedCitation":"&lt;sup&gt;30&lt;/sup&gt;","plainTextFormattedCitation":"30","previouslyFormattedCitation":"&lt;sup&gt;30&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30</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and PDBsum</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{"citationItems":[{"id":"ITEM-1","itemData":{"DOI":"10.1016/S0968-0004(97)01140-7","ISSN":"09680004","PMID":"9433130","author":[{"dropping-particle":"","family":"Laskowski","given":"Roman A.","non-dropping-particle":"","parse-names":false,"suffix":""},{"dropping-particle":"","family":"Hutchinson","given":"E. Gail","non-dropping-particle":"","parse-names":false,"suffix":""},{"dropping-particle":"","family":"Michie","given":"Alex D.","non-dropping-particle":"","parse-names":false,"suffix":""},{"dropping-particle":"","family":"Wallace","given":"Andrew C.","non-dropping-particle":"","parse-names":false,"suffix":""},{"dropping-particle":"","family":"Jones","given":"Martin L.","non-dropping-particle":"","parse-names":false,"suffix":""},{"dropping-particle":"","family":"Thornton","given":"Janet M.","non-dropping-particle":"","parse-names":false,"suffix":""}],"container-title":"Trends in Biochemical Sciences","id":"ITEM-1","issue":"12","issued":{"date-parts":[["1997"]]},"page":"488-490","title":"PDBsum: A Web-based database of summaries and analyses of all PDB structures","type":"article-journal","volume":"22"},"uris":["http://www.mendeley.com/documents/?uuid=e3acaec9-20dc-4334-89f5-a8138dc17632"]}],"mendeley":{"formattedCitation":"&lt;sup&gt;31&lt;/sup&gt;","plainTextFormattedCitation":"31","previouslyFormattedCitation":"&lt;sup&gt;31&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31</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The structure figures in this article were created using Chimera</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{"citationItems":[{"id":"ITEM-1","itemData":{"DOI":"10.1002/pro.3943","ISSN":"1469896X","PMID":"32881101","abstract":"UCSF ChimeraX is the next-generation interactive visualization program from the Resource for Biocomputing, Visualization, and Informatics (RBVI), following UCSF Chimera. ChimeraX brings (a) significant performance and graphics enhancements; (b) new implementations of Chimera's most highly used tools, many with further improvements; (c) several entirely new analysis features; (d) support for new areas such as virtual reality, light-sheet microscopy, and medical imaging data; (e) major ease-of-use advances, including toolbars with icons to perform actions with a single click, basic “undo” capabilities, and more logical and consistent commands; and (f) an app store for researchers to contribute new tools. ChimeraX includes full user documentation and is free for noncommercial use, with downloads available for Windows, Linux, and macOS from https://www.rbvi.ucsf.edu/chimerax.","author":[{"dropping-particle":"","family":"Pettersen","given":"Eric F.","non-dropping-particle":"","parse-names":false,"suffix":""},{"dropping-particle":"","family":"Goddard","given":"Thomas D.","non-dropping-particle":"","parse-names":false,"suffix":""},{"dropping-particle":"","family":"Huang","given":"Conrad C.","non-dropping-particle":"","parse-names":false,"suffix":""},{"dropping-particle":"","family":"Meng","given":"Elaine C.","non-dropping-particle":"","parse-names":false,"suffix":""},{"dropping-particle":"","family":"Couch","given":"Gregory S.","non-dropping-particle":"","parse-names":false,"suffix":""},{"dropping-particle":"","family":"Croll","given":"Tristan I.","non-dropping-particle":"","parse-names":false,"suffix":""},{"dropping-particle":"","family":"Morris","given":"John H.","non-dropping-particle":"","parse-names":false,"suffix":""},{"dropping-particle":"","family":"Ferrin","given":"Thomas E.","non-dropping-particle":"","parse-names":false,"suffix":""}],"container-title":"Protein Science","id":"ITEM-1","issue":"1","issued":{"date-parts":[["2021"]]},"page":"70-82","title":"UCSF ChimeraX: Structure visualization for researchers, educators, and developers","type":"article-journal","volume":"30"},"uris":["http://www.mendeley.com/documents/?uuid=258dfa67-34b0-4e65-aa61-959b6609b092"]}],"mendeley":{"formattedCitation":"&lt;sup&gt;21&lt;/sup&gt;","plainTextFormattedCitation":"21","previouslyFormattedCitation":"&lt;sup&gt;21&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21</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or </w:t>
      </w:r>
      <w:proofErr w:type="spellStart"/>
      <w:r w:rsidRPr="003A2793">
        <w:rPr>
          <w:rFonts w:ascii="Arial" w:hAnsi="Arial" w:cs="Arial"/>
          <w:color w:val="000000" w:themeColor="text1"/>
          <w:sz w:val="20"/>
          <w:szCs w:val="20"/>
        </w:rPr>
        <w:t>PyMOL</w:t>
      </w:r>
      <w:proofErr w:type="spellEnd"/>
      <w:r w:rsidRPr="003A2793">
        <w:rPr>
          <w:rFonts w:ascii="Arial" w:hAnsi="Arial" w:cs="Arial"/>
          <w:color w:val="000000" w:themeColor="text1"/>
          <w:sz w:val="20"/>
          <w:szCs w:val="20"/>
        </w:rPr>
        <w:t>.</w:t>
      </w:r>
    </w:p>
    <w:p w14:paraId="4AD9459A" w14:textId="77777777" w:rsidR="00CC299A" w:rsidRPr="003A2793" w:rsidRDefault="00CC299A" w:rsidP="00CC299A">
      <w:pPr>
        <w:spacing w:line="480" w:lineRule="auto"/>
        <w:jc w:val="both"/>
        <w:rPr>
          <w:rFonts w:ascii="Arial" w:hAnsi="Arial" w:cs="Arial"/>
          <w:b/>
          <w:color w:val="000000" w:themeColor="text1"/>
          <w:sz w:val="20"/>
          <w:szCs w:val="20"/>
        </w:rPr>
      </w:pPr>
    </w:p>
    <w:p w14:paraId="0C500BD3" w14:textId="77777777" w:rsidR="00CC299A"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SDM and Epitope mapping experiments</w:t>
      </w:r>
    </w:p>
    <w:p w14:paraId="75E26030" w14:textId="3DA0B276" w:rsidR="00CC299A" w:rsidRDefault="00CC299A" w:rsidP="00CC299A">
      <w:pPr>
        <w:spacing w:after="160"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To validate the predicted binding site of K8b-IgG1 on mD2VLP, we used the ZIKV VLP by focusing on the amino acid residues that are: (1) conserved among ZIKV, JEV, and four serotypes of DENV based on sequence alignment</w:t>
      </w:r>
      <w:r w:rsidR="00434A0F" w:rsidRPr="00434A0F">
        <w:rPr>
          <w:rFonts w:ascii="Arial" w:hAnsi="Arial" w:cs="Arial"/>
          <w:color w:val="000000" w:themeColor="text1"/>
          <w:sz w:val="20"/>
          <w:szCs w:val="20"/>
        </w:rPr>
        <w:t xml:space="preserve"> </w:t>
      </w:r>
      <w:r w:rsidR="00434A0F">
        <w:rPr>
          <w:rFonts w:ascii="Arial" w:hAnsi="Arial" w:cs="Arial"/>
          <w:color w:val="000000" w:themeColor="text1"/>
          <w:sz w:val="20"/>
          <w:szCs w:val="20"/>
        </w:rPr>
        <w:t>(</w:t>
      </w:r>
      <w:r w:rsidR="00434A0F" w:rsidRPr="003A2793">
        <w:rPr>
          <w:rFonts w:ascii="Arial" w:hAnsi="Arial" w:cs="Arial"/>
          <w:color w:val="000000" w:themeColor="text1"/>
          <w:sz w:val="20"/>
          <w:szCs w:val="20"/>
        </w:rPr>
        <w:t xml:space="preserve">Extended Data Fig. </w:t>
      </w:r>
      <w:r w:rsidR="00716CB1">
        <w:rPr>
          <w:rFonts w:ascii="Arial" w:hAnsi="Arial" w:cs="Arial"/>
          <w:color w:val="000000" w:themeColor="text1"/>
          <w:sz w:val="20"/>
          <w:szCs w:val="20"/>
        </w:rPr>
        <w:t>5</w:t>
      </w:r>
      <w:r w:rsidR="00434A0F" w:rsidRPr="003A2793">
        <w:rPr>
          <w:rFonts w:ascii="Arial" w:hAnsi="Arial" w:cs="Arial"/>
          <w:color w:val="000000" w:themeColor="text1"/>
          <w:sz w:val="20"/>
          <w:szCs w:val="20"/>
        </w:rPr>
        <w:t>a)</w:t>
      </w:r>
      <w:r w:rsidRPr="003A2793">
        <w:rPr>
          <w:rFonts w:ascii="Arial" w:hAnsi="Arial" w:cs="Arial"/>
          <w:color w:val="000000" w:themeColor="text1"/>
          <w:sz w:val="20"/>
          <w:szCs w:val="20"/>
        </w:rPr>
        <w:t>; (2) located on loops with enhanced solvent accessibility based on SASA results</w:t>
      </w:r>
      <w:r w:rsidR="00434A0F">
        <w:rPr>
          <w:rFonts w:ascii="Arial" w:hAnsi="Arial" w:cs="Arial"/>
          <w:color w:val="000000" w:themeColor="text1"/>
          <w:sz w:val="20"/>
          <w:szCs w:val="20"/>
        </w:rPr>
        <w:t xml:space="preserve"> (</w:t>
      </w:r>
      <w:r w:rsidR="00434A0F" w:rsidRPr="003A2793">
        <w:rPr>
          <w:rFonts w:ascii="Arial" w:hAnsi="Arial" w:cs="Arial"/>
          <w:color w:val="000000" w:themeColor="text1"/>
          <w:sz w:val="20"/>
          <w:szCs w:val="20"/>
        </w:rPr>
        <w:t xml:space="preserve">Extended Data Fig. </w:t>
      </w:r>
      <w:r w:rsidR="00716CB1">
        <w:rPr>
          <w:rFonts w:ascii="Arial" w:hAnsi="Arial" w:cs="Arial"/>
          <w:color w:val="000000" w:themeColor="text1"/>
          <w:sz w:val="20"/>
          <w:szCs w:val="20"/>
        </w:rPr>
        <w:t>5</w:t>
      </w:r>
      <w:r w:rsidR="00434A0F">
        <w:rPr>
          <w:rFonts w:ascii="Arial" w:hAnsi="Arial" w:cs="Arial"/>
          <w:color w:val="000000" w:themeColor="text1"/>
          <w:sz w:val="20"/>
          <w:szCs w:val="20"/>
        </w:rPr>
        <w:t>b</w:t>
      </w:r>
      <w:r w:rsidR="00434A0F" w:rsidRPr="003A2793">
        <w:rPr>
          <w:rFonts w:ascii="Arial" w:hAnsi="Arial" w:cs="Arial"/>
          <w:color w:val="000000" w:themeColor="text1"/>
          <w:sz w:val="20"/>
          <w:szCs w:val="20"/>
        </w:rPr>
        <w:t>)</w:t>
      </w:r>
      <w:r w:rsidRPr="003A2793">
        <w:rPr>
          <w:rFonts w:ascii="Arial" w:hAnsi="Arial" w:cs="Arial"/>
          <w:color w:val="000000" w:themeColor="text1"/>
          <w:sz w:val="20"/>
          <w:szCs w:val="20"/>
        </w:rPr>
        <w:t>; and (3) candidate epitope from previously reported broadly neutralizing antibodies</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{"citationItems":[{"id":"ITEM-1","itemData":{"DOI":"10.1038/s41591-019-0746-2","ISSN":"1546170X","PMID":"32015557","abstract":"Zika virus (ZIKV) has caused significant disease, with widespread cases of neurological pathology and congenital neurologic defects. Rapid vaccine development has led to a number of candidates capable of eliciting potent ZIKV-neutralizing antibodies (reviewed in refs. 1–3). Despite advances in vaccine development, it remains unclear how ZIKV vaccination affects immune responses in humans with prior flavivirus immunity. Here we show that a single-dose immunization of ZIKV purified inactivated vaccine (ZPIV)4–7 in a dengue virus (DENV)-experienced human elicited potent cross-neutralizing antibodies to both ZIKV and DENV. Using a unique ZIKV virion-based sorting strategy, we isolated and characterized multiple antibodies, including one termed MZ4, which targets a novel site of vulnerability centered on the Envelope (E) domain I/III linker region and protects mice from viremia and viral dissemination following ZIKV or DENV-2 challenge. These data demonstrate that Zika vaccination in a DENV-experienced individual can boost pre-existing flavivirus immunity and elicit protective responses against both ZIKV and DENV. ZPIV vaccination in Puerto Rican individuals with prior flavivirus experience yielded similar cross-neutralizing potency after a single vaccination, highlighting the potential benefit of ZIKV vaccination in flavivirus-endemic areas.","author":[{"dropping-particle":"","family":"Dussupt","given":"Vincent","non-dropping-particle":"","parse-names":false,"suffix":""},{"dropping-particle":"","family":"Sankhala","given":"Rajeshwer S.","non-dropping-particle":"","parse-names":false,"suffix":""},{"dropping-particle":"","family":"Gromowski","given":"Gregory D.","non-dropping-particle":"","parse-names":false,"suffix":""},{"dropping-particle":"","family":"Donofrio","given":"Gina","non-dropping-particle":"","parse-names":false,"suffix":""},{"dropping-particle":"","family":"La Barrera","given":"Rafael A.","non-dropping-particle":"De","parse-names":false,"suffix":""},{"dropping-particle":"","family":"Larocca","given":"Rafael A.","non-dropping-particle":"","parse-names":false,"suffix":""},{"dropping-particle":"","family":"Zaky","given":"Weam","non-dropping-particle":"","parse-names":false,"suffix":""},{"dropping-particle":"","family":"Mendez-Rivera","given":"Letzibeth","non-dropping-particle":"","parse-names":false,"suffix":""},{"dropping-particle":"","family":"Choe","given":"Misook","non-dropping-particle":"","parse-names":false,"suffix":""},{"dropping-particle":"","family":"Davidson","given":"Edgar","non-dropping-particle":"","parse-names":false,"suffix":""},{"dropping-particle":"","family":"McCracken","given":"Michael K.","non-dropping-particle":"","parse-names":false,"suffix":""},{"dropping-particle":"","family":"Brien","given":"James D.","non-dropping-particle":"","parse-names":false,"suffix":""},{"dropping-particle":"","family":"Abbink","given":"Peter","non-dropping-particle":"","parse-names":false,"suffix":""},{"dropping-particle":"","family":"Bai","given":"Hongjun","non-dropping-particle":"","parse-names":false,"suffix":""},{"dropping-particle":"","family":"Bryan","given":"Aubrey L.","non-dropping-particle":"","parse-names":false,"suffix":""},{"dropping-particle":"","family":"Bias","given":"Candace Hope","non-dropping-particle":"","parse-names":false,"suffix":""},{"dropping-particle":"","family":"Berry","given":"Irina Maljkovic","non-dropping-particle":"","parse-names":false,"suffix":""},{"dropping-particle":"","family":"Botero","given":"Nubia","non-dropping-particle":"","parse-names":false,"suffix":""},{"dropping-particle":"","family":"Cook","given":"Tanya","non-dropping-particle":"","parse-names":false,"suffix":""},{"dropping-particle":"","family":"Doria-Rose","given":"Nicole A.","non-dropping-particle":"","parse-names":false,"suffix":""},{"dropping-particle":"","family":"Escuer","given":"Ariadna Grinyo i.","non-dropping-particle":"","parse-names":false,"suffix":""},{"dropping-particle":"","family":"Frimpong","given":"Justice Akuoku","non-dropping-particle":"","parse-names":false,"suffix":""},{"dropping-particle":"","family":"Geretz","given":"Aviva","non-dropping-particle":"","parse-names":false,"suffix":""},{"dropping-particle":"","family":"Hernandez","given":"Mayda","non-dropping-particle":"","parse-names":false,"suffix":""},{"dropping-particle":"","family":"Hollidge","given":"Bradley S.","non-dropping-particle":"","parse-names":false,"suffix":""},{"dropping-particle":"","family":"Jian","given":"Ningbo","non-dropping-particle":"","parse-names":false,"suffix":""},{"dropping-particle":"","family":"Kabra","given":"Kareem","non-dropping-particle":"","parse-names":false,"suffix":""},{"dropping-particle":"","family":"Leggat","given":"David J.","non-dropping-particle":"","parse-names":false,"suffix":""},{"dropping-particle":"","family":"Liu","given":"Jinyan","non-dropping-particle":"","parse-names":false,"suffix":""},{"dropping-particle":"","family":"Pinto","given":"Amelia K.","non-dropping-particle":"","parse-names":false,"suffix":""},{"dropping-particle":"","family":"Rutvisuttinunt","given":"Wiriya","non-dropping-particle":"","parse-names":false,"suffix":""},{"dropping-particle":"","family":"Setliff","given":"Ian","non-dropping-particle":"","parse-names":false,"suffix":""},{"dropping-particle":"","family":"Tran","given":"Ursula","non-dropping-particle":"","parse-names":false,"suffix":""},{"dropping-particle":"","family":"Townsley","given":"Samantha","non-dropping-particle":"","parse-names":false,"suffix":""},{"dropping-particle":"","family":"Doranz","given":"Benjamin J.","non-dropping-particle":"","parse-names":false,"suffix":""},{"dropping-particle":"","family":"Rolland","given":"Morgane","non-dropping-particle":"","parse-names":false,"suffix":""},{"dropping-particle":"","family":"McDermott","given":"Adrian B.","non-dropping-particle":"","parse-names":false,"suffix":""},{"dropping-particle":"","family":"Georgiev","given":"Ivelin S.","non-dropping-particle":"","parse-names":false,"suffix":""},{"dropping-particle":"","family":"Thomas","given":"Rasmi","non-dropping-particle":"","parse-names":false,"suffix":""},{"dropping-particle":"","family":"Robb","given":"Merlin L.","non-dropping-particle":"","parse-names":false,"suffix":""},{"dropping-particle":"","family":"Eckels","given":"Kenneth H.","non-dropping-particle":"","parse-names":false,"suffix":""},{"dropping-particle":"","family":"Barranco","given":"Elizabeth","non-dropping-particle":"","parse-names":false,"suffix":""},{"dropping-particle":"","family":"Koren","given":"Michael","non-dropping-particle":"","parse-names":false,"suffix":""},{"dropping-particle":"","family":"Smith","given":"Darci R.","non-dropping-particle":"","parse-names":false,"suffix":""},{"dropping-particle":"","family":"Jarman","given":"Richard G.","non-dropping-particle":"","parse-names":false,"suffix":""},{"dropping-particle":"","family":"George","given":"Sarah L.","non-dropping-particle":"","parse-names":false,"suffix":""},{"dropping-particle":"","family":"Stephenson","given":"Kathryn E.","non-dropping-particle":"","parse-names":false,"suffix":""},{"dropping-particle":"","family":"Barouch","given":"Dan H.","non-dropping-particle":"","parse-names":false,"suffix":""},{"dropping-particle":"","family":"Modjarrad","given":"Kayvon","non-dropping-particle":"","parse-names":false,"suffix":""},{"dropping-particle":"","family":"Michael","given":"Nelson L.","non-dropping-particle":"","parse-names":false,"suffix":""},{"dropping-particle":"","family":"Joyce","given":"M. Gordon","non-dropping-particle":"","parse-names":false,"suffix":""},{"dropping-particle":"","family":"Krebs","given":"Shelly J.","non-dropping-particle":"","parse-names":false,"suffix":""}],"container-title":"Nature Medicine","id":"ITEM-1","issue":"2","issued":{"date-parts":[["2020"]]},"page":"228-235","publisher":"Springer US","title":"Potent Zika and dengue cross-neutralizing antibodies induced by Zika vaccination in a dengue-experienced donor","type":"article-journal","volume":"26"},"uris":["http://www.mendeley.com/documents/?uuid=b9ee6ff5-8896-47c8-a4b9-68633affaa8c"]},{"id":"ITEM-2","itemData":{"DOI":"10.1016/j.chom.2016.04.013","ISSN":"19346069","PMID":"27158114","abstract":"Summary Zika virus (ZIKV), a mosquito-borne flavivirus, is a current global public health concern. The flavivirus envelope (E) glycoprotein is responsible for virus entry and represents a major target of neutralizing antibodies for other flaviviruses. Here, we report the structures of ZIKV E protein at 2.0 Å and in complex with a flavivirus broadly neutralizing murine antibody 2A10G6 at 3.0 Å. ZIKV-E resembles all the known flavivirus E structures but contains a unique, positively charged patch adjacent to the fusion loop region of the juxtaposed monomer, which may influence host attachment. The ZIKV-E-2A10G6 complex structure reveals antibody recognition of a highly conserved fusion loop. 2A10G6 binds to ZIKV-E with high affinity in vitro and neutralizes currently circulating ZIKV strains in vitro and in mice. The E protein fusion loop epitope represents a potential candidate for therapeutic antibodies against ZIKV.","author":[{"dropping-particle":"","family":"Dai","given":"Lianpan","non-dropping-particle":"","parse-names":false,"suffix":""},{"dropping-particle":"","family":"Song","given":"Jian","non-dropping-particle":"","parse-names":false,"suffix":""},{"dropping-particle":"","family":"Lu","given":"Xishan","non-dropping-particle":"","parse-names":false,"suffix":""},{"dropping-particle":"","family":"Deng","given":"Yong Qiang","non-dropping-particle":"","parse-names":false,"suffix":""},{"dropping-particle":"","family":"Musyoki","given":"Abednego Moki","non-dropping-particle":"","parse-names":false,"suffix":""},{"dropping-particle":"","family":"Cheng","given":"Huijun","non-dropping-particle":"","parse-names":false,"suffix":""},{"dropping-particle":"","family":"Zhang","given":"Yanfang","non-dropping-particle":"","parse-names":false,"suffix":""},{"dropping-particle":"","family":"Yuan","given":"Yuan","non-dropping-particle":"","parse-names":false,"suffix":""},{"dropping-particle":"","family":"Song","given":"Hao","non-dropping-particle":"","parse-names":false,"suffix":""},{"dropping-particle":"","family":"Haywood","given":"Joel","non-dropping-particle":"","parse-names":false,"suffix":""},{"dropping-particle":"","family":"Xiao","given":"Haixia","non-dropping-particle":"","parse-names":false,"suffix":""},{"dropping-particle":"","family":"Yan","given":"Jinghua","non-dropping-particle":"","parse-names":false,"suffix":""},{"dropping-particle":"","family":"Shi","given":"Yi","non-dropping-particle":"","parse-names":false,"suffix":""},{"dropping-particle":"","family":"Qin","given":"Cheng Feng","non-dropping-particle":"","parse-names":false,"suffix":""},{"dropping-particle":"","family":"Qi","given":"Jianxun","non-dropping-particle":"","parse-names":false,"suffix":""},{"dropping-particle":"","family":"Gao","given":"George F.","non-dropping-particle":"","parse-names":false,"suffix":""}],"container-title":"Cell Host and Microbe","id":"ITEM-2","issue":"5","issued":{"date-parts":[["2016"]]},"page":"696-704","publisher":"Elsevier Inc.","title":"Structures of the Zika Virus Envelope Protein and Its Complex with a Flavivirus Broadly Protective Antibody","type":"article-journal","volume":"19"},"uris":["http://www.mendeley.com/documents/?uuid=11f6a36c-3efb-4b31-92ea-88abf202ccd4"]},{"id":"ITEM-3","itemData":{"DOI":"10.1371/journal.pone.0016059","ISSN":"19326203","PMID":"21264311","abstract":"Flaviviruses are a group of human pathogenic, enveloped RNA viruses that includes dengue (DENV), yellow fever (YFV), West Nile (WNV), and Japanese encephalitis (JEV) viruses. Cross-reactive antibodies against Flavivirus have been described, but most of them are generally weakly neutralizing. In this study, a novel monoclonal antibody, designated mAb 2A10G6, was determined to have broad cross-reactivity with DENV 1-4, YFV, WNV, JEV, and TBEV. Phage-display biopanning and structure modeling mapped 2A10G6 to a new epitope within the highly conserved flavivirus fusion loop peptide, the 98DRXW101 motif. Moreover, in vitro and in vivo experiments demonstrated that 2A10G6 potently neutralizes DENV 1-4, YFV, and WNV and confers protection from lethal challenge with DENV 1-4 and WNV in murine model. Furthermore, functional studies revealed that 2A10G6 blocks infection at a step after viral attachment. These results define a novel broadly flavivirus cross-reactive mAb with highly neutralizing activity that can be further developed as a therapeutic agent against severe flavivirus infections in humans. © 2011 Deng et al.","author":[{"dropping-particle":"","family":"Deng","given":"Yong Qiang","non-dropping-particle":"","parse-names":false,"suffix":""},{"dropping-particle":"","family":"Dai","given":"Jian Xin","non-dropping-particle":"","parse-names":false,"suffix":""},{"dropping-particle":"","family":"Ji","given":"Guang Hui","non-dropping-particle":"","parse-names":false,"suffix":""},{"dropping-particle":"","family":"Jiang","given":"Tao","non-dropping-particle":"","parse-names":false,"suffix":""},{"dropping-particle":"","family":"Wang","given":"Hua Jing","non-dropping-particle":"","parse-names":false,"suffix":""},{"dropping-particle":"","family":"Yang","given":"Hai ou","non-dropping-particle":"","parse-names":false,"suffix":""},{"dropping-particle":"","family":"Tan","given":"Weng Long","non-dropping-particle":"","parse-names":false,"suffix":""},{"dropping-particle":"","family":"Liu","given":"Ran","non-dropping-particle":"","parse-names":false,"suffix":""},{"dropping-particle":"","family":"Yu","given":"Man","non-dropping-particle":"","parse-names":false,"suffix":""},{"dropping-particle":"","family":"Ge","given":"Bao Xue","non-dropping-particle":"","parse-names":false,"suffix":""},{"dropping-particle":"","family":"Zhu","given":"Qing Yu","non-dropping-particle":"","parse-names":false,"suffix":""},{"dropping-particle":"De","family":"Qin","given":"E.","non-dropping-particle":"","parse-names":false,"suffix":""},{"dropping-particle":"","family":"Guo","given":"Ya Jun","non-dropping-particle":"","parse-names":false,"suffix":""},{"dropping-particle":"","family":"Qin","given":"Cheng Feng","non-dropping-particle":"","parse-names":false,"suffix":""}],"container-title":"PLoS ONE","id":"ITEM-3","issue":"1","issued":{"date-parts":[["2011"]]},"title":"A broadly flavivirus cross-neutralizing monoclonal antibody that recognizes a novel epitope within the fusion loop of e protein","type":"article-journal","volume":"6"},"uris":["http://www.mendeley.com/documents/?uuid=7a099d68-f234-4484-a4cd-69e9ca021a1f"]}],"mendeley":{"formattedCitation":"&lt;sup&gt;32–34&lt;/sup&gt;","plainTextFormattedCitation":"32–34","previouslyFormattedCitation":"&lt;sup&gt;32–34&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32–34</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w:t>
      </w:r>
      <w:r>
        <w:rPr>
          <w:rFonts w:ascii="Arial" w:hAnsi="Arial" w:cs="Arial"/>
          <w:b/>
          <w:color w:val="000000" w:themeColor="text1"/>
          <w:sz w:val="20"/>
          <w:szCs w:val="20"/>
        </w:rPr>
        <w:t xml:space="preserve"> </w:t>
      </w:r>
      <w:r w:rsidRPr="003A2793">
        <w:rPr>
          <w:rFonts w:ascii="Arial" w:hAnsi="Arial" w:cs="Arial"/>
          <w:color w:val="000000" w:themeColor="text1"/>
          <w:sz w:val="20"/>
          <w:szCs w:val="20"/>
        </w:rPr>
        <w:t>The previously described and transcriptionally optimized eukaryotic cell expression plasmid transiently expressing the envelope (</w:t>
      </w:r>
      <w:proofErr w:type="spellStart"/>
      <w:r w:rsidRPr="003A2793">
        <w:rPr>
          <w:rFonts w:ascii="Arial" w:hAnsi="Arial" w:cs="Arial"/>
          <w:color w:val="000000" w:themeColor="text1"/>
          <w:sz w:val="20"/>
          <w:szCs w:val="20"/>
        </w:rPr>
        <w:t>prM</w:t>
      </w:r>
      <w:proofErr w:type="spellEnd"/>
      <w:r w:rsidRPr="003A2793">
        <w:rPr>
          <w:rFonts w:ascii="Arial" w:hAnsi="Arial" w:cs="Arial"/>
          <w:color w:val="000000" w:themeColor="text1"/>
          <w:sz w:val="20"/>
          <w:szCs w:val="20"/>
        </w:rPr>
        <w:t>/E) proteins from ZIKV was used in this study</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{"citationItems":[{"id":"ITEM-1","itemData":{"DOI":"10.1128/JCM.01506-18","ISSN":"1098660X","PMID":"30541932","abstract":"Diagnostic testing for Zika virus (ZIKV) or dengue virus (DENV) infection can be accomplished by a nucleic acid detection method; however, a negative result does not exclude infection due to the low virus titer during infection depending on the timing of sample collection. Therefore, a ZIKV- or DENV-specific serological assay is essential for the accurate diagnosis of patients and to mitigate potential severe health outcomes. A retrospective study design with dual approaches of collecting human serum samples for testing was developed. All serum samples were extensively evaluated by using both noninfectious wild-type (wt) virus-like particles (VLPs) and soluble nonstructural protein 1 (NS1) in the standard immunoglobulin M (IgM) antibody-capture enzyme-linked immunosorbent assay (MAC-ELISA). Both ZIKV-derived wt-VLP- and NS1-MAC-ELISAs were found to have similar sensitivities for detecting anti-premembrane/envelope and NS1 antibodies from ZIKV-infected patient sera, although lower cross-reactivity to DENV2/3-NS1 was observed. Furthermore, group cross-reactive (GR)-antibody-ablated homologous fusion peptide-mutated (FP)VLPs consistently showed higher positive-to-negative values than homologous wt-VLPs. Therefore, we used DENV-2/3 and ZIKV FP-VLPs to develop a novel, serological algorithm for differentiating ZIKV from DENV infection. Overall, the sensitivity and specificity of the FP-VLP-MAC-ELISA and the NS1-MAC-ELISA were each higher than 80%, with no statistical significance. The accuracy can reach up to 95% with the combination of FP-VLP and NS1 assays. In comparison to current guidelines using neutralization tests to measure ZIKV antibody, this approach can facilitate laboratory screening for ZIKV infection, especially in regions where DENV infection is endemic and capacity for neutralization testing does not exist.","author":[{"dropping-particle":"","family":"Chao","given":"Day Yu","non-dropping-particle":"","parse-names":false,"suffix":""},{"dropping-particle":"","family":"Whitney","given":"Matthew T.","non-dropping-particle":"","parse-names":false,"suffix":""},{"dropping-particle":"","family":"Davis","given":"Brent S.","non-dropping-particle":"","parse-names":false,"suffix":""},{"dropping-particle":"","family":"Medina","given":"Freddy A.","non-dropping-particle":"","parse-names":false,"suffix":""},{"dropping-particle":"","family":"Munoz","given":"Jorge L.","non-dropping-particle":"","parse-names":false,"suffix":""},{"dropping-particle":"","family":"Chang","given":"Gwong Jen J.","non-dropping-particle":"","parse-names":false,"suffix":""}],"container-title":"Journal of Clinical Microbiology","id":"ITEM-1","issue":"3","issued":{"date-parts":[["2019"]]},"title":"Comprehensive evaluation of differential serodiagnosis between Zika and dengue viral infections","type":"article-journal","volume":"57"},"uris":["http://www.mendeley.com/documents/?uuid=385a99f3-2a24-4f06-8e84-c42396757725"]}],"mendeley":{"formattedCitation":"&lt;sup&gt;35&lt;/sup&gt;","plainTextFormattedCitation":"35","previouslyFormattedCitation":"&lt;sup&gt;35&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35</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Three amino acid residues in the </w:t>
      </w:r>
      <w:proofErr w:type="spellStart"/>
      <w:r w:rsidRPr="003A2793">
        <w:rPr>
          <w:rFonts w:ascii="Arial" w:hAnsi="Arial" w:cs="Arial"/>
          <w:color w:val="000000" w:themeColor="text1"/>
          <w:sz w:val="20"/>
          <w:szCs w:val="20"/>
        </w:rPr>
        <w:t>bc</w:t>
      </w:r>
      <w:proofErr w:type="spellEnd"/>
      <w:r w:rsidRPr="003A2793">
        <w:rPr>
          <w:rFonts w:ascii="Arial" w:hAnsi="Arial" w:cs="Arial"/>
          <w:color w:val="000000" w:themeColor="text1"/>
          <w:sz w:val="20"/>
          <w:szCs w:val="20"/>
        </w:rPr>
        <w:t xml:space="preserve"> loop region of the ZIKV envelope (E) protein, namely arginine (R73), </w:t>
      </w:r>
      <w:r w:rsidRPr="003A2793">
        <w:rPr>
          <w:rFonts w:ascii="Arial" w:hAnsi="Arial" w:cs="Arial"/>
          <w:color w:val="000000" w:themeColor="text1"/>
          <w:sz w:val="20"/>
          <w:szCs w:val="20"/>
        </w:rPr>
        <w:lastRenderedPageBreak/>
        <w:t>threonine (T76), and aspartic acid (D87), were separately mutated to alanine (A). Single-point mutations were also introduced in other loops that span the ZIKV envelope protein such as the fusion loop (FL) (N103), f-g loop (R193), h-</w:t>
      </w:r>
      <w:proofErr w:type="spellStart"/>
      <w:r w:rsidRPr="003A2793">
        <w:rPr>
          <w:rFonts w:ascii="Arial" w:hAnsi="Arial" w:cs="Arial"/>
          <w:color w:val="000000" w:themeColor="text1"/>
          <w:sz w:val="20"/>
          <w:szCs w:val="20"/>
        </w:rPr>
        <w:t>i</w:t>
      </w:r>
      <w:proofErr w:type="spellEnd"/>
      <w:r w:rsidRPr="003A2793">
        <w:rPr>
          <w:rFonts w:ascii="Arial" w:hAnsi="Arial" w:cs="Arial"/>
          <w:color w:val="000000" w:themeColor="text1"/>
          <w:sz w:val="20"/>
          <w:szCs w:val="20"/>
        </w:rPr>
        <w:t xml:space="preserve"> loop (T231), I</w:t>
      </w:r>
      <w:r w:rsidRPr="003A2793">
        <w:rPr>
          <w:rFonts w:ascii="Arial" w:hAnsi="Arial" w:cs="Arial"/>
          <w:color w:val="000000" w:themeColor="text1"/>
          <w:sz w:val="20"/>
          <w:szCs w:val="20"/>
          <w:vertAlign w:val="subscript"/>
        </w:rPr>
        <w:t>O</w:t>
      </w:r>
      <w:r w:rsidRPr="003A2793">
        <w:rPr>
          <w:rFonts w:ascii="Arial" w:hAnsi="Arial" w:cs="Arial"/>
          <w:color w:val="000000" w:themeColor="text1"/>
          <w:sz w:val="20"/>
          <w:szCs w:val="20"/>
        </w:rPr>
        <w:t>A loop (G302) and the EDIII D-E loop (T366). We also incorporated residue 101 and 103 at the fusion loop for site-directed mutagenesis (SDM) since the binding footprint of the EDE antibodies centered on residue 101 of E protein</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{"citationItems":[{"id":"ITEM-1","itemData":{"DOI":"10.1371/journal.pntd.0001188","ISSN":"19352727","PMID":"21713020","abstract":"Humans who experience a primary dengue virus (DENV) infection develop antibodies that preferentially neutralize the homologous serotype responsible for infection. Affected individuals also generate cross-reactive antibodies against heterologous DENV serotypes, which are non-neutralizing. Dengue cross-reactive, non-neutralizing antibodies can enhance infection of Fc receptor bearing cells and, potentially, exacerbate disease. The actual binding sites of human antibody on the DENV particle are not well defined. We characterized the specificity and neutralization potency of polyclonal serum antibodies and memory B-cell derived monoclonal antibodies (hMAbs) from 2 individuals exposed to primary DENV infections. Most DENV-specific hMAbs were serotype cross-reactive and weakly neutralizing. Moreover, many hMAbs bound to the viral pre-membrane protein and other sites on the virus that were not preserved when the viral envelope protein was produced as a soluble, recombinant antigen (rE protein). Nonetheless, by modifying the screening procedure to detect rare antibodies that bound to rE, we were able to isolate and map human antibodies that strongly neutralized the homologous serotype of DENV. Our MAbs results indicate that, in these two individuals exposed to primary DENV infections, a small fraction of the total antibody response was responsible for virus neutralization. © 2011 de Alwis et al.","author":[{"dropping-particle":"","family":"Alwis","given":"Ruklanthi","non-dropping-particle":"de","parse-names":false,"suffix":""},{"dropping-particle":"","family":"Beltramello","given":"Martina","non-dropping-particle":"","parse-names":false,"suffix":""},{"dropping-particle":"","family":"Messer","given":"William B.","non-dropping-particle":"","parse-names":false,"suffix":""},{"dropping-particle":"","family":"Sukupolvi-Petty","given":"Soila","non-dropping-particle":"","parse-names":false,"suffix":""},{"dropping-particle":"","family":"Wahala","given":"Wahala M.P.B.","non-dropping-particle":"","parse-names":false,"suffix":""},{"dropping-particle":"","family":"Kraus","given":"Annette","non-dropping-particle":"","parse-names":false,"suffix":""},{"dropping-particle":"","family":"Olivarez","given":"Nicholas P.","non-dropping-particle":"","parse-names":false,"suffix":""},{"dropping-particle":"","family":"Pham","given":"Quang","non-dropping-particle":"","parse-names":false,"suffix":""},{"dropping-particle":"","family":"Brian","given":"James","non-dropping-particle":"","parse-names":false,"suffix":""},{"dropping-particle":"","family":"Tsai","given":"Wen Yang","non-dropping-particle":"","parse-names":false,"suffix":""},{"dropping-particle":"","family":"Wang","given":"Wei Kung","non-dropping-particle":"","parse-names":false,"suffix":""},{"dropping-particle":"","family":"Halstead","given":"Scott","non-dropping-particle":"","parse-names":false,"suffix":""},{"dropping-particle":"","family":"Kliks","given":"Srisakul","non-dropping-particle":"","parse-names":false,"suffix":""},{"dropping-particle":"","family":"Diamond","given":"Michael S.","non-dropping-particle":"","parse-names":false,"suffix":""},{"dropping-particle":"","family":"Baric","given":"Ralph","non-dropping-particle":"","parse-names":false,"suffix":""},{"dropping-particle":"","family":"Lanzavecchia","given":"Antonio","non-dropping-particle":"","parse-names":false,"suffix":""},{"dropping-particle":"","family":"Sallusto","given":"Federica","non-dropping-particle":"","parse-names":false,"suffix":""},{"dropping-particle":"","family":"Silva","given":"Aravinda M.","non-dropping-particle":"de","parse-names":false,"suffix":""}],"container-title":"PLoS Neglected Tropical Diseases","id":"ITEM-1","issue":"6","issued":{"date-parts":[["2011"]]},"page":"1-8","title":"In-depth analysis of the antibody response of individuals exposed to primary dengue virus infection","type":"article-journal","volume":"5"},"uris":["http://www.mendeley.com/documents/?uuid=438a6c2c-213a-4c1f-8610-47ea9efb5756"]},{"id":"ITEM-2","itemData":{"DOI":"10.1128/JVI.00871-13","author":[{"dropping-particle":"","family":"Tsai","given":"Wen-yang","non-dropping-particle":"","parse-names":false,"suffix":""},{"dropping-particle":"","family":"Lai","given":"Chih-yun","non-dropping-particle":"","parse-names":false,"suffix":""},{"dropping-particle":"","family":"Wu","given":"Yi-chieh","non-dropping-particle":"","parse-names":false,"suffix":""},{"dropping-particle":"","family":"Lin","given":"Hong-en","non-dropping-particle":"","parse-names":false,"suffix":""},{"dropping-particle":"","family":"Edwards","given":"Carolyn","non-dropping-particle":"","parse-names":false,"suffix":""},{"dropping-particle":"","family":"Jumnainsong","given":"Amonrat","non-dropping-particle":"","parse-names":false,"suffix":""},{"dropping-particle":"","family":"Kliks","given":"Srisakul","non-dropping-particle":"","parse-names":false,"suffix":""},{"dropping-particle":"","family":"Halstead","given":"Scott","non-dropping-particle":"","parse-names":false,"suffix":""},{"dropping-particle":"","family":"Mongkolsapaya","given":"Juthathip","non-dropping-particle":"","parse-names":false,"suffix":""},{"dropping-particle":"","family":"Screaton","given":"Gavin R","non-dropping-particle":"","parse-names":false,"suffix":""},{"dropping-particle":"","family":"Wang","given":"Wei-kung","non-dropping-particle":"","parse-names":false,"suffix":""}],"container-title":"Journal of Virology","id":"ITEM-2","issue":"23","issued":{"date-parts":[["2013"]]},"page":"12562-12575","title":"High-avidity and potently neutralizing cross-reactive human monoclonal antibodies derived from secondary dengue virus infection","type":"article-journal","volume":"87"},"uris":["http://www.mendeley.com/documents/?uuid=78d7b7e8-cf0b-4e4c-bcdb-b1389d275297"]}],"mendeley":{"formattedCitation":"&lt;sup&gt;36,37&lt;/sup&gt;","plainTextFormattedCitation":"36,37","previouslyFormattedCitation":"&lt;sup&gt;36,37&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36,37</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t>
      </w:r>
    </w:p>
    <w:p w14:paraId="3C53C0E2" w14:textId="7595029D" w:rsidR="00CC299A" w:rsidRPr="003A2793" w:rsidRDefault="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The mutations in the ZIKV E were </w:t>
      </w:r>
      <w:r w:rsidRPr="00215014">
        <w:rPr>
          <w:rFonts w:ascii="Arial" w:hAnsi="Arial" w:cs="Arial"/>
          <w:color w:val="000000" w:themeColor="text1"/>
          <w:sz w:val="20"/>
          <w:szCs w:val="20"/>
        </w:rPr>
        <w:t>generated by overlapping PCR with the appropriate pairs of complementary forward (F) and reverse (R) primers (</w:t>
      </w:r>
      <w:r w:rsidRPr="00357AC7">
        <w:rPr>
          <w:rFonts w:ascii="Arial" w:hAnsi="Arial" w:cs="Arial"/>
          <w:color w:val="000000" w:themeColor="text1"/>
          <w:sz w:val="20"/>
          <w:szCs w:val="20"/>
        </w:rPr>
        <w:t xml:space="preserve">Supplementary Table </w:t>
      </w:r>
      <w:r w:rsidR="00716CB1">
        <w:rPr>
          <w:rFonts w:ascii="Arial" w:hAnsi="Arial" w:cs="Arial"/>
          <w:color w:val="000000" w:themeColor="text1"/>
          <w:sz w:val="20"/>
          <w:szCs w:val="20"/>
        </w:rPr>
        <w:t>S</w:t>
      </w:r>
      <w:r w:rsidR="00434A0F" w:rsidRPr="00357AC7">
        <w:rPr>
          <w:rFonts w:ascii="Arial" w:hAnsi="Arial" w:cs="Arial"/>
          <w:color w:val="000000" w:themeColor="text1"/>
          <w:sz w:val="20"/>
          <w:szCs w:val="20"/>
        </w:rPr>
        <w:t>3</w:t>
      </w:r>
      <w:r w:rsidRPr="00357AC7">
        <w:rPr>
          <w:rFonts w:ascii="Arial" w:hAnsi="Arial" w:cs="Arial"/>
          <w:color w:val="000000" w:themeColor="text1"/>
          <w:sz w:val="20"/>
          <w:szCs w:val="20"/>
        </w:rPr>
        <w:t>) according to the manufacturer (</w:t>
      </w:r>
      <w:proofErr w:type="spellStart"/>
      <w:r w:rsidRPr="00357AC7">
        <w:rPr>
          <w:rFonts w:ascii="Arial" w:hAnsi="Arial" w:cs="Arial"/>
          <w:color w:val="000000" w:themeColor="text1"/>
          <w:sz w:val="20"/>
          <w:szCs w:val="20"/>
        </w:rPr>
        <w:t>QuikChange</w:t>
      </w:r>
      <w:proofErr w:type="spellEnd"/>
      <w:r w:rsidRPr="00357AC7">
        <w:rPr>
          <w:rFonts w:ascii="Arial" w:hAnsi="Arial" w:cs="Arial"/>
          <w:color w:val="000000" w:themeColor="text1"/>
          <w:sz w:val="20"/>
          <w:szCs w:val="20"/>
        </w:rPr>
        <w:t xml:space="preserve">™ II site-directed mutagenesis kit, </w:t>
      </w:r>
      <w:proofErr w:type="spellStart"/>
      <w:r w:rsidRPr="00357AC7">
        <w:rPr>
          <w:rFonts w:ascii="Arial" w:hAnsi="Arial" w:cs="Arial"/>
          <w:color w:val="000000" w:themeColor="text1"/>
          <w:sz w:val="20"/>
          <w:szCs w:val="20"/>
        </w:rPr>
        <w:t>Stratagene</w:t>
      </w:r>
      <w:proofErr w:type="spellEnd"/>
      <w:r w:rsidRPr="00357AC7">
        <w:rPr>
          <w:rFonts w:ascii="Arial" w:hAnsi="Arial" w:cs="Arial"/>
          <w:color w:val="000000" w:themeColor="text1"/>
          <w:sz w:val="20"/>
          <w:szCs w:val="20"/>
        </w:rPr>
        <w:t>, La Jolla, CA,</w:t>
      </w:r>
      <w:r w:rsidRPr="003A2793">
        <w:rPr>
          <w:rFonts w:ascii="Arial" w:hAnsi="Arial" w:cs="Arial"/>
          <w:color w:val="000000" w:themeColor="text1"/>
          <w:sz w:val="20"/>
          <w:szCs w:val="20"/>
        </w:rPr>
        <w:t xml:space="preserve"> USA). Briefly, the PCR reaction of 50</w:t>
      </w:r>
      <w:r>
        <w:rPr>
          <w:rFonts w:ascii="Arial" w:hAnsi="Arial" w:cs="Arial"/>
          <w:color w:val="000000" w:themeColor="text1"/>
          <w:sz w:val="20"/>
          <w:szCs w:val="20"/>
        </w:rPr>
        <w:t xml:space="preserve">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contained 200 ng of template, 0.5 </w:t>
      </w:r>
      <w:proofErr w:type="spellStart"/>
      <w:r w:rsidRPr="003A2793">
        <w:rPr>
          <w:rFonts w:ascii="Arial" w:hAnsi="Arial" w:cs="Arial"/>
          <w:color w:val="000000" w:themeColor="text1"/>
          <w:sz w:val="20"/>
          <w:szCs w:val="20"/>
        </w:rPr>
        <w:t>μM</w:t>
      </w:r>
      <w:proofErr w:type="spellEnd"/>
      <w:r w:rsidRPr="003A2793">
        <w:rPr>
          <w:rFonts w:ascii="Arial" w:hAnsi="Arial" w:cs="Arial"/>
          <w:color w:val="000000" w:themeColor="text1"/>
          <w:sz w:val="20"/>
          <w:szCs w:val="20"/>
        </w:rPr>
        <w:t xml:space="preserve"> primer pair, 200 </w:t>
      </w:r>
      <w:proofErr w:type="spellStart"/>
      <w:r w:rsidRPr="003A2793">
        <w:rPr>
          <w:rFonts w:ascii="Arial" w:hAnsi="Arial" w:cs="Arial"/>
          <w:color w:val="000000" w:themeColor="text1"/>
          <w:sz w:val="20"/>
          <w:szCs w:val="20"/>
        </w:rPr>
        <w:t>μM</w:t>
      </w:r>
      <w:proofErr w:type="spellEnd"/>
      <w:r w:rsidRPr="003A2793">
        <w:rPr>
          <w:rFonts w:ascii="Arial" w:hAnsi="Arial" w:cs="Arial"/>
          <w:color w:val="000000" w:themeColor="text1"/>
          <w:sz w:val="20"/>
          <w:szCs w:val="20"/>
        </w:rPr>
        <w:t xml:space="preserve"> dNTPs, and 1 Unit of Pfu Ultra II Fusion HS DNA Polymerase. The PCR cycles were initiated at 95°C for 2 min to denature the template DNA, followed by 18 cycle amplification cycles, with each cycle consisting of 95°C for 30s, T</w:t>
      </w:r>
      <w:r w:rsidRPr="003A2793">
        <w:rPr>
          <w:rFonts w:ascii="Arial" w:hAnsi="Arial" w:cs="Arial"/>
          <w:color w:val="000000" w:themeColor="text1"/>
          <w:sz w:val="20"/>
          <w:szCs w:val="20"/>
          <w:vertAlign w:val="subscript"/>
        </w:rPr>
        <w:t>m no</w:t>
      </w:r>
      <w:r w:rsidRPr="003A2793">
        <w:rPr>
          <w:rFonts w:ascii="Arial" w:hAnsi="Arial" w:cs="Arial"/>
          <w:color w:val="000000" w:themeColor="text1"/>
          <w:sz w:val="20"/>
          <w:szCs w:val="20"/>
        </w:rPr>
        <w:t xml:space="preserve"> -5°C for 30s and 72°C for 8 min. The PCR cycles were finished with an extension step at 72°C for 8 min. All PCR products were treated with 5 Units of </w:t>
      </w:r>
      <w:proofErr w:type="spellStart"/>
      <w:r w:rsidRPr="003A2793">
        <w:rPr>
          <w:rFonts w:ascii="Arial" w:hAnsi="Arial" w:cs="Arial"/>
          <w:i/>
          <w:color w:val="000000" w:themeColor="text1"/>
          <w:sz w:val="20"/>
          <w:szCs w:val="20"/>
        </w:rPr>
        <w:t>Dpn</w:t>
      </w:r>
      <w:r w:rsidRPr="003A2793">
        <w:rPr>
          <w:rFonts w:ascii="Arial" w:hAnsi="Arial" w:cs="Arial"/>
          <w:color w:val="000000" w:themeColor="text1"/>
          <w:sz w:val="20"/>
          <w:szCs w:val="20"/>
        </w:rPr>
        <w:t>I</w:t>
      </w:r>
      <w:proofErr w:type="spellEnd"/>
      <w:r w:rsidRPr="003A2793">
        <w:rPr>
          <w:rFonts w:ascii="Arial" w:hAnsi="Arial" w:cs="Arial"/>
          <w:color w:val="000000" w:themeColor="text1"/>
          <w:sz w:val="20"/>
          <w:szCs w:val="20"/>
        </w:rPr>
        <w:t xml:space="preserve"> at 37°C for 2 h, followed by visualization on agarose gel electrophoresis. An aliquot of the PCR products was transformed into </w:t>
      </w:r>
      <w:r w:rsidRPr="003A2793">
        <w:rPr>
          <w:rFonts w:ascii="Arial" w:hAnsi="Arial" w:cs="Arial"/>
          <w:i/>
          <w:color w:val="000000" w:themeColor="text1"/>
          <w:sz w:val="20"/>
          <w:szCs w:val="20"/>
        </w:rPr>
        <w:t>E. coli</w:t>
      </w:r>
      <w:r w:rsidRPr="003A2793">
        <w:rPr>
          <w:rFonts w:ascii="Arial" w:hAnsi="Arial" w:cs="Arial"/>
          <w:color w:val="000000" w:themeColor="text1"/>
          <w:sz w:val="20"/>
          <w:szCs w:val="20"/>
        </w:rPr>
        <w:t xml:space="preserve"> competent cells using the standard transformation protocol. The transformed cells were spread on a Luria-Bertani (LB) plate containing 50</w:t>
      </w:r>
      <w:r>
        <w:rPr>
          <w:rFonts w:ascii="Arial" w:hAnsi="Arial" w:cs="Arial"/>
          <w:color w:val="000000" w:themeColor="text1"/>
          <w:sz w:val="20"/>
          <w:szCs w:val="20"/>
        </w:rPr>
        <w:t xml:space="preserve"> </w:t>
      </w:r>
      <w:proofErr w:type="spellStart"/>
      <w:r w:rsidRPr="00264623">
        <w:rPr>
          <w:rFonts w:ascii="Arial" w:hAnsi="Arial" w:cs="Arial"/>
          <w:bCs/>
          <w:color w:val="000000" w:themeColor="text1"/>
          <w:sz w:val="20"/>
          <w:szCs w:val="20"/>
        </w:rPr>
        <w:t>μ</w:t>
      </w:r>
      <w:r w:rsidRPr="003A2793">
        <w:rPr>
          <w:rFonts w:ascii="Arial" w:hAnsi="Arial" w:cs="Arial"/>
          <w:color w:val="000000" w:themeColor="text1"/>
          <w:sz w:val="20"/>
          <w:szCs w:val="20"/>
        </w:rPr>
        <w:t>g</w:t>
      </w:r>
      <w:proofErr w:type="spellEnd"/>
      <w:r w:rsidRPr="003A2793">
        <w:rPr>
          <w:rFonts w:ascii="Arial" w:hAnsi="Arial" w:cs="Arial"/>
          <w:color w:val="000000" w:themeColor="text1"/>
          <w:sz w:val="20"/>
          <w:szCs w:val="20"/>
        </w:rPr>
        <w:t>/mL of Ampicillin (</w:t>
      </w:r>
      <w:proofErr w:type="spellStart"/>
      <w:r w:rsidRPr="003A2793">
        <w:rPr>
          <w:rFonts w:ascii="Arial" w:hAnsi="Arial" w:cs="Arial"/>
          <w:color w:val="000000" w:themeColor="text1"/>
          <w:sz w:val="20"/>
          <w:szCs w:val="20"/>
        </w:rPr>
        <w:t>Cyrusbioscience</w:t>
      </w:r>
      <w:proofErr w:type="spellEnd"/>
      <w:r w:rsidRPr="003A2793">
        <w:rPr>
          <w:rFonts w:ascii="Arial" w:hAnsi="Arial" w:cs="Arial"/>
          <w:color w:val="000000" w:themeColor="text1"/>
          <w:sz w:val="20"/>
          <w:szCs w:val="20"/>
        </w:rPr>
        <w:t xml:space="preserve"> Inc., New Taipei, TW), incubated overnight at 37°C, and isolated for plasmid DNA. All desired mutations were </w:t>
      </w:r>
      <w:r w:rsidRPr="003A2793">
        <w:rPr>
          <w:rFonts w:ascii="Arial" w:hAnsi="Arial" w:cs="Arial"/>
          <w:color w:val="000000" w:themeColor="text1"/>
          <w:sz w:val="20"/>
          <w:szCs w:val="20"/>
        </w:rPr>
        <w:lastRenderedPageBreak/>
        <w:t>confirmed by DNA</w:t>
      </w:r>
      <w:r w:rsidR="00434A0F">
        <w:rPr>
          <w:rFonts w:ascii="Arial" w:hAnsi="Arial" w:cs="Arial"/>
          <w:color w:val="000000" w:themeColor="text1"/>
          <w:sz w:val="20"/>
          <w:szCs w:val="20"/>
        </w:rPr>
        <w:t xml:space="preserve"> Sanger</w:t>
      </w:r>
      <w:r w:rsidRPr="003A2793">
        <w:rPr>
          <w:rFonts w:ascii="Arial" w:hAnsi="Arial" w:cs="Arial"/>
          <w:color w:val="000000" w:themeColor="text1"/>
          <w:sz w:val="20"/>
          <w:szCs w:val="20"/>
        </w:rPr>
        <w:t xml:space="preserve"> sequencing. The resulting pCDNA3-ZIKV plasmids expressing the full-length envelope protein with single-site mutations, R73A, T76A, D87A, N103A, R193A, T231A, G302A, and T366A were named after the mutation. Following transient expression on HEK293T, the wild-type and mutant ZIKV VLP-expressing cell culture supernatant were collected, titrated for concentrations, and used for binding </w:t>
      </w:r>
      <w:r w:rsidR="00434A0F">
        <w:rPr>
          <w:rFonts w:ascii="Arial" w:hAnsi="Arial" w:cs="Arial"/>
          <w:color w:val="000000" w:themeColor="text1"/>
          <w:sz w:val="20"/>
          <w:szCs w:val="20"/>
        </w:rPr>
        <w:t>IgG-</w:t>
      </w:r>
      <w:r w:rsidRPr="003A2793">
        <w:rPr>
          <w:rFonts w:ascii="Arial" w:hAnsi="Arial" w:cs="Arial"/>
          <w:color w:val="000000" w:themeColor="text1"/>
          <w:sz w:val="20"/>
          <w:szCs w:val="20"/>
        </w:rPr>
        <w:t xml:space="preserve">ELISAs described above. Most mutant ZIKV VLPs were expressed at 60~100% efficiency except for ZIKV VLP N103A, which only showed 2% VLP expression (Extended Data Fig. </w:t>
      </w:r>
      <w:r w:rsidR="00716CB1">
        <w:rPr>
          <w:rFonts w:ascii="Arial" w:hAnsi="Arial" w:cs="Arial"/>
          <w:color w:val="000000" w:themeColor="text1"/>
          <w:sz w:val="20"/>
          <w:szCs w:val="20"/>
        </w:rPr>
        <w:t>5</w:t>
      </w:r>
      <w:bookmarkStart w:id="9" w:name="_GoBack"/>
      <w:bookmarkEnd w:id="9"/>
      <w:r w:rsidRPr="003A2793">
        <w:rPr>
          <w:rFonts w:ascii="Arial" w:hAnsi="Arial" w:cs="Arial"/>
          <w:color w:val="000000" w:themeColor="text1"/>
          <w:sz w:val="20"/>
          <w:szCs w:val="20"/>
        </w:rPr>
        <w:t>c), indicative of a disrupted VLP formation; hence, its exclusion in binding ELISA and further analyses.</w:t>
      </w:r>
    </w:p>
    <w:p w14:paraId="741B71DE" w14:textId="77777777" w:rsidR="00CC299A" w:rsidRPr="003A2793" w:rsidRDefault="00CC299A" w:rsidP="00CC299A">
      <w:pPr>
        <w:autoSpaceDE w:val="0"/>
        <w:autoSpaceDN w:val="0"/>
        <w:adjustRightInd w:val="0"/>
        <w:spacing w:line="480" w:lineRule="auto"/>
        <w:jc w:val="both"/>
        <w:rPr>
          <w:rFonts w:ascii="Arial" w:hAnsi="Arial" w:cs="Arial"/>
          <w:b/>
          <w:color w:val="000000" w:themeColor="text1"/>
          <w:sz w:val="20"/>
          <w:szCs w:val="20"/>
          <w:highlight w:val="yellow"/>
        </w:rPr>
      </w:pPr>
    </w:p>
    <w:p w14:paraId="5BEC54B2" w14:textId="77777777" w:rsidR="00CC299A" w:rsidRPr="003A2793" w:rsidRDefault="00CC299A" w:rsidP="00CC299A">
      <w:pPr>
        <w:autoSpaceDE w:val="0"/>
        <w:autoSpaceDN w:val="0"/>
        <w:adjustRightInd w:val="0"/>
        <w:spacing w:line="480" w:lineRule="auto"/>
        <w:jc w:val="both"/>
        <w:rPr>
          <w:rFonts w:ascii="Arial" w:hAnsi="Arial" w:cs="Arial"/>
          <w:bCs/>
          <w:color w:val="000000" w:themeColor="text1"/>
          <w:sz w:val="20"/>
          <w:szCs w:val="20"/>
        </w:rPr>
      </w:pPr>
      <w:r w:rsidRPr="003A2793">
        <w:rPr>
          <w:rFonts w:ascii="Arial" w:hAnsi="Arial" w:cs="Arial"/>
          <w:b/>
          <w:color w:val="000000" w:themeColor="text1"/>
          <w:sz w:val="20"/>
          <w:szCs w:val="20"/>
        </w:rPr>
        <w:t>Solvent Accessibility estimation of E protein in the VLP structure</w:t>
      </w:r>
    </w:p>
    <w:p w14:paraId="147A2508" w14:textId="660E072D" w:rsidR="00CC299A" w:rsidRDefault="00CC299A" w:rsidP="00CC299A">
      <w:pPr>
        <w:autoSpaceDE w:val="0"/>
        <w:autoSpaceDN w:val="0"/>
        <w:adjustRightInd w:val="0"/>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We used </w:t>
      </w:r>
      <w:proofErr w:type="spellStart"/>
      <w:r w:rsidRPr="003A2793">
        <w:rPr>
          <w:rFonts w:ascii="Arial" w:hAnsi="Arial" w:cs="Arial"/>
          <w:color w:val="000000" w:themeColor="text1"/>
          <w:sz w:val="20"/>
          <w:szCs w:val="20"/>
        </w:rPr>
        <w:t>EasyModeller</w:t>
      </w:r>
      <w:proofErr w:type="spellEnd"/>
      <w:r w:rsidRPr="003A2793">
        <w:rPr>
          <w:rFonts w:ascii="Arial" w:hAnsi="Arial" w:cs="Arial"/>
          <w:color w:val="000000" w:themeColor="text1"/>
          <w:sz w:val="20"/>
          <w:szCs w:val="20"/>
        </w:rPr>
        <w:t xml:space="preserve"> to align the E protein sequences from DENV-1, DENV-3, DENV-4, ZIKV, and JEV onto the DENV-2 E protein structure in the previously published mD2VLP structure</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{"citationItems":[{"id":"ITEM-1","itemData":{"DOI":"10.7554/eLife.38970","ISSN":"2050084X","PMID":"30334522","abstract":"Dengue fever is caused by four different serotypes of dengue virus (DENV) which is the leading cause of worldwide arboviral diseases in humans. Virus-like particles (VLPs) containing flavivirus prM/E proteins have been demonstrated to be a potential vaccine candidate; however, the structure of dengue VLP is poorly understood. Herein VLP derived from DENV serotype-2 were engineered becoming highly matured (mD2VLP) and showed variable size distribution with diameter of ~31 nm forming the major population under cryo-electron microscopy examination. Furthermore, mD2VLP particles of 31 nm diameter possess a T = 1 icosahedral symmetry with a groove located within the E-protein dimers near the 2-fold vertices that exposed highly overlapping, cryptic neutralizing epitopes. Mice vaccinated with mD2VLP generated higher cross-reactive (CR) neutralization antibodies (NtAbs) and were fully protected against all 4 serotypes of DENV. Our results highlight the potential of ‘epitope-resurfaced’ mature-form D2VLPs in inducing quaternary structure-recognizing broad CR NtAbs to guide future dengue vaccine design.","author":[{"dropping-particle":"","family":"Shen","given":"Wen Fan","non-dropping-particle":"","parse-names":false,"suffix":""},{"dropping-particle":"","family":"Galula","given":"Jedhan Ucat","non-dropping-particle":"","parse-names":false,"suffix":""},{"dropping-particle":"","family":"Liu","given":"Jyung Hurng","non-dropping-particle":"","parse-names":false,"suffix":""},{"dropping-particle":"","family":"Liao","given":"Mei Ying","non-dropping-particle":"","parse-names":false,"suffix":""},{"dropping-particle":"","family":"Huang","given":"Cheng Hao","non-dropping-particle":"","parse-names":false,"suffix":""},{"dropping-particle":"","family":"Wang","given":"Yu Chun","non-dropping-particle":"","parse-names":false,"suffix":""},{"dropping-particle":"","family":"Wu","given":"Han Chung","non-dropping-particle":"","parse-names":false,"suffix":""},{"dropping-particle":"","family":"Liang","given":"Jian Jong","non-dropping-particle":"","parse-names":false,"suffix":""},{"dropping-particle":"","family":"Lin","given":"Yi Ling","non-dropping-particle":"","parse-names":false,"suffix":""},{"dropping-particle":"","family":"Whitney","given":"Matthew T.","non-dropping-particle":"","parse-names":false,"suffix":""},{"dropping-particle":"","family":"Chang","given":"Gwong Jen J.","non-dropping-particle":"","parse-names":false,"suffix":""},{"dropping-particle":"","family":"Chen","given":"Sheng Ren","non-dropping-particle":"","parse-names":false,"suffix":""},{"dropping-particle":"","family":"Wu","given":"Shang Rung","non-dropping-particle":"","parse-names":false,"suffix":""},{"dropping-particle":"","family":"Chao","given":"Day Yu","non-dropping-particle":"","parse-names":false,"suffix":""}],"container-title":"eLife","id":"ITEM-1","issued":{"date-parts":[["2018"]]},"page":"1-24","title":"Epitope resurfacing on dengue virus-like particle vaccine preparation to induce broad neutralizing antibody","type":"article-journal","volume":"7"},"uris":["http://www.mendeley.com/documents/?uuid=8b153c32-3a17-42bb-a1b6-9279f37d1267"]}],"mendeley":{"formattedCitation":"&lt;sup&gt;8&lt;/sup&gt;","plainTextFormattedCitation":"8","previouslyFormattedCitation":"&lt;sup&gt;8&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8</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t>
      </w:r>
      <w:r w:rsidRPr="003A2793">
        <w:rPr>
          <w:rFonts w:ascii="Arial" w:hAnsi="Arial" w:cs="Arial"/>
          <w:bCs/>
          <w:color w:val="000000" w:themeColor="text1"/>
          <w:sz w:val="20"/>
          <w:szCs w:val="20"/>
        </w:rPr>
        <w:t>After generating the monomeric E protein structure using MODELLER</w:t>
      </w:r>
      <w:r w:rsidRPr="003A2793">
        <w:rPr>
          <w:rFonts w:ascii="Arial" w:hAnsi="Arial" w:cs="Arial"/>
          <w:bCs/>
          <w:color w:val="000000" w:themeColor="text1"/>
          <w:sz w:val="20"/>
          <w:szCs w:val="20"/>
        </w:rPr>
        <w:fldChar w:fldCharType="begin" w:fldLock="1"/>
      </w:r>
      <w:r w:rsidR="00C937AB">
        <w:rPr>
          <w:rFonts w:ascii="Arial" w:hAnsi="Arial" w:cs="Arial"/>
          <w:bCs/>
          <w:color w:val="000000" w:themeColor="text1"/>
          <w:sz w:val="20"/>
          <w:szCs w:val="20"/>
        </w:rPr>
        <w:instrText>ADDIN CSL_CITATION {"citationItems":[{"id":"ITEM-1","itemData":{"DOI":"10.1002/0471140864.ps0209s50","ISBN":"0471140864","ISSN":"1934-3655","PMID":"18429317","abstract":"Functional characterization of a protein sequence is one of the most frequent problems in biology. This task is usually facilitated by accurate three-dimensional (3-D) structure of the studied protein. In the absence of an experimentally determined structure, comparative or homology modeling can sometimes provide a useful 3-D model for a protein that is related to at least one known protein structure. Comparative modeling predicts the 3-D structure of a given protein sequence (target) based primarily on its alignment to one or more proteins of known structure (templates). The prediction process consists of fold assignment, target-template alignment, model building, and model evaluation. This unit describes how to calculate comparative models using the program MODELLER and discusses all four steps of comparative modeling, frequently observed errors, and some applications. Modeling lactate dehydrogenase from Trichomonas vaginalis (TvLDH) is described as an example. The download and installation of the MODELLER software is also described.","author":[{"dropping-particle":"","family":"Eswar","given":"Narayanan","non-dropping-particle":"","parse-names":false,"suffix":""},{"dropping-particle":"","family":"Webb","given":"Ben","non-dropping-particle":"","parse-names":false,"suffix":""},{"dropping-particle":"","family":"Marti</w:instrText>
      </w:r>
      <w:r w:rsidR="00C937AB">
        <w:rPr>
          <w:rFonts w:ascii="Cambria Math" w:hAnsi="Cambria Math" w:cs="Cambria Math"/>
          <w:bCs/>
          <w:color w:val="000000" w:themeColor="text1"/>
          <w:sz w:val="20"/>
          <w:szCs w:val="20"/>
        </w:rPr>
        <w:instrText>‐</w:instrText>
      </w:r>
      <w:r w:rsidR="00C937AB">
        <w:rPr>
          <w:rFonts w:ascii="Arial" w:hAnsi="Arial" w:cs="Arial"/>
          <w:bCs/>
          <w:color w:val="000000" w:themeColor="text1"/>
          <w:sz w:val="20"/>
          <w:szCs w:val="20"/>
        </w:rPr>
        <w:instrText>Renom","given":"Marc A.","non-dropping-particle":"","parse-names":false,"suffix":""},{"dropping-particle":"","family":"Madhusudhan","given":"M.S.","non-dropping-particle":"","parse-names":false,"suffix":""},{"dropping-particle":"","family":"Eramian","given":"David","non-dropping-particle":"","parse-names":false,"suffix":""},{"dropping-particle":"","family":"Shen","given":"Min</w:instrText>
      </w:r>
      <w:r w:rsidR="00C937AB">
        <w:rPr>
          <w:rFonts w:ascii="Cambria Math" w:hAnsi="Cambria Math" w:cs="Cambria Math"/>
          <w:bCs/>
          <w:color w:val="000000" w:themeColor="text1"/>
          <w:sz w:val="20"/>
          <w:szCs w:val="20"/>
        </w:rPr>
        <w:instrText>‐</w:instrText>
      </w:r>
      <w:r w:rsidR="00C937AB">
        <w:rPr>
          <w:rFonts w:ascii="Arial" w:hAnsi="Arial" w:cs="Arial"/>
          <w:bCs/>
          <w:color w:val="000000" w:themeColor="text1"/>
          <w:sz w:val="20"/>
          <w:szCs w:val="20"/>
        </w:rPr>
        <w:instrText>yi","non-dropping-particle":"","parse-names":false,"suffix":""},{"dropping-particle":"","family":"Pieper","given":"Ursula","non-dropping-particle":"","parse-names":false,"suffix":""},{"dropping-particle":"","family":"Sali","given":"Andrej","non-dropping-particle":"","parse-names":false,"suffix":""}],"container-title":"Current Protocols in Protein Science","id":"ITEM-1","issue":"1","issued":{"date-parts":[["2007"]]},"number-of-pages":"1-31","title":"Comparative Protein Structure Modeling Using MODELLER","type":"book","volume":"50"},"uris":["http://www.mendeley.com/documents/?uuid=e322fd3b-b0dd-424c-b86a-f9115efba48e"]}],"mendeley":{"formattedCitation":"&lt;sup&gt;25&lt;/sup&gt;","plainTextFormattedCitation":"25","previouslyFormattedCitation":"&lt;sup&gt;25&lt;/sup&gt;"},"properties":{"noteIndex":0},"schema":"https://github.com/citation-style-language/schema/raw/master/csl-citation.json"}</w:instrText>
      </w:r>
      <w:r w:rsidRPr="003A2793">
        <w:rPr>
          <w:rFonts w:ascii="Arial" w:hAnsi="Arial" w:cs="Arial"/>
          <w:bCs/>
          <w:color w:val="000000" w:themeColor="text1"/>
          <w:sz w:val="20"/>
          <w:szCs w:val="20"/>
        </w:rPr>
        <w:fldChar w:fldCharType="separate"/>
      </w:r>
      <w:r w:rsidR="00420BD1" w:rsidRPr="00420BD1">
        <w:rPr>
          <w:rFonts w:ascii="Arial" w:hAnsi="Arial" w:cs="Arial"/>
          <w:bCs/>
          <w:noProof/>
          <w:color w:val="000000" w:themeColor="text1"/>
          <w:sz w:val="20"/>
          <w:szCs w:val="20"/>
          <w:vertAlign w:val="superscript"/>
        </w:rPr>
        <w:t>25</w:t>
      </w:r>
      <w:r w:rsidRPr="003A2793">
        <w:rPr>
          <w:rFonts w:ascii="Arial" w:hAnsi="Arial" w:cs="Arial"/>
          <w:bCs/>
          <w:color w:val="000000" w:themeColor="text1"/>
          <w:sz w:val="20"/>
          <w:szCs w:val="20"/>
        </w:rPr>
        <w:fldChar w:fldCharType="end"/>
      </w:r>
      <w:r w:rsidRPr="003A2793">
        <w:rPr>
          <w:rFonts w:ascii="Arial" w:hAnsi="Arial" w:cs="Arial"/>
          <w:bCs/>
          <w:color w:val="000000" w:themeColor="text1"/>
          <w:sz w:val="20"/>
          <w:szCs w:val="20"/>
        </w:rPr>
        <w:t xml:space="preserve">, </w:t>
      </w:r>
      <w:r w:rsidRPr="003A2793">
        <w:rPr>
          <w:rFonts w:ascii="Arial" w:hAnsi="Arial" w:cs="Arial"/>
          <w:color w:val="000000" w:themeColor="text1"/>
          <w:sz w:val="20"/>
          <w:szCs w:val="20"/>
        </w:rPr>
        <w:t xml:space="preserve">we used an in-house generated </w:t>
      </w:r>
      <w:proofErr w:type="spellStart"/>
      <w:r w:rsidRPr="003A2793">
        <w:rPr>
          <w:rFonts w:ascii="Arial" w:hAnsi="Arial" w:cs="Arial"/>
          <w:color w:val="000000" w:themeColor="text1"/>
          <w:sz w:val="20"/>
          <w:szCs w:val="20"/>
        </w:rPr>
        <w:t>PyMOL</w:t>
      </w:r>
      <w:proofErr w:type="spellEnd"/>
      <w:r w:rsidRPr="003A2793">
        <w:rPr>
          <w:rFonts w:ascii="Arial" w:hAnsi="Arial" w:cs="Arial"/>
          <w:color w:val="000000" w:themeColor="text1"/>
          <w:sz w:val="20"/>
          <w:szCs w:val="20"/>
        </w:rPr>
        <w:t xml:space="preserve"> script to transfer the T=1 symmetry of </w:t>
      </w:r>
      <w:r w:rsidRPr="003A2793">
        <w:rPr>
          <w:rFonts w:ascii="Arial" w:hAnsi="Arial" w:cs="Arial"/>
          <w:bCs/>
          <w:color w:val="000000" w:themeColor="text1"/>
          <w:sz w:val="20"/>
          <w:szCs w:val="20"/>
        </w:rPr>
        <w:t>mD2VLP to the E protein, and generated the VLP structures of the five viruses. The derived VLP structures were subjected to calculate the solvent accessibility (%SASA, the fractional solvent accessible surface area of the amino acid residue) using POPS</w:t>
      </w:r>
      <w:r w:rsidRPr="003A2793">
        <w:rPr>
          <w:rFonts w:ascii="Arial" w:hAnsi="Arial" w:cs="Arial"/>
          <w:bCs/>
          <w:color w:val="000000" w:themeColor="text1"/>
          <w:sz w:val="20"/>
          <w:szCs w:val="20"/>
        </w:rPr>
        <w:fldChar w:fldCharType="begin" w:fldLock="1"/>
      </w:r>
      <w:r w:rsidR="00C937AB">
        <w:rPr>
          <w:rFonts w:ascii="Arial" w:hAnsi="Arial" w:cs="Arial"/>
          <w:bCs/>
          <w:color w:val="000000" w:themeColor="text1"/>
          <w:sz w:val="20"/>
          <w:szCs w:val="20"/>
        </w:rPr>
        <w:instrText>ADDIN CSL_CITATION {"citationItems":[{"id":"ITEM-1","itemData":{"DOI":"10.1093/nar/gkg601","ISSN":"03051048","PMID":"12824328","abstract":"POPS (Parameter OPtimsed Surfaces) is a new method to calculate solvent accessible surface areas, which is based on an empirically parameterisable analytical formula and fast to compute. Atomic and residue areas (the latter represented by a single sphere centered on the Cα atom of amino acids and at the P atom of nucleotides) have been optimised versus accurate all-atom methods. The parameterisation has been derived from a selected dataset of proteins and nucleic acids of different sizes and topologies. The residue based approach POPS-R, has been devised as a useful tool for the analysis of large macromolecular assemblies like the ribosome and it is specially suited for the refinement of low resolution structures. POPS-R also allows for estimates of the loss of free energy of solvation upon complex formation, which should be particularly useful for the design of new protein - protein and protein - nucleic acid complexes. The program POPS is available at http://mathbio.nimr.mrc.ac.uk/~ffranca/ POPS and at the mirror site http://www.cs.vu.nl/~ibivu/programs/popswww.","author":[{"dropping-particle":"","family":"Cavallo","given":"Luigi","non-dropping-particle":"","parse-names":false,"suffix":""},{"dropping-particle":"","family":"Kleinjung","given":"Jens","non-dropping-particle":"","parse-names":false,"suffix":""},{"dropping-particle":"","family":"Fraternali","given":"Franca","non-dropping-particle":"","parse-names":false,"suffix":""}],"container-title":"Nucleic Acids Research","id":"ITEM-1","issue":"13","issued":{"date-parts":[["2003"]]},"page":"3364-3366","title":"POPS: A fast algorithm for solvent accessible surface areas at atomic and residue level","type":"article-journal","volume":"31"},"uris":["http://www.mendeley.com/documents/?uuid=89751757-6ca3-4271-a42b-aba50811ca30"]}],"mendeley":{"formattedCitation":"&lt;sup&gt;38&lt;/sup&gt;","plainTextFormattedCitation":"38","previouslyFormattedCitation":"&lt;sup&gt;38&lt;/sup&gt;"},"properties":{"noteIndex":0},"schema":"https://github.com/citation-style-language/schema/raw/master/csl-citation.json"}</w:instrText>
      </w:r>
      <w:r w:rsidRPr="003A2793">
        <w:rPr>
          <w:rFonts w:ascii="Arial" w:hAnsi="Arial" w:cs="Arial"/>
          <w:bCs/>
          <w:color w:val="000000" w:themeColor="text1"/>
          <w:sz w:val="20"/>
          <w:szCs w:val="20"/>
        </w:rPr>
        <w:fldChar w:fldCharType="separate"/>
      </w:r>
      <w:r w:rsidR="00420BD1" w:rsidRPr="00420BD1">
        <w:rPr>
          <w:rFonts w:ascii="Arial" w:hAnsi="Arial" w:cs="Arial"/>
          <w:bCs/>
          <w:noProof/>
          <w:color w:val="000000" w:themeColor="text1"/>
          <w:sz w:val="20"/>
          <w:szCs w:val="20"/>
          <w:vertAlign w:val="superscript"/>
        </w:rPr>
        <w:t>38</w:t>
      </w:r>
      <w:r w:rsidRPr="003A2793">
        <w:rPr>
          <w:rFonts w:ascii="Arial" w:hAnsi="Arial" w:cs="Arial"/>
          <w:bCs/>
          <w:color w:val="000000" w:themeColor="text1"/>
          <w:sz w:val="20"/>
          <w:szCs w:val="20"/>
        </w:rPr>
        <w:fldChar w:fldCharType="end"/>
      </w:r>
      <w:r w:rsidRPr="003A2793">
        <w:rPr>
          <w:rFonts w:ascii="Arial" w:hAnsi="Arial" w:cs="Arial"/>
          <w:bCs/>
          <w:color w:val="000000" w:themeColor="text1"/>
          <w:sz w:val="20"/>
          <w:szCs w:val="20"/>
        </w:rPr>
        <w:t xml:space="preserve">.  </w:t>
      </w:r>
      <w:r w:rsidRPr="003A2793">
        <w:rPr>
          <w:rFonts w:ascii="Arial" w:hAnsi="Arial" w:cs="Arial"/>
          <w:color w:val="000000" w:themeColor="text1"/>
          <w:sz w:val="20"/>
          <w:szCs w:val="20"/>
        </w:rPr>
        <w:t xml:space="preserve"> </w:t>
      </w:r>
    </w:p>
    <w:p w14:paraId="2CEB5AC1" w14:textId="77777777" w:rsidR="00CC299A" w:rsidRDefault="00CC299A" w:rsidP="00CC299A">
      <w:pPr>
        <w:autoSpaceDE w:val="0"/>
        <w:autoSpaceDN w:val="0"/>
        <w:adjustRightInd w:val="0"/>
        <w:spacing w:line="480" w:lineRule="auto"/>
        <w:jc w:val="both"/>
        <w:rPr>
          <w:rFonts w:ascii="Arial" w:hAnsi="Arial" w:cs="Arial"/>
          <w:color w:val="000000" w:themeColor="text1"/>
          <w:sz w:val="20"/>
          <w:szCs w:val="20"/>
        </w:rPr>
      </w:pPr>
    </w:p>
    <w:p w14:paraId="5C057674" w14:textId="77777777" w:rsidR="00CC299A" w:rsidRPr="003A2793"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 xml:space="preserve">Sequence analysis of flavivirus E proteins </w:t>
      </w:r>
    </w:p>
    <w:p w14:paraId="589E1FE6" w14:textId="77777777" w:rsidR="00CC299A" w:rsidRPr="003A2793"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lastRenderedPageBreak/>
        <w:t xml:space="preserve">Flavivirus E protein sequence alignments were performed using </w:t>
      </w:r>
      <w:proofErr w:type="spellStart"/>
      <w:r w:rsidRPr="003A2793">
        <w:rPr>
          <w:rFonts w:ascii="Arial" w:hAnsi="Arial" w:cs="Arial"/>
          <w:color w:val="000000" w:themeColor="text1"/>
          <w:sz w:val="20"/>
          <w:szCs w:val="20"/>
        </w:rPr>
        <w:t>Clustal</w:t>
      </w:r>
      <w:proofErr w:type="spellEnd"/>
      <w:r w:rsidRPr="003A2793">
        <w:rPr>
          <w:rFonts w:ascii="Arial" w:hAnsi="Arial" w:cs="Arial"/>
          <w:color w:val="000000" w:themeColor="text1"/>
          <w:sz w:val="20"/>
          <w:szCs w:val="20"/>
        </w:rPr>
        <w:t xml:space="preserve"> Omega software with the representative prototype strains and the GenBank accession numbers as follows: dengue virus serotype 1, DENV-1 Hawaii (KM204119), DENV-2 16681 (KU725663), DENV-3 (KU050695), DENV-4 BC 71/94 (MW945661), JEV CJN-S1 (AY303793), ZIKV PRVABC59 (MK713748), and ZIKV MR766 (NC_012532). </w:t>
      </w:r>
    </w:p>
    <w:p w14:paraId="453A99A4" w14:textId="77777777" w:rsidR="00CC299A" w:rsidRPr="00E26D05" w:rsidRDefault="00CC299A" w:rsidP="00CC299A">
      <w:pPr>
        <w:autoSpaceDE w:val="0"/>
        <w:autoSpaceDN w:val="0"/>
        <w:adjustRightInd w:val="0"/>
        <w:spacing w:line="480" w:lineRule="auto"/>
        <w:jc w:val="both"/>
        <w:rPr>
          <w:rFonts w:ascii="Arial" w:hAnsi="Arial" w:cs="Arial"/>
          <w:color w:val="000000" w:themeColor="text1"/>
          <w:sz w:val="20"/>
          <w:szCs w:val="20"/>
        </w:rPr>
      </w:pPr>
    </w:p>
    <w:p w14:paraId="7424EF4F" w14:textId="77777777" w:rsidR="00CC299A" w:rsidRPr="003A2793"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Mouse</w:t>
      </w:r>
      <w:r w:rsidRPr="003A2793">
        <w:rPr>
          <w:rFonts w:ascii="Arial" w:hAnsi="Arial" w:cs="Arial"/>
          <w:b/>
          <w:i/>
          <w:color w:val="000000" w:themeColor="text1"/>
          <w:sz w:val="20"/>
          <w:szCs w:val="20"/>
        </w:rPr>
        <w:t xml:space="preserve"> </w:t>
      </w:r>
      <w:r w:rsidRPr="003A2793">
        <w:rPr>
          <w:rFonts w:ascii="Arial" w:hAnsi="Arial" w:cs="Arial"/>
          <w:b/>
          <w:color w:val="000000" w:themeColor="text1"/>
          <w:sz w:val="20"/>
          <w:szCs w:val="20"/>
        </w:rPr>
        <w:t xml:space="preserve">experiments </w:t>
      </w:r>
    </w:p>
    <w:p w14:paraId="47FD9585" w14:textId="273B6198" w:rsidR="00CC299A" w:rsidRPr="003A2793"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BALB/c mice were used in all experiments. This study was carried out in compliance with the guidelines for the care and use of laboratory animals of the National Laboratory Animal Center, Taiwan. All animal-use and care procedures were reviewed and approved by the Institutional Animal Care and Use Committee (IACUC) of the National Chung </w:t>
      </w:r>
      <w:proofErr w:type="spellStart"/>
      <w:r w:rsidRPr="003A2793">
        <w:rPr>
          <w:rFonts w:ascii="Arial" w:hAnsi="Arial" w:cs="Arial"/>
          <w:color w:val="000000" w:themeColor="text1"/>
          <w:sz w:val="20"/>
          <w:szCs w:val="20"/>
        </w:rPr>
        <w:t>Hsing</w:t>
      </w:r>
      <w:proofErr w:type="spellEnd"/>
      <w:r w:rsidRPr="003A2793">
        <w:rPr>
          <w:rFonts w:ascii="Arial" w:hAnsi="Arial" w:cs="Arial"/>
          <w:color w:val="000000" w:themeColor="text1"/>
          <w:sz w:val="20"/>
          <w:szCs w:val="20"/>
        </w:rPr>
        <w:t xml:space="preserve"> University (Approval Number: 1</w:t>
      </w:r>
      <w:r w:rsidR="00E000CA">
        <w:rPr>
          <w:rFonts w:ascii="Arial" w:hAnsi="Arial" w:cs="Arial"/>
          <w:color w:val="000000" w:themeColor="text1"/>
          <w:sz w:val="20"/>
          <w:szCs w:val="20"/>
        </w:rPr>
        <w:t>06-101R2</w:t>
      </w:r>
      <w:r w:rsidRPr="003A2793">
        <w:rPr>
          <w:rFonts w:ascii="Arial" w:hAnsi="Arial" w:cs="Arial"/>
          <w:color w:val="000000" w:themeColor="text1"/>
          <w:sz w:val="20"/>
          <w:szCs w:val="20"/>
        </w:rPr>
        <w:t xml:space="preserve">). All efforts were made to minimize the suffering of the mice. The immunization schedule using different VLP prime-boost strategies is shown in Figure 4a. Groups of five 3-week-old mice were immunized intramuscularly with 4 µg of each purified JEV and/or DENV-2 VLP in 100 µL of 1x PBS (50 µL in each thigh) at 0 and 28 days. Mice were bled retro-orbitally at 84 days post-vaccination, and individual serum specimens were evaluated for flavivirus neutralization activity as described above. </w:t>
      </w:r>
    </w:p>
    <w:p w14:paraId="665DF7D7" w14:textId="77777777" w:rsidR="00CC299A" w:rsidRPr="003A2793" w:rsidRDefault="00CC299A" w:rsidP="00CC299A">
      <w:pPr>
        <w:spacing w:line="480" w:lineRule="auto"/>
        <w:jc w:val="both"/>
        <w:rPr>
          <w:rFonts w:ascii="Arial" w:hAnsi="Arial" w:cs="Arial"/>
          <w:b/>
          <w:color w:val="000000" w:themeColor="text1"/>
          <w:sz w:val="20"/>
          <w:szCs w:val="20"/>
        </w:rPr>
      </w:pPr>
    </w:p>
    <w:p w14:paraId="3DF9DBDB" w14:textId="77777777" w:rsidR="00CC299A" w:rsidRPr="003A2793"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 xml:space="preserve">Hybridoma generation and murine </w:t>
      </w:r>
      <w:proofErr w:type="spellStart"/>
      <w:r w:rsidRPr="003A2793">
        <w:rPr>
          <w:rFonts w:ascii="Arial" w:hAnsi="Arial" w:cs="Arial"/>
          <w:b/>
          <w:color w:val="000000" w:themeColor="text1"/>
          <w:sz w:val="20"/>
          <w:szCs w:val="20"/>
        </w:rPr>
        <w:t>mAb</w:t>
      </w:r>
      <w:proofErr w:type="spellEnd"/>
      <w:r w:rsidRPr="003A2793">
        <w:rPr>
          <w:rFonts w:ascii="Arial" w:hAnsi="Arial" w:cs="Arial"/>
          <w:b/>
          <w:color w:val="000000" w:themeColor="text1"/>
          <w:sz w:val="20"/>
          <w:szCs w:val="20"/>
        </w:rPr>
        <w:t xml:space="preserve"> screening</w:t>
      </w:r>
    </w:p>
    <w:p w14:paraId="357437DA" w14:textId="2C1BC050" w:rsidR="00CC299A" w:rsidRPr="003A2793" w:rsidRDefault="00CC299A" w:rsidP="00CC299A">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lastRenderedPageBreak/>
        <w:t>Hybridomas secreting anti-flavivirus monoclonal antibodies were generated from the most responsive JEV VLP vaccinated mice (JEV FRµNT50 &gt; 120) following the standard protocol</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{"citationItems":[{"id":"ITEM-1","itemData":{"DOI":"10.1038/253600a0","ISSN":"0028-0836","abstract":"The therapeutic management of patients with osteoarthritis aims to decrease pain and inflammation, improve physical function, and to apply safe and effective treatments. A patient-centered approach implies the active participation of the patient in the design of the treatment plan and in timely and informed decision-making at all stages of the disease. The nucleus of treatment is patient education, physical activity and therapeutic exercise, together with weight control in overweight or obese patients. Self-care by the individual and by the family is fundamental in day-to-day patient management. The use of physical therapies, technical aids (walking sticks, etc.) and simple analgesics, opium alkaloids, and antiinflammatory drugs have demonstrated effectiveness in controlling pain, improving physical function and quality of life and their use is clearly indicated in the treatment of osteoarthritis. Conservative surgery and joint replacement is indicated when treatment goals are not achieved in specific patients. © 2013 Elsevier España, S.L. Todos los derechos reservados.","author":[{"dropping-particle":"","family":"Kohler","given":"G.","non-dropping-particle":"","parse-names":false,"suffix":""},{"dropping-particle":"","family":"Milstein","given":"C.","non-dropping-particle":"","parse-names":false,"suffix":""}],"container-title":"Nature","id":"ITEM-1","issued":{"date-parts":[["1975"]]},"page":"84-87","title":"Continuous culturs of fused cells secreting antibody of predefined specificity","type":"article-journal","volume":"254"},"uris":["http://www.mendeley.com/documents/?uuid=43360a14-2015-4b2c-9396-938f6301dc5c"]}],"mendeley":{"formattedCitation":"&lt;sup&gt;39&lt;/sup&gt;","plainTextFormattedCitation":"39","previouslyFormattedCitation":"&lt;sup&gt;39&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39</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with minor modifications</w:t>
      </w:r>
      <w:r w:rsidRPr="003A2793">
        <w:rPr>
          <w:rFonts w:ascii="Arial" w:hAnsi="Arial" w:cs="Arial"/>
          <w:color w:val="000000" w:themeColor="text1"/>
          <w:sz w:val="20"/>
          <w:szCs w:val="20"/>
        </w:rPr>
        <w:fldChar w:fldCharType="begin" w:fldLock="1"/>
      </w:r>
      <w:r w:rsidR="00C937AB">
        <w:rPr>
          <w:rFonts w:ascii="Arial" w:hAnsi="Arial" w:cs="Arial"/>
          <w:color w:val="000000" w:themeColor="text1"/>
          <w:sz w:val="20"/>
          <w:szCs w:val="20"/>
        </w:rPr>
        <w:instrText>ADDIN CSL_CITATION {"citationItems":[{"id":"ITEM-1","itemData":{"DOI":"10.1128/CVI.00249-06","ISSN":"15566811","PMID":"17287314","abstract":"Dengue virus (DEN), the pathogen behind dengue hemorrhagic fever, remains a public health problem in Asia and South America. In this study, monoclonal antibodies (MAbs) against DEN serotype 1 (DEN-1) were generated by fusing NSI/1-Ag4-1 mouse myeloma cells with lymphocytes from BALB/c mice immunized with DEN-1. Twelve MAbs were found to react specifically to the DENs by enzyme-linked immunosorbent assay, immunofluorescence analysis, and immunoblotting analysis. Five MAbs, namely, DA4-7, DA6-7, DA9-5, DA10-2, and DA11-13, were found to react with envelope proteins of DEN-1. Two serotype-specific MAbs of DEN-1, DA6-7 and DA11-13, were further shown to neutralize DEN-1 infection by a plaque reduction neutralization test. The neutralizing epitopes of these MAbs were further identified from a random peptide library displayed on phage. Immunopositive phage clones reacted specifically with these MAbs and did not react with normal mouse serum. Epitope-based peptide antigens were proved able to detect antibodies in serum samples collected from DEN-1-infected patients but not in those taken from DEN-2-infected patients or healthy controls. We believe that these MAbs and neutralizing epitopes will provide information that will lead to the development of DEN-1 serotype-specific diagnostic reagents and vaccines. Copyright © 2007, American Society for Microbiology. All Rights Reserved.","author":[{"dropping-particle":"","family":"Chen","given":"Yun Ching","non-dropping-particle":"","parse-names":false,"suffix":""},{"dropping-particle":"","family":"Huang","given":"Hsien Neng","non-dropping-particle":"","parse-names":false,"suffix":""},{"dropping-particle":"","family":"Lin","given":"Chin Tarng","non-dropping-particle":"","parse-names":false,"suffix":""},{"dropping-particle":"","family":"Chen","given":"Yi Fang","non-dropping-particle":"","parse-names":false,"suffix":""},{"dropping-particle":"","family":"King","given":"Chwan Chuen","non-dropping-particle":"","parse-names":false,"suffix":""},{"dropping-particle":"","family":"Wu","given":"Han Chung","non-dropping-particle":"","parse-names":false,"suffix":""}],"container-title":"Clinical and Vaccine Immunology","id":"ITEM-1","issue":"4","issued":{"date-parts":[["2007"]]},"page":"404-411","title":"Generation and characterization of monoclonal antibodies against dengue virus type 1 for epitope mapping and serological detection by epitope-based peptide antigens","type":"article-journal","volume":"14"},"uris":["http://www.mendeley.com/documents/?uuid=bd7069d1-e89c-4231-a0f7-1c6bebb1a9e4"]}],"mendeley":{"formattedCitation":"&lt;sup&gt;40&lt;/sup&gt;","plainTextFormattedCitation":"40","previouslyFormattedCitation":"&lt;sup&gt;40&lt;/sup&gt;"},"properties":{"noteIndex":0},"schema":"https://github.com/citation-style-language/schema/raw/master/csl-citation.json"}</w:instrText>
      </w:r>
      <w:r w:rsidRPr="003A2793">
        <w:rPr>
          <w:rFonts w:ascii="Arial" w:hAnsi="Arial" w:cs="Arial"/>
          <w:color w:val="000000" w:themeColor="text1"/>
          <w:sz w:val="20"/>
          <w:szCs w:val="20"/>
        </w:rPr>
        <w:fldChar w:fldCharType="separate"/>
      </w:r>
      <w:r w:rsidR="00420BD1" w:rsidRPr="00420BD1">
        <w:rPr>
          <w:rFonts w:ascii="Arial" w:hAnsi="Arial" w:cs="Arial"/>
          <w:noProof/>
          <w:color w:val="000000" w:themeColor="text1"/>
          <w:sz w:val="20"/>
          <w:szCs w:val="20"/>
          <w:vertAlign w:val="superscript"/>
        </w:rPr>
        <w:t>40</w:t>
      </w:r>
      <w:r w:rsidRPr="003A2793">
        <w:rPr>
          <w:rFonts w:ascii="Arial" w:hAnsi="Arial" w:cs="Arial"/>
          <w:color w:val="000000" w:themeColor="text1"/>
          <w:sz w:val="20"/>
          <w:szCs w:val="20"/>
        </w:rPr>
        <w:fldChar w:fldCharType="end"/>
      </w:r>
      <w:r w:rsidRPr="003A2793">
        <w:rPr>
          <w:rFonts w:ascii="Arial" w:hAnsi="Arial" w:cs="Arial"/>
          <w:color w:val="000000" w:themeColor="text1"/>
          <w:sz w:val="20"/>
          <w:szCs w:val="20"/>
        </w:rPr>
        <w:t xml:space="preserve">. Briefly, JEV VLP vaccinated mice were boosted intraperitoneally with either 4 µg of purified JEV or </w:t>
      </w:r>
      <w:r w:rsidR="00E000CA">
        <w:rPr>
          <w:rFonts w:ascii="Arial" w:hAnsi="Arial" w:cs="Arial"/>
          <w:color w:val="000000" w:themeColor="text1"/>
          <w:sz w:val="20"/>
          <w:szCs w:val="20"/>
        </w:rPr>
        <w:t>mD2VLP</w:t>
      </w:r>
      <w:r w:rsidRPr="003A2793">
        <w:rPr>
          <w:rFonts w:ascii="Arial" w:hAnsi="Arial" w:cs="Arial"/>
          <w:color w:val="000000" w:themeColor="text1"/>
          <w:sz w:val="20"/>
          <w:szCs w:val="20"/>
        </w:rPr>
        <w:t xml:space="preserve"> emulsified in Freund’s incomplete adjuvant (Sigma-Aldrich, St. Louis, MO, USA) for three consecutive days. Two days after the last boost, the splenocytes were harvested and then individually fused with </w:t>
      </w:r>
      <w:r w:rsidRPr="003A2793">
        <w:rPr>
          <w:rStyle w:val="fontstyle01"/>
          <w:rFonts w:ascii="Arial" w:hAnsi="Arial" w:cs="Arial"/>
          <w:color w:val="000000" w:themeColor="text1"/>
          <w:sz w:val="20"/>
          <w:szCs w:val="20"/>
        </w:rPr>
        <w:t xml:space="preserve">NSI/1-Ag4-1 myeloma cells using 50% polyethylene glycol (PEG) (PEG </w:t>
      </w:r>
      <w:proofErr w:type="spellStart"/>
      <w:r w:rsidRPr="003A2793">
        <w:rPr>
          <w:rStyle w:val="fontstyle01"/>
          <w:rFonts w:ascii="Arial" w:hAnsi="Arial" w:cs="Arial"/>
          <w:color w:val="000000" w:themeColor="text1"/>
          <w:sz w:val="20"/>
          <w:szCs w:val="20"/>
        </w:rPr>
        <w:t>Hybri</w:t>
      </w:r>
      <w:proofErr w:type="spellEnd"/>
      <w:r w:rsidRPr="003A2793">
        <w:rPr>
          <w:rStyle w:val="fontstyle01"/>
          <w:rFonts w:ascii="Arial" w:hAnsi="Arial" w:cs="Arial"/>
          <w:color w:val="000000" w:themeColor="text1"/>
          <w:sz w:val="20"/>
          <w:szCs w:val="20"/>
        </w:rPr>
        <w:t xml:space="preserve">-Max™, Sigma-Aldrich, St. Louis, MO, USA). Fused cells were resuspended in RPMI supplemented with 20% FBS, hypoxanthine-aminopterin-thymidine </w:t>
      </w:r>
      <w:r w:rsidRPr="003A2793">
        <w:rPr>
          <w:rFonts w:ascii="Arial" w:hAnsi="Arial" w:cs="Arial"/>
          <w:color w:val="000000" w:themeColor="text1"/>
          <w:sz w:val="20"/>
          <w:szCs w:val="20"/>
        </w:rPr>
        <w:t>medium, and hybridoma growth factor (</w:t>
      </w:r>
      <w:proofErr w:type="spellStart"/>
      <w:r w:rsidRPr="003A2793">
        <w:rPr>
          <w:rFonts w:ascii="Arial" w:hAnsi="Arial" w:cs="Arial"/>
          <w:color w:val="000000" w:themeColor="text1"/>
          <w:sz w:val="20"/>
          <w:szCs w:val="20"/>
        </w:rPr>
        <w:t>Nutridoma</w:t>
      </w:r>
      <w:proofErr w:type="spellEnd"/>
      <w:r w:rsidRPr="003A2793">
        <w:rPr>
          <w:rFonts w:ascii="Arial" w:hAnsi="Arial" w:cs="Arial"/>
          <w:color w:val="000000" w:themeColor="text1"/>
          <w:sz w:val="20"/>
          <w:szCs w:val="20"/>
        </w:rPr>
        <w:t xml:space="preserve">™-CS, Roche Diagnostics, Indianapolis, IN, USA). Two weeks post-fusion, supernatants from the selected polyclonal colonies were individually screened for secretion of </w:t>
      </w:r>
      <w:proofErr w:type="spellStart"/>
      <w:r w:rsidRPr="003A2793">
        <w:rPr>
          <w:rFonts w:ascii="Arial" w:hAnsi="Arial" w:cs="Arial"/>
          <w:color w:val="000000" w:themeColor="text1"/>
          <w:sz w:val="20"/>
          <w:szCs w:val="20"/>
        </w:rPr>
        <w:t>mAbs</w:t>
      </w:r>
      <w:proofErr w:type="spellEnd"/>
      <w:r w:rsidRPr="003A2793">
        <w:rPr>
          <w:rFonts w:ascii="Arial" w:hAnsi="Arial" w:cs="Arial"/>
          <w:color w:val="000000" w:themeColor="text1"/>
          <w:sz w:val="20"/>
          <w:szCs w:val="20"/>
        </w:rPr>
        <w:t xml:space="preserve"> by IgG ELISA as described above using JEV, DENV2, and ZIKV VLPs, and detected with an HRP-conjugated goat anti-mouse IgG. The positive clones (P/N values of ≥ 2) were </w:t>
      </w:r>
      <w:proofErr w:type="spellStart"/>
      <w:r w:rsidRPr="003A2793">
        <w:rPr>
          <w:rFonts w:ascii="Arial" w:hAnsi="Arial" w:cs="Arial"/>
          <w:color w:val="000000" w:themeColor="text1"/>
          <w:sz w:val="20"/>
          <w:szCs w:val="20"/>
        </w:rPr>
        <w:t>subcloned</w:t>
      </w:r>
      <w:proofErr w:type="spellEnd"/>
      <w:r w:rsidRPr="003A2793">
        <w:rPr>
          <w:rFonts w:ascii="Arial" w:hAnsi="Arial" w:cs="Arial"/>
          <w:color w:val="000000" w:themeColor="text1"/>
          <w:sz w:val="20"/>
          <w:szCs w:val="20"/>
        </w:rPr>
        <w:t xml:space="preserve"> by limiting dilution to isolate monoclonal cells and then further screened for VLP ELISA binding and flavivirus neutralization activities using unpurified supernatants. </w:t>
      </w:r>
    </w:p>
    <w:p w14:paraId="468F7120" w14:textId="77777777" w:rsidR="00CC299A" w:rsidRPr="003A2793" w:rsidRDefault="00CC299A" w:rsidP="00CC299A">
      <w:pPr>
        <w:spacing w:line="480" w:lineRule="auto"/>
        <w:ind w:firstLine="720"/>
        <w:jc w:val="both"/>
        <w:rPr>
          <w:rFonts w:ascii="Arial" w:hAnsi="Arial" w:cs="Arial"/>
          <w:color w:val="000000" w:themeColor="text1"/>
          <w:sz w:val="20"/>
          <w:szCs w:val="20"/>
        </w:rPr>
      </w:pPr>
    </w:p>
    <w:p w14:paraId="07F3A4AE" w14:textId="77777777" w:rsidR="00CC299A" w:rsidRPr="003A2793"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Murine monoclonal antibody isotyping</w:t>
      </w:r>
    </w:p>
    <w:p w14:paraId="2B697A64" w14:textId="1FCF3A9B" w:rsidR="00CC299A" w:rsidRPr="003A2793" w:rsidRDefault="00CC299A" w:rsidP="00A74ED6">
      <w:pPr>
        <w:spacing w:line="480" w:lineRule="auto"/>
        <w:ind w:firstLine="720"/>
        <w:jc w:val="both"/>
        <w:rPr>
          <w:rFonts w:ascii="Arial" w:hAnsi="Arial" w:cs="Arial"/>
          <w:color w:val="000000" w:themeColor="text1"/>
          <w:sz w:val="20"/>
          <w:szCs w:val="20"/>
        </w:rPr>
      </w:pPr>
      <w:r w:rsidRPr="003A2793">
        <w:rPr>
          <w:rFonts w:ascii="Arial" w:hAnsi="Arial" w:cs="Arial"/>
          <w:color w:val="000000" w:themeColor="text1"/>
          <w:sz w:val="20"/>
          <w:szCs w:val="20"/>
        </w:rPr>
        <w:t xml:space="preserve">Cell culture supernatant containing antibody-secreting hybridomas were analyzed for class and subclass identity, specifically murine IgG1, IgG2a, IgG2b, IgG3, IgA, and IgM, as well </w:t>
      </w:r>
      <w:r w:rsidRPr="003A2793">
        <w:rPr>
          <w:rFonts w:ascii="Arial" w:hAnsi="Arial" w:cs="Arial"/>
          <w:color w:val="000000" w:themeColor="text1"/>
          <w:sz w:val="20"/>
          <w:szCs w:val="20"/>
        </w:rPr>
        <w:lastRenderedPageBreak/>
        <w:t xml:space="preserve">as light-chain identity (Kappa or lambda light chains), following the manufacturer’s protocol (Pierce® Rapid Mouse Antibody Isotyping Kit, </w:t>
      </w:r>
      <w:proofErr w:type="spellStart"/>
      <w:r w:rsidRPr="003A2793">
        <w:rPr>
          <w:rFonts w:ascii="Arial" w:hAnsi="Arial" w:cs="Arial"/>
          <w:color w:val="000000" w:themeColor="text1"/>
          <w:sz w:val="20"/>
          <w:szCs w:val="20"/>
        </w:rPr>
        <w:t>Thermo</w:t>
      </w:r>
      <w:proofErr w:type="spellEnd"/>
      <w:r w:rsidRPr="003A2793">
        <w:rPr>
          <w:rFonts w:ascii="Arial" w:hAnsi="Arial" w:cs="Arial"/>
          <w:color w:val="000000" w:themeColor="text1"/>
          <w:sz w:val="20"/>
          <w:szCs w:val="20"/>
        </w:rPr>
        <w:t xml:space="preserve"> Fisher Scientific Inc., Rockford, IL, USA). Briefly, the culture supernatant was diluted to a final concentration of 1:100 using Tris-buffered saline (20 </w:t>
      </w:r>
      <w:proofErr w:type="spellStart"/>
      <w:r w:rsidRPr="003A2793">
        <w:rPr>
          <w:rFonts w:ascii="Arial" w:hAnsi="Arial" w:cs="Arial"/>
          <w:color w:val="000000" w:themeColor="text1"/>
          <w:sz w:val="20"/>
          <w:szCs w:val="20"/>
        </w:rPr>
        <w:t>mM</w:t>
      </w:r>
      <w:proofErr w:type="spellEnd"/>
      <w:r w:rsidRPr="003A2793">
        <w:rPr>
          <w:rFonts w:ascii="Arial" w:hAnsi="Arial" w:cs="Arial"/>
          <w:color w:val="000000" w:themeColor="text1"/>
          <w:sz w:val="20"/>
          <w:szCs w:val="20"/>
        </w:rPr>
        <w:t xml:space="preserve"> Tris; 150 </w:t>
      </w:r>
      <w:proofErr w:type="spellStart"/>
      <w:r w:rsidRPr="003A2793">
        <w:rPr>
          <w:rFonts w:ascii="Arial" w:hAnsi="Arial" w:cs="Arial"/>
          <w:color w:val="000000" w:themeColor="text1"/>
          <w:sz w:val="20"/>
          <w:szCs w:val="20"/>
        </w:rPr>
        <w:t>mM</w:t>
      </w:r>
      <w:proofErr w:type="spellEnd"/>
      <w:r w:rsidRPr="003A2793">
        <w:rPr>
          <w:rFonts w:ascii="Arial" w:hAnsi="Arial" w:cs="Arial"/>
          <w:color w:val="000000" w:themeColor="text1"/>
          <w:sz w:val="20"/>
          <w:szCs w:val="20"/>
        </w:rPr>
        <w:t xml:space="preserve"> </w:t>
      </w:r>
      <w:proofErr w:type="spellStart"/>
      <w:r w:rsidRPr="003A2793">
        <w:rPr>
          <w:rFonts w:ascii="Arial" w:hAnsi="Arial" w:cs="Arial"/>
          <w:color w:val="000000" w:themeColor="text1"/>
          <w:sz w:val="20"/>
          <w:szCs w:val="20"/>
        </w:rPr>
        <w:t>NaCl</w:t>
      </w:r>
      <w:proofErr w:type="spellEnd"/>
      <w:r w:rsidRPr="003A2793">
        <w:rPr>
          <w:rFonts w:ascii="Arial" w:hAnsi="Arial" w:cs="Arial"/>
          <w:color w:val="000000" w:themeColor="text1"/>
          <w:sz w:val="20"/>
          <w:szCs w:val="20"/>
        </w:rPr>
        <w:t xml:space="preserve">). Fifty microliters (50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of the diluted antibody mixture and 50</w:t>
      </w:r>
      <w:r>
        <w:rPr>
          <w:rFonts w:ascii="Arial" w:hAnsi="Arial" w:cs="Arial"/>
          <w:color w:val="000000" w:themeColor="text1"/>
          <w:sz w:val="20"/>
          <w:szCs w:val="20"/>
        </w:rPr>
        <w:t xml:space="preserve"> </w:t>
      </w:r>
      <w:proofErr w:type="spellStart"/>
      <w:r w:rsidRPr="003A2793">
        <w:rPr>
          <w:rFonts w:ascii="Arial" w:hAnsi="Arial" w:cs="Arial"/>
          <w:color w:val="000000" w:themeColor="text1"/>
          <w:sz w:val="20"/>
          <w:szCs w:val="20"/>
        </w:rPr>
        <w:t>μL</w:t>
      </w:r>
      <w:proofErr w:type="spellEnd"/>
      <w:r w:rsidRPr="003A2793">
        <w:rPr>
          <w:rFonts w:ascii="Arial" w:hAnsi="Arial" w:cs="Arial"/>
          <w:color w:val="000000" w:themeColor="text1"/>
          <w:sz w:val="20"/>
          <w:szCs w:val="20"/>
        </w:rPr>
        <w:t xml:space="preserve"> of HRP-conjugated goat anti-mouse </w:t>
      </w:r>
      <w:proofErr w:type="spellStart"/>
      <w:r w:rsidRPr="003A2793">
        <w:rPr>
          <w:rFonts w:ascii="Arial" w:hAnsi="Arial" w:cs="Arial"/>
          <w:color w:val="000000" w:themeColor="text1"/>
          <w:sz w:val="20"/>
          <w:szCs w:val="20"/>
        </w:rPr>
        <w:t>IgG+IgA+IgM</w:t>
      </w:r>
      <w:proofErr w:type="spellEnd"/>
      <w:r w:rsidRPr="003A2793">
        <w:rPr>
          <w:rFonts w:ascii="Arial" w:hAnsi="Arial" w:cs="Arial"/>
          <w:color w:val="000000" w:themeColor="text1"/>
          <w:sz w:val="20"/>
          <w:szCs w:val="20"/>
        </w:rPr>
        <w:t xml:space="preserve"> antibodies were simultaneously added to each of the ELISA strip-wells precoated with six different anti-mouse heavy-chain or two light-chain capture antibodies. The samples were mixed by gently tapping the plate, incubated for 1 h at room temperature, and washed with the proprietary wash buffer. Finally, the addition of the TMB substrate followed by 2N H</w:t>
      </w:r>
      <w:r w:rsidRPr="003A2793">
        <w:rPr>
          <w:rFonts w:ascii="Arial" w:hAnsi="Arial" w:cs="Arial"/>
          <w:color w:val="000000" w:themeColor="text1"/>
          <w:sz w:val="20"/>
          <w:szCs w:val="20"/>
          <w:vertAlign w:val="subscript"/>
        </w:rPr>
        <w:t>2</w:t>
      </w:r>
      <w:r w:rsidRPr="003A2793">
        <w:rPr>
          <w:rFonts w:ascii="Arial" w:hAnsi="Arial" w:cs="Arial"/>
          <w:color w:val="000000" w:themeColor="text1"/>
          <w:sz w:val="20"/>
          <w:szCs w:val="20"/>
        </w:rPr>
        <w:t>SO</w:t>
      </w:r>
      <w:r w:rsidRPr="003A2793">
        <w:rPr>
          <w:rFonts w:ascii="Arial" w:hAnsi="Arial" w:cs="Arial"/>
          <w:color w:val="000000" w:themeColor="text1"/>
          <w:sz w:val="20"/>
          <w:szCs w:val="20"/>
          <w:vertAlign w:val="subscript"/>
        </w:rPr>
        <w:t>4</w:t>
      </w:r>
      <w:r w:rsidRPr="003A2793">
        <w:rPr>
          <w:rFonts w:ascii="Arial" w:hAnsi="Arial" w:cs="Arial"/>
          <w:color w:val="000000" w:themeColor="text1"/>
          <w:sz w:val="20"/>
          <w:szCs w:val="20"/>
        </w:rPr>
        <w:t xml:space="preserve"> stop solution revealed the antibody isotype based on which wells in the strip produced color. Wells with the highest response (or darkest color) based on visual inspection or spectrophotometer readout at 450nm/630nm indicate isotype and light chain compositions.  </w:t>
      </w:r>
    </w:p>
    <w:p w14:paraId="08890973" w14:textId="77777777" w:rsidR="00CC299A" w:rsidRPr="003A2793" w:rsidRDefault="00CC299A" w:rsidP="00CC299A">
      <w:pPr>
        <w:pStyle w:val="a5"/>
        <w:spacing w:line="480" w:lineRule="auto"/>
        <w:ind w:firstLine="720"/>
        <w:jc w:val="both"/>
        <w:rPr>
          <w:rFonts w:ascii="Arial" w:hAnsi="Arial" w:cs="Arial"/>
          <w:b/>
          <w:color w:val="000000" w:themeColor="text1"/>
          <w:sz w:val="20"/>
          <w:szCs w:val="20"/>
        </w:rPr>
      </w:pPr>
    </w:p>
    <w:p w14:paraId="0C3C4052" w14:textId="6C07FE82" w:rsidR="00CC299A" w:rsidRPr="003A2793" w:rsidRDefault="00CC299A" w:rsidP="00CC299A">
      <w:pPr>
        <w:spacing w:line="480" w:lineRule="auto"/>
        <w:jc w:val="both"/>
        <w:rPr>
          <w:rFonts w:ascii="Arial" w:hAnsi="Arial" w:cs="Arial"/>
          <w:b/>
          <w:color w:val="000000" w:themeColor="text1"/>
          <w:sz w:val="20"/>
          <w:szCs w:val="20"/>
        </w:rPr>
      </w:pPr>
      <w:r w:rsidRPr="003A2793">
        <w:rPr>
          <w:rFonts w:ascii="Arial" w:hAnsi="Arial" w:cs="Arial"/>
          <w:b/>
          <w:color w:val="000000" w:themeColor="text1"/>
          <w:sz w:val="20"/>
          <w:szCs w:val="20"/>
        </w:rPr>
        <w:t xml:space="preserve">Statistical </w:t>
      </w:r>
      <w:r w:rsidR="00E000CA">
        <w:rPr>
          <w:rFonts w:ascii="Arial" w:hAnsi="Arial" w:cs="Arial"/>
          <w:b/>
          <w:color w:val="000000" w:themeColor="text1"/>
          <w:sz w:val="20"/>
          <w:szCs w:val="20"/>
        </w:rPr>
        <w:t>analysis</w:t>
      </w:r>
    </w:p>
    <w:p w14:paraId="7E7C3E76" w14:textId="09BBB5E5" w:rsidR="00CC299A" w:rsidRPr="003A2793" w:rsidRDefault="00CC299A" w:rsidP="00CC299A">
      <w:pPr>
        <w:spacing w:line="480" w:lineRule="auto"/>
        <w:ind w:firstLine="720"/>
        <w:jc w:val="both"/>
        <w:rPr>
          <w:rFonts w:ascii="Arial" w:hAnsi="Arial" w:cs="Arial"/>
          <w:b/>
          <w:color w:val="000000" w:themeColor="text1"/>
          <w:sz w:val="20"/>
          <w:szCs w:val="20"/>
        </w:rPr>
      </w:pPr>
      <w:r w:rsidRPr="003A2793">
        <w:rPr>
          <w:rFonts w:ascii="Arial" w:hAnsi="Arial" w:cs="Arial"/>
          <w:color w:val="000000" w:themeColor="text1"/>
          <w:sz w:val="20"/>
          <w:szCs w:val="20"/>
        </w:rPr>
        <w:t xml:space="preserve">All data were represented as means ± standard deviations and were analyzed using Graph Pad Prism (version 9.5.1, GraphPad Software Inc.). Statistical significance was determined using a one-way analysis of variance (ANOVA) followed by </w:t>
      </w:r>
      <w:r w:rsidRPr="003A2793">
        <w:rPr>
          <w:rStyle w:val="a9"/>
          <w:rFonts w:ascii="Arial" w:hAnsi="Arial" w:cs="Arial"/>
          <w:i w:val="0"/>
          <w:iCs w:val="0"/>
          <w:color w:val="000000" w:themeColor="text1"/>
          <w:sz w:val="20"/>
          <w:szCs w:val="20"/>
        </w:rPr>
        <w:t>Tukey’s multiple comparisons</w:t>
      </w:r>
      <w:r w:rsidRPr="003A2793">
        <w:rPr>
          <w:rStyle w:val="apple-converted-space"/>
          <w:rFonts w:ascii="Arial" w:hAnsi="Arial" w:cs="Arial"/>
          <w:color w:val="000000" w:themeColor="text1"/>
          <w:sz w:val="20"/>
          <w:szCs w:val="20"/>
          <w:shd w:val="clear" w:color="auto" w:fill="FFFFFF"/>
        </w:rPr>
        <w:t> </w:t>
      </w:r>
      <w:r w:rsidRPr="003A2793">
        <w:rPr>
          <w:rFonts w:ascii="Arial" w:hAnsi="Arial" w:cs="Arial"/>
          <w:color w:val="000000" w:themeColor="text1"/>
          <w:sz w:val="20"/>
          <w:szCs w:val="20"/>
        </w:rPr>
        <w:t xml:space="preserve">post-test to analyze the ELISA and neutralization titers across multiple groups. </w:t>
      </w:r>
      <w:r w:rsidR="00E000CA">
        <w:rPr>
          <w:rFonts w:ascii="Arial" w:hAnsi="Arial" w:cs="Arial"/>
          <w:color w:val="000000" w:themeColor="text1"/>
          <w:sz w:val="20"/>
          <w:szCs w:val="20"/>
        </w:rPr>
        <w:t xml:space="preserve">The correlation </w:t>
      </w:r>
      <w:r w:rsidR="008F7DFB">
        <w:rPr>
          <w:rFonts w:ascii="Arial" w:hAnsi="Arial" w:cs="Arial"/>
          <w:color w:val="000000" w:themeColor="text1"/>
          <w:sz w:val="20"/>
          <w:szCs w:val="20"/>
        </w:rPr>
        <w:t>between</w:t>
      </w:r>
      <w:r w:rsidR="00E000CA">
        <w:rPr>
          <w:rFonts w:ascii="Arial" w:hAnsi="Arial" w:cs="Arial"/>
          <w:color w:val="000000" w:themeColor="text1"/>
          <w:sz w:val="20"/>
          <w:szCs w:val="20"/>
        </w:rPr>
        <w:t xml:space="preserve"> IgG3 and neutralization titers were calculated by using </w:t>
      </w:r>
      <w:r w:rsidR="00E000CA">
        <w:rPr>
          <w:rFonts w:ascii="Arial" w:hAnsi="Arial" w:cs="Arial"/>
          <w:sz w:val="20"/>
          <w:szCs w:val="20"/>
        </w:rPr>
        <w:t xml:space="preserve">Pearson’s </w:t>
      </w:r>
      <w:r w:rsidR="00E000CA">
        <w:rPr>
          <w:rFonts w:ascii="Arial" w:hAnsi="Arial" w:cs="Arial"/>
          <w:sz w:val="20"/>
          <w:szCs w:val="20"/>
        </w:rPr>
        <w:lastRenderedPageBreak/>
        <w:t>correlation and</w:t>
      </w:r>
      <w:r w:rsidR="00E000CA">
        <w:rPr>
          <w:rFonts w:ascii="Arial" w:hAnsi="Arial" w:cs="Arial"/>
          <w:sz w:val="20"/>
          <w:szCs w:val="20"/>
          <w:lang w:val="en-PH"/>
        </w:rPr>
        <w:t xml:space="preserve"> </w:t>
      </w:r>
      <w:r w:rsidR="00E000CA" w:rsidRPr="00DD6F2E">
        <w:rPr>
          <w:rFonts w:ascii="Arial" w:hAnsi="Arial" w:cs="Arial"/>
          <w:sz w:val="20"/>
          <w:szCs w:val="20"/>
        </w:rPr>
        <w:t>Wilcoxon matched-pairs signed rank test</w:t>
      </w:r>
      <w:r w:rsidR="00E000CA">
        <w:rPr>
          <w:rFonts w:ascii="Arial" w:hAnsi="Arial" w:cs="Arial"/>
          <w:sz w:val="20"/>
          <w:szCs w:val="20"/>
        </w:rPr>
        <w:t xml:space="preserve">. </w:t>
      </w:r>
      <w:r w:rsidRPr="003A2793">
        <w:rPr>
          <w:rFonts w:ascii="Arial" w:hAnsi="Arial" w:cs="Arial"/>
          <w:i/>
          <w:iCs/>
          <w:color w:val="000000" w:themeColor="text1"/>
          <w:sz w:val="20"/>
          <w:szCs w:val="20"/>
        </w:rPr>
        <w:t>P</w:t>
      </w:r>
      <w:r w:rsidRPr="003A2793">
        <w:rPr>
          <w:rFonts w:ascii="Arial" w:hAnsi="Arial" w:cs="Arial"/>
          <w:color w:val="000000" w:themeColor="text1"/>
          <w:sz w:val="20"/>
          <w:szCs w:val="20"/>
        </w:rPr>
        <w:t xml:space="preserve"> values less than 0.05 were considered significant. </w:t>
      </w:r>
    </w:p>
    <w:p w14:paraId="7F75294D" w14:textId="50A79E4C" w:rsidR="00457718" w:rsidRDefault="00457718">
      <w:pPr>
        <w:widowControl/>
      </w:pPr>
      <w:r>
        <w:br w:type="page"/>
      </w:r>
    </w:p>
    <w:p w14:paraId="4970A0AD" w14:textId="3DBA04B6" w:rsidR="0085447F" w:rsidRDefault="00457718">
      <w:pPr>
        <w:rPr>
          <w:rFonts w:ascii="Arial" w:hAnsi="Arial" w:cs="Arial"/>
          <w:b/>
          <w:bCs/>
        </w:rPr>
      </w:pPr>
      <w:r w:rsidRPr="00A74ED6">
        <w:rPr>
          <w:rFonts w:ascii="Arial" w:hAnsi="Arial" w:cs="Arial"/>
          <w:b/>
          <w:bCs/>
        </w:rPr>
        <w:lastRenderedPageBreak/>
        <w:t xml:space="preserve">References </w:t>
      </w:r>
    </w:p>
    <w:p w14:paraId="16A947D1" w14:textId="122CCC5C" w:rsidR="00C937AB" w:rsidRPr="00C937AB" w:rsidRDefault="003533B3" w:rsidP="00C937AB">
      <w:pPr>
        <w:autoSpaceDE w:val="0"/>
        <w:autoSpaceDN w:val="0"/>
        <w:adjustRightInd w:val="0"/>
        <w:ind w:left="640" w:hanging="640"/>
        <w:rPr>
          <w:rFonts w:ascii="Arial" w:hAnsi="Arial" w:cs="Arial"/>
          <w:noProof/>
          <w:kern w:val="0"/>
        </w:rPr>
      </w:pPr>
      <w:r>
        <w:rPr>
          <w:rFonts w:ascii="Arial" w:hAnsi="Arial" w:cs="Arial"/>
          <w:b/>
          <w:bCs/>
        </w:rPr>
        <w:fldChar w:fldCharType="begin" w:fldLock="1"/>
      </w:r>
      <w:r>
        <w:rPr>
          <w:rFonts w:ascii="Arial" w:hAnsi="Arial" w:cs="Arial"/>
          <w:b/>
          <w:bCs/>
        </w:rPr>
        <w:instrText xml:space="preserve">ADDIN Mendeley Bibliography CSL_BIBLIOGRAPHY </w:instrText>
      </w:r>
      <w:r>
        <w:rPr>
          <w:rFonts w:ascii="Arial" w:hAnsi="Arial" w:cs="Arial"/>
          <w:b/>
          <w:bCs/>
        </w:rPr>
        <w:fldChar w:fldCharType="separate"/>
      </w:r>
      <w:r w:rsidR="00C937AB" w:rsidRPr="00C937AB">
        <w:rPr>
          <w:rFonts w:ascii="Arial" w:hAnsi="Arial" w:cs="Arial"/>
          <w:noProof/>
          <w:kern w:val="0"/>
        </w:rPr>
        <w:t>1.</w:t>
      </w:r>
      <w:r w:rsidR="00C937AB" w:rsidRPr="00C937AB">
        <w:rPr>
          <w:rFonts w:ascii="Arial" w:hAnsi="Arial" w:cs="Arial"/>
          <w:noProof/>
          <w:kern w:val="0"/>
        </w:rPr>
        <w:tab/>
        <w:t xml:space="preserve">Wang, W. H. </w:t>
      </w:r>
      <w:r w:rsidR="00C937AB" w:rsidRPr="00C937AB">
        <w:rPr>
          <w:rFonts w:ascii="Arial" w:hAnsi="Arial" w:cs="Arial"/>
          <w:i/>
          <w:iCs/>
          <w:noProof/>
          <w:kern w:val="0"/>
        </w:rPr>
        <w:t>et al.</w:t>
      </w:r>
      <w:r w:rsidR="00C937AB" w:rsidRPr="00C937AB">
        <w:rPr>
          <w:rFonts w:ascii="Arial" w:hAnsi="Arial" w:cs="Arial"/>
          <w:noProof/>
          <w:kern w:val="0"/>
        </w:rPr>
        <w:t xml:space="preserve"> An epidemiological survey of the current status of Zika and the immune interaction between dengue and Zika infection in Southern Taiwan. </w:t>
      </w:r>
      <w:r w:rsidR="00C937AB" w:rsidRPr="00C937AB">
        <w:rPr>
          <w:rFonts w:ascii="Arial" w:hAnsi="Arial" w:cs="Arial"/>
          <w:i/>
          <w:iCs/>
          <w:noProof/>
          <w:kern w:val="0"/>
        </w:rPr>
        <w:t>Int. J. Infect. Dis.</w:t>
      </w:r>
      <w:r w:rsidR="00C937AB" w:rsidRPr="00C937AB">
        <w:rPr>
          <w:rFonts w:ascii="Arial" w:hAnsi="Arial" w:cs="Arial"/>
          <w:noProof/>
          <w:kern w:val="0"/>
        </w:rPr>
        <w:t xml:space="preserve"> </w:t>
      </w:r>
      <w:r w:rsidR="00C937AB" w:rsidRPr="00C937AB">
        <w:rPr>
          <w:rFonts w:ascii="Arial" w:hAnsi="Arial" w:cs="Arial"/>
          <w:b/>
          <w:bCs/>
          <w:noProof/>
          <w:kern w:val="0"/>
        </w:rPr>
        <w:t>93</w:t>
      </w:r>
      <w:r w:rsidR="00C937AB" w:rsidRPr="00C937AB">
        <w:rPr>
          <w:rFonts w:ascii="Arial" w:hAnsi="Arial" w:cs="Arial"/>
          <w:noProof/>
          <w:kern w:val="0"/>
        </w:rPr>
        <w:t>, 151–159 (2020).</w:t>
      </w:r>
    </w:p>
    <w:p w14:paraId="7734E24E"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w:t>
      </w:r>
      <w:r w:rsidRPr="00C937AB">
        <w:rPr>
          <w:rFonts w:ascii="Arial" w:hAnsi="Arial" w:cs="Arial"/>
          <w:noProof/>
          <w:kern w:val="0"/>
        </w:rPr>
        <w:tab/>
        <w:t xml:space="preserve">Hsu, L. C. </w:t>
      </w:r>
      <w:r w:rsidRPr="00C937AB">
        <w:rPr>
          <w:rFonts w:ascii="Arial" w:hAnsi="Arial" w:cs="Arial"/>
          <w:i/>
          <w:iCs/>
          <w:noProof/>
          <w:kern w:val="0"/>
        </w:rPr>
        <w:t>et al.</w:t>
      </w:r>
      <w:r w:rsidRPr="00C937AB">
        <w:rPr>
          <w:rFonts w:ascii="Arial" w:hAnsi="Arial" w:cs="Arial"/>
          <w:noProof/>
          <w:kern w:val="0"/>
        </w:rPr>
        <w:t xml:space="preserve"> The Incidence of Japanese Encephalitis in Taiwan-A Population-Based Study. </w:t>
      </w:r>
      <w:r w:rsidRPr="00C937AB">
        <w:rPr>
          <w:rFonts w:ascii="Arial" w:hAnsi="Arial" w:cs="Arial"/>
          <w:i/>
          <w:iCs/>
          <w:noProof/>
          <w:kern w:val="0"/>
        </w:rPr>
        <w:t>PLoS Negl. Trop. Dis.</w:t>
      </w:r>
      <w:r w:rsidRPr="00C937AB">
        <w:rPr>
          <w:rFonts w:ascii="Arial" w:hAnsi="Arial" w:cs="Arial"/>
          <w:noProof/>
          <w:kern w:val="0"/>
        </w:rPr>
        <w:t xml:space="preserve"> </w:t>
      </w:r>
      <w:r w:rsidRPr="00C937AB">
        <w:rPr>
          <w:rFonts w:ascii="Arial" w:hAnsi="Arial" w:cs="Arial"/>
          <w:b/>
          <w:bCs/>
          <w:noProof/>
          <w:kern w:val="0"/>
        </w:rPr>
        <w:t>8</w:t>
      </w:r>
      <w:r w:rsidRPr="00C937AB">
        <w:rPr>
          <w:rFonts w:ascii="Arial" w:hAnsi="Arial" w:cs="Arial"/>
          <w:noProof/>
          <w:kern w:val="0"/>
        </w:rPr>
        <w:t>, (2014).</w:t>
      </w:r>
    </w:p>
    <w:p w14:paraId="42DAD22E"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w:t>
      </w:r>
      <w:r w:rsidRPr="00C937AB">
        <w:rPr>
          <w:rFonts w:ascii="Arial" w:hAnsi="Arial" w:cs="Arial"/>
          <w:noProof/>
          <w:kern w:val="0"/>
        </w:rPr>
        <w:tab/>
        <w:t xml:space="preserve">Wu, Y. C. </w:t>
      </w:r>
      <w:r w:rsidRPr="00C937AB">
        <w:rPr>
          <w:rFonts w:ascii="Arial" w:hAnsi="Arial" w:cs="Arial"/>
          <w:i/>
          <w:iCs/>
          <w:noProof/>
          <w:kern w:val="0"/>
        </w:rPr>
        <w:t>et al.</w:t>
      </w:r>
      <w:r w:rsidRPr="00C937AB">
        <w:rPr>
          <w:rFonts w:ascii="Arial" w:hAnsi="Arial" w:cs="Arial"/>
          <w:noProof/>
          <w:kern w:val="0"/>
        </w:rPr>
        <w:t xml:space="preserve"> The epidemiology of Japanese encephalitis on Taiwan during 1966-1997. </w:t>
      </w:r>
      <w:r w:rsidRPr="00C937AB">
        <w:rPr>
          <w:rFonts w:ascii="Arial" w:hAnsi="Arial" w:cs="Arial"/>
          <w:i/>
          <w:iCs/>
          <w:noProof/>
          <w:kern w:val="0"/>
        </w:rPr>
        <w:t>Am. J. Trop. Med. Hyg.</w:t>
      </w:r>
      <w:r w:rsidRPr="00C937AB">
        <w:rPr>
          <w:rFonts w:ascii="Arial" w:hAnsi="Arial" w:cs="Arial"/>
          <w:noProof/>
          <w:kern w:val="0"/>
        </w:rPr>
        <w:t xml:space="preserve"> </w:t>
      </w:r>
      <w:r w:rsidRPr="00C937AB">
        <w:rPr>
          <w:rFonts w:ascii="Arial" w:hAnsi="Arial" w:cs="Arial"/>
          <w:b/>
          <w:bCs/>
          <w:noProof/>
          <w:kern w:val="0"/>
        </w:rPr>
        <w:t>61</w:t>
      </w:r>
      <w:r w:rsidRPr="00C937AB">
        <w:rPr>
          <w:rFonts w:ascii="Arial" w:hAnsi="Arial" w:cs="Arial"/>
          <w:noProof/>
          <w:kern w:val="0"/>
        </w:rPr>
        <w:t>, 78–84 (1999).</w:t>
      </w:r>
    </w:p>
    <w:p w14:paraId="5FBE14B0"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4.</w:t>
      </w:r>
      <w:r w:rsidRPr="00C937AB">
        <w:rPr>
          <w:rFonts w:ascii="Arial" w:hAnsi="Arial" w:cs="Arial"/>
          <w:noProof/>
          <w:kern w:val="0"/>
        </w:rPr>
        <w:tab/>
        <w:t xml:space="preserve">Guzman, M. G. </w:t>
      </w:r>
      <w:r w:rsidRPr="00C937AB">
        <w:rPr>
          <w:rFonts w:ascii="Arial" w:hAnsi="Arial" w:cs="Arial"/>
          <w:i/>
          <w:iCs/>
          <w:noProof/>
          <w:kern w:val="0"/>
        </w:rPr>
        <w:t>et al.</w:t>
      </w:r>
      <w:r w:rsidRPr="00C937AB">
        <w:rPr>
          <w:rFonts w:ascii="Arial" w:hAnsi="Arial" w:cs="Arial"/>
          <w:noProof/>
          <w:kern w:val="0"/>
        </w:rPr>
        <w:t xml:space="preserve"> Neutralizing antibodies after infection with dengue 1 virus. </w:t>
      </w:r>
      <w:r w:rsidRPr="00C937AB">
        <w:rPr>
          <w:rFonts w:ascii="Arial" w:hAnsi="Arial" w:cs="Arial"/>
          <w:i/>
          <w:iCs/>
          <w:noProof/>
          <w:kern w:val="0"/>
        </w:rPr>
        <w:t>Emerg. Infect. Dis.</w:t>
      </w:r>
      <w:r w:rsidRPr="00C937AB">
        <w:rPr>
          <w:rFonts w:ascii="Arial" w:hAnsi="Arial" w:cs="Arial"/>
          <w:noProof/>
          <w:kern w:val="0"/>
        </w:rPr>
        <w:t xml:space="preserve"> </w:t>
      </w:r>
      <w:r w:rsidRPr="00C937AB">
        <w:rPr>
          <w:rFonts w:ascii="Arial" w:hAnsi="Arial" w:cs="Arial"/>
          <w:b/>
          <w:bCs/>
          <w:noProof/>
          <w:kern w:val="0"/>
        </w:rPr>
        <w:t>13</w:t>
      </w:r>
      <w:r w:rsidRPr="00C937AB">
        <w:rPr>
          <w:rFonts w:ascii="Arial" w:hAnsi="Arial" w:cs="Arial"/>
          <w:noProof/>
          <w:kern w:val="0"/>
        </w:rPr>
        <w:t>, 282–286 (2007).</w:t>
      </w:r>
    </w:p>
    <w:p w14:paraId="1A2C85F2"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5.</w:t>
      </w:r>
      <w:r w:rsidRPr="00C937AB">
        <w:rPr>
          <w:rFonts w:ascii="Arial" w:hAnsi="Arial" w:cs="Arial"/>
          <w:noProof/>
          <w:kern w:val="0"/>
        </w:rPr>
        <w:tab/>
        <w:t xml:space="preserve">Montoya, M. </w:t>
      </w:r>
      <w:r w:rsidRPr="00C937AB">
        <w:rPr>
          <w:rFonts w:ascii="Arial" w:hAnsi="Arial" w:cs="Arial"/>
          <w:i/>
          <w:iCs/>
          <w:noProof/>
          <w:kern w:val="0"/>
        </w:rPr>
        <w:t>et al.</w:t>
      </w:r>
      <w:r w:rsidRPr="00C937AB">
        <w:rPr>
          <w:rFonts w:ascii="Arial" w:hAnsi="Arial" w:cs="Arial"/>
          <w:noProof/>
          <w:kern w:val="0"/>
        </w:rPr>
        <w:t xml:space="preserve"> Longitudinal analysis of antibody cross-neutralization following zika virus and dengue virus infection in Asia and the Americas. </w:t>
      </w:r>
      <w:r w:rsidRPr="00C937AB">
        <w:rPr>
          <w:rFonts w:ascii="Arial" w:hAnsi="Arial" w:cs="Arial"/>
          <w:i/>
          <w:iCs/>
          <w:noProof/>
          <w:kern w:val="0"/>
        </w:rPr>
        <w:t>J. Infect. Dis.</w:t>
      </w:r>
      <w:r w:rsidRPr="00C937AB">
        <w:rPr>
          <w:rFonts w:ascii="Arial" w:hAnsi="Arial" w:cs="Arial"/>
          <w:noProof/>
          <w:kern w:val="0"/>
        </w:rPr>
        <w:t xml:space="preserve"> </w:t>
      </w:r>
      <w:r w:rsidRPr="00C937AB">
        <w:rPr>
          <w:rFonts w:ascii="Arial" w:hAnsi="Arial" w:cs="Arial"/>
          <w:b/>
          <w:bCs/>
          <w:noProof/>
          <w:kern w:val="0"/>
        </w:rPr>
        <w:t>218</w:t>
      </w:r>
      <w:r w:rsidRPr="00C937AB">
        <w:rPr>
          <w:rFonts w:ascii="Arial" w:hAnsi="Arial" w:cs="Arial"/>
          <w:noProof/>
          <w:kern w:val="0"/>
        </w:rPr>
        <w:t>, 536–545 (2018).</w:t>
      </w:r>
    </w:p>
    <w:p w14:paraId="391B5EDE"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6.</w:t>
      </w:r>
      <w:r w:rsidRPr="00C937AB">
        <w:rPr>
          <w:rFonts w:ascii="Arial" w:hAnsi="Arial" w:cs="Arial"/>
          <w:noProof/>
          <w:kern w:val="0"/>
        </w:rPr>
        <w:tab/>
        <w:t xml:space="preserve">Turtle, L. </w:t>
      </w:r>
      <w:r w:rsidRPr="00C937AB">
        <w:rPr>
          <w:rFonts w:ascii="Arial" w:hAnsi="Arial" w:cs="Arial"/>
          <w:i/>
          <w:iCs/>
          <w:noProof/>
          <w:kern w:val="0"/>
        </w:rPr>
        <w:t>et al.</w:t>
      </w:r>
      <w:r w:rsidRPr="00C937AB">
        <w:rPr>
          <w:rFonts w:ascii="Arial" w:hAnsi="Arial" w:cs="Arial"/>
          <w:noProof/>
          <w:kern w:val="0"/>
        </w:rPr>
        <w:t xml:space="preserve"> Low population Japanese encephalitis virus (JEV) seroprevalence in Udayapur district, Nepal, three years after a JE vaccination programme: A case for further catch up campaigns? </w:t>
      </w:r>
      <w:r w:rsidRPr="00C937AB">
        <w:rPr>
          <w:rFonts w:ascii="Arial" w:hAnsi="Arial" w:cs="Arial"/>
          <w:i/>
          <w:iCs/>
          <w:noProof/>
          <w:kern w:val="0"/>
        </w:rPr>
        <w:t>PLoS Negl. Trop. Dis.</w:t>
      </w:r>
      <w:r w:rsidRPr="00C937AB">
        <w:rPr>
          <w:rFonts w:ascii="Arial" w:hAnsi="Arial" w:cs="Arial"/>
          <w:noProof/>
          <w:kern w:val="0"/>
        </w:rPr>
        <w:t xml:space="preserve"> </w:t>
      </w:r>
      <w:r w:rsidRPr="00C937AB">
        <w:rPr>
          <w:rFonts w:ascii="Arial" w:hAnsi="Arial" w:cs="Arial"/>
          <w:b/>
          <w:bCs/>
          <w:noProof/>
          <w:kern w:val="0"/>
        </w:rPr>
        <w:t>13</w:t>
      </w:r>
      <w:r w:rsidRPr="00C937AB">
        <w:rPr>
          <w:rFonts w:ascii="Arial" w:hAnsi="Arial" w:cs="Arial"/>
          <w:noProof/>
          <w:kern w:val="0"/>
        </w:rPr>
        <w:t>, 1–19 (2019).</w:t>
      </w:r>
    </w:p>
    <w:p w14:paraId="6A134F33"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7.</w:t>
      </w:r>
      <w:r w:rsidRPr="00C937AB">
        <w:rPr>
          <w:rFonts w:ascii="Arial" w:hAnsi="Arial" w:cs="Arial"/>
          <w:noProof/>
          <w:kern w:val="0"/>
        </w:rPr>
        <w:tab/>
        <w:t xml:space="preserve">Galula, J. U., Shen, W.-F., Chuang, S.-T., Chang, G.-J. J. &amp; Chao, D.-Y. Virus-Like Particle Secretion and Genotype-Dependent Immunogenicity of Dengue Virus Serotype 2 DNA Vaccine. </w:t>
      </w:r>
      <w:r w:rsidRPr="00C937AB">
        <w:rPr>
          <w:rFonts w:ascii="Arial" w:hAnsi="Arial" w:cs="Arial"/>
          <w:i/>
          <w:iCs/>
          <w:noProof/>
          <w:kern w:val="0"/>
        </w:rPr>
        <w:t>J. Virol.</w:t>
      </w:r>
      <w:r w:rsidRPr="00C937AB">
        <w:rPr>
          <w:rFonts w:ascii="Arial" w:hAnsi="Arial" w:cs="Arial"/>
          <w:noProof/>
          <w:kern w:val="0"/>
        </w:rPr>
        <w:t xml:space="preserve"> </w:t>
      </w:r>
      <w:r w:rsidRPr="00C937AB">
        <w:rPr>
          <w:rFonts w:ascii="Arial" w:hAnsi="Arial" w:cs="Arial"/>
          <w:b/>
          <w:bCs/>
          <w:noProof/>
          <w:kern w:val="0"/>
        </w:rPr>
        <w:t>88</w:t>
      </w:r>
      <w:r w:rsidRPr="00C937AB">
        <w:rPr>
          <w:rFonts w:ascii="Arial" w:hAnsi="Arial" w:cs="Arial"/>
          <w:noProof/>
          <w:kern w:val="0"/>
        </w:rPr>
        <w:t>, 10813–10830 (2014).</w:t>
      </w:r>
    </w:p>
    <w:p w14:paraId="01D24E98"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8.</w:t>
      </w:r>
      <w:r w:rsidRPr="00C937AB">
        <w:rPr>
          <w:rFonts w:ascii="Arial" w:hAnsi="Arial" w:cs="Arial"/>
          <w:noProof/>
          <w:kern w:val="0"/>
        </w:rPr>
        <w:tab/>
        <w:t xml:space="preserve">Shen, W. F. </w:t>
      </w:r>
      <w:r w:rsidRPr="00C937AB">
        <w:rPr>
          <w:rFonts w:ascii="Arial" w:hAnsi="Arial" w:cs="Arial"/>
          <w:i/>
          <w:iCs/>
          <w:noProof/>
          <w:kern w:val="0"/>
        </w:rPr>
        <w:t>et al.</w:t>
      </w:r>
      <w:r w:rsidRPr="00C937AB">
        <w:rPr>
          <w:rFonts w:ascii="Arial" w:hAnsi="Arial" w:cs="Arial"/>
          <w:noProof/>
          <w:kern w:val="0"/>
        </w:rPr>
        <w:t xml:space="preserve"> Epitope resurfacing on dengue virus-like particle vaccine preparation to induce broad neutralizing antibody. </w:t>
      </w:r>
      <w:r w:rsidRPr="00C937AB">
        <w:rPr>
          <w:rFonts w:ascii="Arial" w:hAnsi="Arial" w:cs="Arial"/>
          <w:i/>
          <w:iCs/>
          <w:noProof/>
          <w:kern w:val="0"/>
        </w:rPr>
        <w:t>Elife</w:t>
      </w:r>
      <w:r w:rsidRPr="00C937AB">
        <w:rPr>
          <w:rFonts w:ascii="Arial" w:hAnsi="Arial" w:cs="Arial"/>
          <w:noProof/>
          <w:kern w:val="0"/>
        </w:rPr>
        <w:t xml:space="preserve"> </w:t>
      </w:r>
      <w:r w:rsidRPr="00C937AB">
        <w:rPr>
          <w:rFonts w:ascii="Arial" w:hAnsi="Arial" w:cs="Arial"/>
          <w:b/>
          <w:bCs/>
          <w:noProof/>
          <w:kern w:val="0"/>
        </w:rPr>
        <w:t>7</w:t>
      </w:r>
      <w:r w:rsidRPr="00C937AB">
        <w:rPr>
          <w:rFonts w:ascii="Arial" w:hAnsi="Arial" w:cs="Arial"/>
          <w:noProof/>
          <w:kern w:val="0"/>
        </w:rPr>
        <w:t>, 1–24 (2018).</w:t>
      </w:r>
    </w:p>
    <w:p w14:paraId="7C1DC261"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9.</w:t>
      </w:r>
      <w:r w:rsidRPr="00C937AB">
        <w:rPr>
          <w:rFonts w:ascii="Arial" w:hAnsi="Arial" w:cs="Arial"/>
          <w:noProof/>
          <w:kern w:val="0"/>
        </w:rPr>
        <w:tab/>
        <w:t xml:space="preserve">Galula, J. U., Salem, G. M., Destura, R. V., Remenyi, R. &amp; Chao, D. Y. Comparable accuracies of nonstructural protein 1-and envelope protein-based enzyme-linked immunosorbent assays in detecting anti-dengue immunoglobulin g antibodies. </w:t>
      </w:r>
      <w:r w:rsidRPr="00C937AB">
        <w:rPr>
          <w:rFonts w:ascii="Arial" w:hAnsi="Arial" w:cs="Arial"/>
          <w:i/>
          <w:iCs/>
          <w:noProof/>
          <w:kern w:val="0"/>
        </w:rPr>
        <w:t>Diagnostics</w:t>
      </w:r>
      <w:r w:rsidRPr="00C937AB">
        <w:rPr>
          <w:rFonts w:ascii="Arial" w:hAnsi="Arial" w:cs="Arial"/>
          <w:noProof/>
          <w:kern w:val="0"/>
        </w:rPr>
        <w:t xml:space="preserve"> </w:t>
      </w:r>
      <w:r w:rsidRPr="00C937AB">
        <w:rPr>
          <w:rFonts w:ascii="Arial" w:hAnsi="Arial" w:cs="Arial"/>
          <w:b/>
          <w:bCs/>
          <w:noProof/>
          <w:kern w:val="0"/>
        </w:rPr>
        <w:t>11</w:t>
      </w:r>
      <w:r w:rsidRPr="00C937AB">
        <w:rPr>
          <w:rFonts w:ascii="Arial" w:hAnsi="Arial" w:cs="Arial"/>
          <w:noProof/>
          <w:kern w:val="0"/>
        </w:rPr>
        <w:t>, 1–17 (2021).</w:t>
      </w:r>
    </w:p>
    <w:p w14:paraId="1CB7070B"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10.</w:t>
      </w:r>
      <w:r w:rsidRPr="00C937AB">
        <w:rPr>
          <w:rFonts w:ascii="Arial" w:hAnsi="Arial" w:cs="Arial"/>
          <w:noProof/>
          <w:kern w:val="0"/>
        </w:rPr>
        <w:tab/>
        <w:t xml:space="preserve">Huang, J. </w:t>
      </w:r>
      <w:r w:rsidRPr="00C937AB">
        <w:rPr>
          <w:rFonts w:ascii="Arial" w:hAnsi="Arial" w:cs="Arial"/>
          <w:i/>
          <w:iCs/>
          <w:noProof/>
          <w:kern w:val="0"/>
        </w:rPr>
        <w:t>et al.</w:t>
      </w:r>
      <w:r w:rsidRPr="00C937AB">
        <w:rPr>
          <w:rFonts w:ascii="Arial" w:hAnsi="Arial" w:cs="Arial"/>
          <w:noProof/>
          <w:kern w:val="0"/>
        </w:rPr>
        <w:t xml:space="preserve"> Isolation of human monoclonal antibodies from peripheral blood B cells. </w:t>
      </w:r>
      <w:r w:rsidRPr="00C937AB">
        <w:rPr>
          <w:rFonts w:ascii="Arial" w:hAnsi="Arial" w:cs="Arial"/>
          <w:i/>
          <w:iCs/>
          <w:noProof/>
          <w:kern w:val="0"/>
        </w:rPr>
        <w:t>Nat. Protoc.</w:t>
      </w:r>
      <w:r w:rsidRPr="00C937AB">
        <w:rPr>
          <w:rFonts w:ascii="Arial" w:hAnsi="Arial" w:cs="Arial"/>
          <w:noProof/>
          <w:kern w:val="0"/>
        </w:rPr>
        <w:t xml:space="preserve"> </w:t>
      </w:r>
      <w:r w:rsidRPr="00C937AB">
        <w:rPr>
          <w:rFonts w:ascii="Arial" w:hAnsi="Arial" w:cs="Arial"/>
          <w:b/>
          <w:bCs/>
          <w:noProof/>
          <w:kern w:val="0"/>
        </w:rPr>
        <w:t>8</w:t>
      </w:r>
      <w:r w:rsidRPr="00C937AB">
        <w:rPr>
          <w:rFonts w:ascii="Arial" w:hAnsi="Arial" w:cs="Arial"/>
          <w:noProof/>
          <w:kern w:val="0"/>
        </w:rPr>
        <w:t>, 1907–1915 (2013).</w:t>
      </w:r>
    </w:p>
    <w:p w14:paraId="3495E885"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11.</w:t>
      </w:r>
      <w:r w:rsidRPr="00C937AB">
        <w:rPr>
          <w:rFonts w:ascii="Arial" w:hAnsi="Arial" w:cs="Arial"/>
          <w:noProof/>
          <w:kern w:val="0"/>
        </w:rPr>
        <w:tab/>
        <w:t xml:space="preserve">Von Boehmer, L. </w:t>
      </w:r>
      <w:r w:rsidRPr="00C937AB">
        <w:rPr>
          <w:rFonts w:ascii="Arial" w:hAnsi="Arial" w:cs="Arial"/>
          <w:i/>
          <w:iCs/>
          <w:noProof/>
          <w:kern w:val="0"/>
        </w:rPr>
        <w:t>et al.</w:t>
      </w:r>
      <w:r w:rsidRPr="00C937AB">
        <w:rPr>
          <w:rFonts w:ascii="Arial" w:hAnsi="Arial" w:cs="Arial"/>
          <w:noProof/>
          <w:kern w:val="0"/>
        </w:rPr>
        <w:t xml:space="preserve"> Sequencing and cloning of antigen-specific antibodies from mouse memory B cells. </w:t>
      </w:r>
      <w:r w:rsidRPr="00C937AB">
        <w:rPr>
          <w:rFonts w:ascii="Arial" w:hAnsi="Arial" w:cs="Arial"/>
          <w:i/>
          <w:iCs/>
          <w:noProof/>
          <w:kern w:val="0"/>
        </w:rPr>
        <w:t>Nat. Protoc.</w:t>
      </w:r>
      <w:r w:rsidRPr="00C937AB">
        <w:rPr>
          <w:rFonts w:ascii="Arial" w:hAnsi="Arial" w:cs="Arial"/>
          <w:noProof/>
          <w:kern w:val="0"/>
        </w:rPr>
        <w:t xml:space="preserve"> </w:t>
      </w:r>
      <w:r w:rsidRPr="00C937AB">
        <w:rPr>
          <w:rFonts w:ascii="Arial" w:hAnsi="Arial" w:cs="Arial"/>
          <w:b/>
          <w:bCs/>
          <w:noProof/>
          <w:kern w:val="0"/>
        </w:rPr>
        <w:t>11</w:t>
      </w:r>
      <w:r w:rsidRPr="00C937AB">
        <w:rPr>
          <w:rFonts w:ascii="Arial" w:hAnsi="Arial" w:cs="Arial"/>
          <w:noProof/>
          <w:kern w:val="0"/>
        </w:rPr>
        <w:t>, 1908–1923 (2016).</w:t>
      </w:r>
    </w:p>
    <w:p w14:paraId="760600A4"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12.</w:t>
      </w:r>
      <w:r w:rsidRPr="00C937AB">
        <w:rPr>
          <w:rFonts w:ascii="Arial" w:hAnsi="Arial" w:cs="Arial"/>
          <w:noProof/>
          <w:kern w:val="0"/>
        </w:rPr>
        <w:tab/>
        <w:t xml:space="preserve">Giudicelli, V., Chaume, D. &amp; Lefranc, M. P. IMGT/V-QUEST, an integrated software program for immunoglobulin and T cell receptor V-J and V-D-J rearrangement analysis. </w:t>
      </w:r>
      <w:r w:rsidRPr="00C937AB">
        <w:rPr>
          <w:rFonts w:ascii="Arial" w:hAnsi="Arial" w:cs="Arial"/>
          <w:i/>
          <w:iCs/>
          <w:noProof/>
          <w:kern w:val="0"/>
        </w:rPr>
        <w:t>Nucleic Acids Res.</w:t>
      </w:r>
      <w:r w:rsidRPr="00C937AB">
        <w:rPr>
          <w:rFonts w:ascii="Arial" w:hAnsi="Arial" w:cs="Arial"/>
          <w:noProof/>
          <w:kern w:val="0"/>
        </w:rPr>
        <w:t xml:space="preserve"> </w:t>
      </w:r>
      <w:r w:rsidRPr="00C937AB">
        <w:rPr>
          <w:rFonts w:ascii="Arial" w:hAnsi="Arial" w:cs="Arial"/>
          <w:b/>
          <w:bCs/>
          <w:noProof/>
          <w:kern w:val="0"/>
        </w:rPr>
        <w:t>32</w:t>
      </w:r>
      <w:r w:rsidRPr="00C937AB">
        <w:rPr>
          <w:rFonts w:ascii="Arial" w:hAnsi="Arial" w:cs="Arial"/>
          <w:noProof/>
          <w:kern w:val="0"/>
        </w:rPr>
        <w:t>, 435–440 (2004).</w:t>
      </w:r>
    </w:p>
    <w:p w14:paraId="5F539AF9"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13.</w:t>
      </w:r>
      <w:r w:rsidRPr="00C937AB">
        <w:rPr>
          <w:rFonts w:ascii="Arial" w:hAnsi="Arial" w:cs="Arial"/>
          <w:noProof/>
          <w:kern w:val="0"/>
        </w:rPr>
        <w:tab/>
        <w:t xml:space="preserve">Li, S. </w:t>
      </w:r>
      <w:r w:rsidRPr="00C937AB">
        <w:rPr>
          <w:rFonts w:ascii="Arial" w:hAnsi="Arial" w:cs="Arial"/>
          <w:i/>
          <w:iCs/>
          <w:noProof/>
          <w:kern w:val="0"/>
        </w:rPr>
        <w:t>et al.</w:t>
      </w:r>
      <w:r w:rsidRPr="00C937AB">
        <w:rPr>
          <w:rFonts w:ascii="Arial" w:hAnsi="Arial" w:cs="Arial"/>
          <w:noProof/>
          <w:kern w:val="0"/>
        </w:rPr>
        <w:t xml:space="preserve"> IMGT/HighV QUEST paradigm for T cell receptor IMGT </w:t>
      </w:r>
      <w:r w:rsidRPr="00C937AB">
        <w:rPr>
          <w:rFonts w:ascii="Arial" w:hAnsi="Arial" w:cs="Arial"/>
          <w:noProof/>
          <w:kern w:val="0"/>
        </w:rPr>
        <w:lastRenderedPageBreak/>
        <w:t xml:space="preserve">clonotype diversity and next generation repertoire immunoprofiling. </w:t>
      </w:r>
      <w:r w:rsidRPr="00C937AB">
        <w:rPr>
          <w:rFonts w:ascii="Arial" w:hAnsi="Arial" w:cs="Arial"/>
          <w:i/>
          <w:iCs/>
          <w:noProof/>
          <w:kern w:val="0"/>
        </w:rPr>
        <w:t>Nat. Commun.</w:t>
      </w:r>
      <w:r w:rsidRPr="00C937AB">
        <w:rPr>
          <w:rFonts w:ascii="Arial" w:hAnsi="Arial" w:cs="Arial"/>
          <w:noProof/>
          <w:kern w:val="0"/>
        </w:rPr>
        <w:t xml:space="preserve"> </w:t>
      </w:r>
      <w:r w:rsidRPr="00C937AB">
        <w:rPr>
          <w:rFonts w:ascii="Arial" w:hAnsi="Arial" w:cs="Arial"/>
          <w:b/>
          <w:bCs/>
          <w:noProof/>
          <w:kern w:val="0"/>
        </w:rPr>
        <w:t>4</w:t>
      </w:r>
      <w:r w:rsidRPr="00C937AB">
        <w:rPr>
          <w:rFonts w:ascii="Arial" w:hAnsi="Arial" w:cs="Arial"/>
          <w:noProof/>
          <w:kern w:val="0"/>
        </w:rPr>
        <w:t>, (2013).</w:t>
      </w:r>
    </w:p>
    <w:p w14:paraId="256D24FD"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14.</w:t>
      </w:r>
      <w:r w:rsidRPr="00C937AB">
        <w:rPr>
          <w:rFonts w:ascii="Arial" w:hAnsi="Arial" w:cs="Arial"/>
          <w:noProof/>
          <w:kern w:val="0"/>
        </w:rPr>
        <w:tab/>
        <w:t xml:space="preserve">Lefranc, M. P. </w:t>
      </w:r>
      <w:r w:rsidRPr="00C937AB">
        <w:rPr>
          <w:rFonts w:ascii="Arial" w:hAnsi="Arial" w:cs="Arial"/>
          <w:i/>
          <w:iCs/>
          <w:noProof/>
          <w:kern w:val="0"/>
        </w:rPr>
        <w:t>et al.</w:t>
      </w:r>
      <w:r w:rsidRPr="00C937AB">
        <w:rPr>
          <w:rFonts w:ascii="Arial" w:hAnsi="Arial" w:cs="Arial"/>
          <w:noProof/>
          <w:kern w:val="0"/>
        </w:rPr>
        <w:t xml:space="preserve"> IMGT R, the international ImMunoGeneTics information system R 25 years on. </w:t>
      </w:r>
      <w:r w:rsidRPr="00C937AB">
        <w:rPr>
          <w:rFonts w:ascii="Arial" w:hAnsi="Arial" w:cs="Arial"/>
          <w:i/>
          <w:iCs/>
          <w:noProof/>
          <w:kern w:val="0"/>
        </w:rPr>
        <w:t>Nucleic Acids Res.</w:t>
      </w:r>
      <w:r w:rsidRPr="00C937AB">
        <w:rPr>
          <w:rFonts w:ascii="Arial" w:hAnsi="Arial" w:cs="Arial"/>
          <w:noProof/>
          <w:kern w:val="0"/>
        </w:rPr>
        <w:t xml:space="preserve"> </w:t>
      </w:r>
      <w:r w:rsidRPr="00C937AB">
        <w:rPr>
          <w:rFonts w:ascii="Arial" w:hAnsi="Arial" w:cs="Arial"/>
          <w:b/>
          <w:bCs/>
          <w:noProof/>
          <w:kern w:val="0"/>
        </w:rPr>
        <w:t>43</w:t>
      </w:r>
      <w:r w:rsidRPr="00C937AB">
        <w:rPr>
          <w:rFonts w:ascii="Arial" w:hAnsi="Arial" w:cs="Arial"/>
          <w:noProof/>
          <w:kern w:val="0"/>
        </w:rPr>
        <w:t>, D413–D422 (2015).</w:t>
      </w:r>
    </w:p>
    <w:p w14:paraId="6730D247"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15.</w:t>
      </w:r>
      <w:r w:rsidRPr="00C937AB">
        <w:rPr>
          <w:rFonts w:ascii="Arial" w:hAnsi="Arial" w:cs="Arial"/>
          <w:noProof/>
          <w:kern w:val="0"/>
        </w:rPr>
        <w:tab/>
        <w:t xml:space="preserve">Pommié, C., Levadoux, S., Sabatier, R., Lefranc, G. &amp; Lefranc, M. P. IMGT standardized criteria for statistical analysis of immunoglobulin V-Region amino acid properties. </w:t>
      </w:r>
      <w:r w:rsidRPr="00C937AB">
        <w:rPr>
          <w:rFonts w:ascii="Arial" w:hAnsi="Arial" w:cs="Arial"/>
          <w:i/>
          <w:iCs/>
          <w:noProof/>
          <w:kern w:val="0"/>
        </w:rPr>
        <w:t>J. Mol. Recognit.</w:t>
      </w:r>
      <w:r w:rsidRPr="00C937AB">
        <w:rPr>
          <w:rFonts w:ascii="Arial" w:hAnsi="Arial" w:cs="Arial"/>
          <w:noProof/>
          <w:kern w:val="0"/>
        </w:rPr>
        <w:t xml:space="preserve"> </w:t>
      </w:r>
      <w:r w:rsidRPr="00C937AB">
        <w:rPr>
          <w:rFonts w:ascii="Arial" w:hAnsi="Arial" w:cs="Arial"/>
          <w:b/>
          <w:bCs/>
          <w:noProof/>
          <w:kern w:val="0"/>
        </w:rPr>
        <w:t>17</w:t>
      </w:r>
      <w:r w:rsidRPr="00C937AB">
        <w:rPr>
          <w:rFonts w:ascii="Arial" w:hAnsi="Arial" w:cs="Arial"/>
          <w:noProof/>
          <w:kern w:val="0"/>
        </w:rPr>
        <w:t>, 17–32 (2004).</w:t>
      </w:r>
    </w:p>
    <w:p w14:paraId="56FFDBDD"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16.</w:t>
      </w:r>
      <w:r w:rsidRPr="00C937AB">
        <w:rPr>
          <w:rFonts w:ascii="Arial" w:hAnsi="Arial" w:cs="Arial"/>
          <w:noProof/>
          <w:kern w:val="0"/>
        </w:rPr>
        <w:tab/>
        <w:t xml:space="preserve">Chang, G. J. J. </w:t>
      </w:r>
      <w:r w:rsidRPr="00C937AB">
        <w:rPr>
          <w:rFonts w:ascii="Arial" w:hAnsi="Arial" w:cs="Arial"/>
          <w:i/>
          <w:iCs/>
          <w:noProof/>
          <w:kern w:val="0"/>
        </w:rPr>
        <w:t>et al.</w:t>
      </w:r>
      <w:r w:rsidRPr="00C937AB">
        <w:rPr>
          <w:rFonts w:ascii="Arial" w:hAnsi="Arial" w:cs="Arial"/>
          <w:noProof/>
          <w:kern w:val="0"/>
        </w:rPr>
        <w:t xml:space="preserve"> Enhancing biosynthesis and secretion of premembrane and envelope proteins by the chimeric plasmid of dengue virus type 2 and Japanese encephalitis virus. </w:t>
      </w:r>
      <w:r w:rsidRPr="00C937AB">
        <w:rPr>
          <w:rFonts w:ascii="Arial" w:hAnsi="Arial" w:cs="Arial"/>
          <w:i/>
          <w:iCs/>
          <w:noProof/>
          <w:kern w:val="0"/>
        </w:rPr>
        <w:t>Virology</w:t>
      </w:r>
      <w:r w:rsidRPr="00C937AB">
        <w:rPr>
          <w:rFonts w:ascii="Arial" w:hAnsi="Arial" w:cs="Arial"/>
          <w:noProof/>
          <w:kern w:val="0"/>
        </w:rPr>
        <w:t xml:space="preserve"> </w:t>
      </w:r>
      <w:r w:rsidRPr="00C937AB">
        <w:rPr>
          <w:rFonts w:ascii="Arial" w:hAnsi="Arial" w:cs="Arial"/>
          <w:b/>
          <w:bCs/>
          <w:noProof/>
          <w:kern w:val="0"/>
        </w:rPr>
        <w:t>306</w:t>
      </w:r>
      <w:r w:rsidRPr="00C937AB">
        <w:rPr>
          <w:rFonts w:ascii="Arial" w:hAnsi="Arial" w:cs="Arial"/>
          <w:noProof/>
          <w:kern w:val="0"/>
        </w:rPr>
        <w:t>, 170–180 (2003).</w:t>
      </w:r>
    </w:p>
    <w:p w14:paraId="30A2809B"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17.</w:t>
      </w:r>
      <w:r w:rsidRPr="00C937AB">
        <w:rPr>
          <w:rFonts w:ascii="Arial" w:hAnsi="Arial" w:cs="Arial"/>
          <w:noProof/>
          <w:kern w:val="0"/>
        </w:rPr>
        <w:tab/>
        <w:t xml:space="preserve">Chang, G. J. J., Davis, B. S., Stringfield, C. &amp; Lutz, C. Prospective immunization of the endangered California condors (Gymnogyps californianus) protects this species from lethal West Nile virus infection. </w:t>
      </w:r>
      <w:r w:rsidRPr="00C937AB">
        <w:rPr>
          <w:rFonts w:ascii="Arial" w:hAnsi="Arial" w:cs="Arial"/>
          <w:i/>
          <w:iCs/>
          <w:noProof/>
          <w:kern w:val="0"/>
        </w:rPr>
        <w:t>Vaccine</w:t>
      </w:r>
      <w:r w:rsidRPr="00C937AB">
        <w:rPr>
          <w:rFonts w:ascii="Arial" w:hAnsi="Arial" w:cs="Arial"/>
          <w:noProof/>
          <w:kern w:val="0"/>
        </w:rPr>
        <w:t xml:space="preserve"> </w:t>
      </w:r>
      <w:r w:rsidRPr="00C937AB">
        <w:rPr>
          <w:rFonts w:ascii="Arial" w:hAnsi="Arial" w:cs="Arial"/>
          <w:b/>
          <w:bCs/>
          <w:noProof/>
          <w:kern w:val="0"/>
        </w:rPr>
        <w:t>25</w:t>
      </w:r>
      <w:r w:rsidRPr="00C937AB">
        <w:rPr>
          <w:rFonts w:ascii="Arial" w:hAnsi="Arial" w:cs="Arial"/>
          <w:noProof/>
          <w:kern w:val="0"/>
        </w:rPr>
        <w:t>, 2325–2330 (2007).</w:t>
      </w:r>
    </w:p>
    <w:p w14:paraId="652C938C"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18.</w:t>
      </w:r>
      <w:r w:rsidRPr="00C937AB">
        <w:rPr>
          <w:rFonts w:ascii="Arial" w:hAnsi="Arial" w:cs="Arial"/>
          <w:noProof/>
          <w:kern w:val="0"/>
        </w:rPr>
        <w:tab/>
        <w:t xml:space="preserve">Ludtke, S. J., Baldwin, P. R. &amp; Chiu, W. EMAN: Semiautomated software for high-resolution single-particle reconstructions. </w:t>
      </w:r>
      <w:r w:rsidRPr="00C937AB">
        <w:rPr>
          <w:rFonts w:ascii="Arial" w:hAnsi="Arial" w:cs="Arial"/>
          <w:i/>
          <w:iCs/>
          <w:noProof/>
          <w:kern w:val="0"/>
        </w:rPr>
        <w:t>J. Struct. Biol.</w:t>
      </w:r>
      <w:r w:rsidRPr="00C937AB">
        <w:rPr>
          <w:rFonts w:ascii="Arial" w:hAnsi="Arial" w:cs="Arial"/>
          <w:noProof/>
          <w:kern w:val="0"/>
        </w:rPr>
        <w:t xml:space="preserve"> </w:t>
      </w:r>
      <w:r w:rsidRPr="00C937AB">
        <w:rPr>
          <w:rFonts w:ascii="Arial" w:hAnsi="Arial" w:cs="Arial"/>
          <w:b/>
          <w:bCs/>
          <w:noProof/>
          <w:kern w:val="0"/>
        </w:rPr>
        <w:t>128</w:t>
      </w:r>
      <w:r w:rsidRPr="00C937AB">
        <w:rPr>
          <w:rFonts w:ascii="Arial" w:hAnsi="Arial" w:cs="Arial"/>
          <w:noProof/>
          <w:kern w:val="0"/>
        </w:rPr>
        <w:t>, 82–97 (1999).</w:t>
      </w:r>
    </w:p>
    <w:p w14:paraId="7A254882"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19.</w:t>
      </w:r>
      <w:r w:rsidRPr="00C937AB">
        <w:rPr>
          <w:rFonts w:ascii="Arial" w:hAnsi="Arial" w:cs="Arial"/>
          <w:noProof/>
          <w:kern w:val="0"/>
        </w:rPr>
        <w:tab/>
        <w:t xml:space="preserve">Tang, G. </w:t>
      </w:r>
      <w:r w:rsidRPr="00C937AB">
        <w:rPr>
          <w:rFonts w:ascii="Arial" w:hAnsi="Arial" w:cs="Arial"/>
          <w:i/>
          <w:iCs/>
          <w:noProof/>
          <w:kern w:val="0"/>
        </w:rPr>
        <w:t>et al.</w:t>
      </w:r>
      <w:r w:rsidRPr="00C937AB">
        <w:rPr>
          <w:rFonts w:ascii="Arial" w:hAnsi="Arial" w:cs="Arial"/>
          <w:noProof/>
          <w:kern w:val="0"/>
        </w:rPr>
        <w:t xml:space="preserve"> EMAN2: An extensible image processing suite for electron microscopy. </w:t>
      </w:r>
      <w:r w:rsidRPr="00C937AB">
        <w:rPr>
          <w:rFonts w:ascii="Arial" w:hAnsi="Arial" w:cs="Arial"/>
          <w:i/>
          <w:iCs/>
          <w:noProof/>
          <w:kern w:val="0"/>
        </w:rPr>
        <w:t>J. Struct. Biol.</w:t>
      </w:r>
      <w:r w:rsidRPr="00C937AB">
        <w:rPr>
          <w:rFonts w:ascii="Arial" w:hAnsi="Arial" w:cs="Arial"/>
          <w:noProof/>
          <w:kern w:val="0"/>
        </w:rPr>
        <w:t xml:space="preserve"> </w:t>
      </w:r>
      <w:r w:rsidRPr="00C937AB">
        <w:rPr>
          <w:rFonts w:ascii="Arial" w:hAnsi="Arial" w:cs="Arial"/>
          <w:b/>
          <w:bCs/>
          <w:noProof/>
          <w:kern w:val="0"/>
        </w:rPr>
        <w:t>157</w:t>
      </w:r>
      <w:r w:rsidRPr="00C937AB">
        <w:rPr>
          <w:rFonts w:ascii="Arial" w:hAnsi="Arial" w:cs="Arial"/>
          <w:noProof/>
          <w:kern w:val="0"/>
        </w:rPr>
        <w:t>, 38–46 (2007).</w:t>
      </w:r>
    </w:p>
    <w:p w14:paraId="035B9D97"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20.</w:t>
      </w:r>
      <w:r w:rsidRPr="00C937AB">
        <w:rPr>
          <w:rFonts w:ascii="Arial" w:hAnsi="Arial" w:cs="Arial"/>
          <w:noProof/>
          <w:kern w:val="0"/>
        </w:rPr>
        <w:tab/>
        <w:t xml:space="preserve">Jumper, J. </w:t>
      </w:r>
      <w:r w:rsidRPr="00C937AB">
        <w:rPr>
          <w:rFonts w:ascii="Arial" w:hAnsi="Arial" w:cs="Arial"/>
          <w:i/>
          <w:iCs/>
          <w:noProof/>
          <w:kern w:val="0"/>
        </w:rPr>
        <w:t>et al.</w:t>
      </w:r>
      <w:r w:rsidRPr="00C937AB">
        <w:rPr>
          <w:rFonts w:ascii="Arial" w:hAnsi="Arial" w:cs="Arial"/>
          <w:noProof/>
          <w:kern w:val="0"/>
        </w:rPr>
        <w:t xml:space="preserve"> Highly accurate protein structure prediction with AlphaFold. </w:t>
      </w:r>
      <w:r w:rsidRPr="00C937AB">
        <w:rPr>
          <w:rFonts w:ascii="Arial" w:hAnsi="Arial" w:cs="Arial"/>
          <w:i/>
          <w:iCs/>
          <w:noProof/>
          <w:kern w:val="0"/>
        </w:rPr>
        <w:t>Nature</w:t>
      </w:r>
      <w:r w:rsidRPr="00C937AB">
        <w:rPr>
          <w:rFonts w:ascii="Arial" w:hAnsi="Arial" w:cs="Arial"/>
          <w:noProof/>
          <w:kern w:val="0"/>
        </w:rPr>
        <w:t xml:space="preserve"> </w:t>
      </w:r>
      <w:r w:rsidRPr="00C937AB">
        <w:rPr>
          <w:rFonts w:ascii="Arial" w:hAnsi="Arial" w:cs="Arial"/>
          <w:b/>
          <w:bCs/>
          <w:noProof/>
          <w:kern w:val="0"/>
        </w:rPr>
        <w:t>596</w:t>
      </w:r>
      <w:r w:rsidRPr="00C937AB">
        <w:rPr>
          <w:rFonts w:ascii="Arial" w:hAnsi="Arial" w:cs="Arial"/>
          <w:noProof/>
          <w:kern w:val="0"/>
        </w:rPr>
        <w:t>, 583–589 (2021).</w:t>
      </w:r>
    </w:p>
    <w:p w14:paraId="6CB94ECB"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21.</w:t>
      </w:r>
      <w:r w:rsidRPr="00C937AB">
        <w:rPr>
          <w:rFonts w:ascii="Arial" w:hAnsi="Arial" w:cs="Arial"/>
          <w:noProof/>
          <w:kern w:val="0"/>
        </w:rPr>
        <w:tab/>
        <w:t xml:space="preserve">Pettersen, E. F. </w:t>
      </w:r>
      <w:r w:rsidRPr="00C937AB">
        <w:rPr>
          <w:rFonts w:ascii="Arial" w:hAnsi="Arial" w:cs="Arial"/>
          <w:i/>
          <w:iCs/>
          <w:noProof/>
          <w:kern w:val="0"/>
        </w:rPr>
        <w:t>et al.</w:t>
      </w:r>
      <w:r w:rsidRPr="00C937AB">
        <w:rPr>
          <w:rFonts w:ascii="Arial" w:hAnsi="Arial" w:cs="Arial"/>
          <w:noProof/>
          <w:kern w:val="0"/>
        </w:rPr>
        <w:t xml:space="preserve"> UCSF ChimeraX: Structure visualization for researchers, educators, and developers. </w:t>
      </w:r>
      <w:r w:rsidRPr="00C937AB">
        <w:rPr>
          <w:rFonts w:ascii="Arial" w:hAnsi="Arial" w:cs="Arial"/>
          <w:i/>
          <w:iCs/>
          <w:noProof/>
          <w:kern w:val="0"/>
        </w:rPr>
        <w:t>Protein Sci.</w:t>
      </w:r>
      <w:r w:rsidRPr="00C937AB">
        <w:rPr>
          <w:rFonts w:ascii="Arial" w:hAnsi="Arial" w:cs="Arial"/>
          <w:noProof/>
          <w:kern w:val="0"/>
        </w:rPr>
        <w:t xml:space="preserve"> </w:t>
      </w:r>
      <w:r w:rsidRPr="00C937AB">
        <w:rPr>
          <w:rFonts w:ascii="Arial" w:hAnsi="Arial" w:cs="Arial"/>
          <w:b/>
          <w:bCs/>
          <w:noProof/>
          <w:kern w:val="0"/>
        </w:rPr>
        <w:t>30</w:t>
      </w:r>
      <w:r w:rsidRPr="00C937AB">
        <w:rPr>
          <w:rFonts w:ascii="Arial" w:hAnsi="Arial" w:cs="Arial"/>
          <w:noProof/>
          <w:kern w:val="0"/>
        </w:rPr>
        <w:t>, 70–82 (2021).</w:t>
      </w:r>
    </w:p>
    <w:p w14:paraId="1C10B0A4"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22.</w:t>
      </w:r>
      <w:r w:rsidRPr="00C937AB">
        <w:rPr>
          <w:rFonts w:ascii="Arial" w:hAnsi="Arial" w:cs="Arial"/>
          <w:noProof/>
          <w:kern w:val="0"/>
        </w:rPr>
        <w:tab/>
        <w:t xml:space="preserve">Honegger, A. &amp; Plückthun, A. Yet another numbering scheme for immunoglobulin variable domains: An automatic modeling and analysis tool. </w:t>
      </w:r>
      <w:r w:rsidRPr="00C937AB">
        <w:rPr>
          <w:rFonts w:ascii="Arial" w:hAnsi="Arial" w:cs="Arial"/>
          <w:i/>
          <w:iCs/>
          <w:noProof/>
          <w:kern w:val="0"/>
        </w:rPr>
        <w:t>J. Mol. Biol.</w:t>
      </w:r>
      <w:r w:rsidRPr="00C937AB">
        <w:rPr>
          <w:rFonts w:ascii="Arial" w:hAnsi="Arial" w:cs="Arial"/>
          <w:noProof/>
          <w:kern w:val="0"/>
        </w:rPr>
        <w:t xml:space="preserve"> </w:t>
      </w:r>
      <w:r w:rsidRPr="00C937AB">
        <w:rPr>
          <w:rFonts w:ascii="Arial" w:hAnsi="Arial" w:cs="Arial"/>
          <w:b/>
          <w:bCs/>
          <w:noProof/>
          <w:kern w:val="0"/>
        </w:rPr>
        <w:t>309</w:t>
      </w:r>
      <w:r w:rsidRPr="00C937AB">
        <w:rPr>
          <w:rFonts w:ascii="Arial" w:hAnsi="Arial" w:cs="Arial"/>
          <w:noProof/>
          <w:kern w:val="0"/>
        </w:rPr>
        <w:t>, 657–670 (2001).</w:t>
      </w:r>
    </w:p>
    <w:p w14:paraId="475556D3"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23.</w:t>
      </w:r>
      <w:r w:rsidRPr="00C937AB">
        <w:rPr>
          <w:rFonts w:ascii="Arial" w:hAnsi="Arial" w:cs="Arial"/>
          <w:noProof/>
          <w:kern w:val="0"/>
        </w:rPr>
        <w:tab/>
        <w:t xml:space="preserve">Dunbar, J. &amp; Deane, C. M. ANARCI: Antigen receptor numbering and receptor classification. </w:t>
      </w:r>
      <w:r w:rsidRPr="00C937AB">
        <w:rPr>
          <w:rFonts w:ascii="Arial" w:hAnsi="Arial" w:cs="Arial"/>
          <w:i/>
          <w:iCs/>
          <w:noProof/>
          <w:kern w:val="0"/>
        </w:rPr>
        <w:t>Bioinformatics</w:t>
      </w:r>
      <w:r w:rsidRPr="00C937AB">
        <w:rPr>
          <w:rFonts w:ascii="Arial" w:hAnsi="Arial" w:cs="Arial"/>
          <w:noProof/>
          <w:kern w:val="0"/>
        </w:rPr>
        <w:t xml:space="preserve"> </w:t>
      </w:r>
      <w:r w:rsidRPr="00C937AB">
        <w:rPr>
          <w:rFonts w:ascii="Arial" w:hAnsi="Arial" w:cs="Arial"/>
          <w:b/>
          <w:bCs/>
          <w:noProof/>
          <w:kern w:val="0"/>
        </w:rPr>
        <w:t>32</w:t>
      </w:r>
      <w:r w:rsidRPr="00C937AB">
        <w:rPr>
          <w:rFonts w:ascii="Arial" w:hAnsi="Arial" w:cs="Arial"/>
          <w:noProof/>
          <w:kern w:val="0"/>
        </w:rPr>
        <w:t>, 298–300 (2016).</w:t>
      </w:r>
    </w:p>
    <w:p w14:paraId="2FF0AEED"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24.</w:t>
      </w:r>
      <w:r w:rsidRPr="00C937AB">
        <w:rPr>
          <w:rFonts w:ascii="Arial" w:hAnsi="Arial" w:cs="Arial"/>
          <w:noProof/>
          <w:kern w:val="0"/>
        </w:rPr>
        <w:tab/>
        <w:t xml:space="preserve">Zhang, S. </w:t>
      </w:r>
      <w:r w:rsidRPr="00C937AB">
        <w:rPr>
          <w:rFonts w:ascii="Arial" w:hAnsi="Arial" w:cs="Arial"/>
          <w:i/>
          <w:iCs/>
          <w:noProof/>
          <w:kern w:val="0"/>
        </w:rPr>
        <w:t>et al.</w:t>
      </w:r>
      <w:r w:rsidRPr="00C937AB">
        <w:rPr>
          <w:rFonts w:ascii="Arial" w:hAnsi="Arial" w:cs="Arial"/>
          <w:noProof/>
          <w:kern w:val="0"/>
        </w:rPr>
        <w:t xml:space="preserve"> ProDy 2.0: increased scale and scope after 10 years of protein dynamics modelling with Python. </w:t>
      </w:r>
      <w:r w:rsidRPr="00C937AB">
        <w:rPr>
          <w:rFonts w:ascii="Arial" w:hAnsi="Arial" w:cs="Arial"/>
          <w:i/>
          <w:iCs/>
          <w:noProof/>
          <w:kern w:val="0"/>
        </w:rPr>
        <w:t>Bioinformatics</w:t>
      </w:r>
      <w:r w:rsidRPr="00C937AB">
        <w:rPr>
          <w:rFonts w:ascii="Arial" w:hAnsi="Arial" w:cs="Arial"/>
          <w:noProof/>
          <w:kern w:val="0"/>
        </w:rPr>
        <w:t xml:space="preserve"> </w:t>
      </w:r>
      <w:r w:rsidRPr="00C937AB">
        <w:rPr>
          <w:rFonts w:ascii="Arial" w:hAnsi="Arial" w:cs="Arial"/>
          <w:b/>
          <w:bCs/>
          <w:noProof/>
          <w:kern w:val="0"/>
        </w:rPr>
        <w:t>37</w:t>
      </w:r>
      <w:r w:rsidRPr="00C937AB">
        <w:rPr>
          <w:rFonts w:ascii="Arial" w:hAnsi="Arial" w:cs="Arial"/>
          <w:noProof/>
          <w:kern w:val="0"/>
        </w:rPr>
        <w:t>, 3657–3659 (2021).</w:t>
      </w:r>
    </w:p>
    <w:p w14:paraId="3F737E82"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25.</w:t>
      </w:r>
      <w:r w:rsidRPr="00C937AB">
        <w:rPr>
          <w:rFonts w:ascii="Arial" w:hAnsi="Arial" w:cs="Arial"/>
          <w:noProof/>
          <w:kern w:val="0"/>
        </w:rPr>
        <w:tab/>
        <w:t xml:space="preserve">Eswar, N. </w:t>
      </w:r>
      <w:r w:rsidRPr="00C937AB">
        <w:rPr>
          <w:rFonts w:ascii="Arial" w:hAnsi="Arial" w:cs="Arial"/>
          <w:i/>
          <w:iCs/>
          <w:noProof/>
          <w:kern w:val="0"/>
        </w:rPr>
        <w:t>et al.</w:t>
      </w:r>
      <w:r w:rsidRPr="00C937AB">
        <w:rPr>
          <w:rFonts w:ascii="Arial" w:hAnsi="Arial" w:cs="Arial"/>
          <w:noProof/>
          <w:kern w:val="0"/>
        </w:rPr>
        <w:t xml:space="preserve"> </w:t>
      </w:r>
      <w:r w:rsidRPr="00C937AB">
        <w:rPr>
          <w:rFonts w:ascii="Arial" w:hAnsi="Arial" w:cs="Arial"/>
          <w:i/>
          <w:iCs/>
          <w:noProof/>
          <w:kern w:val="0"/>
        </w:rPr>
        <w:t>Comparative Protein Structure Modeling Using MODELLER</w:t>
      </w:r>
      <w:r w:rsidRPr="00C937AB">
        <w:rPr>
          <w:rFonts w:ascii="Arial" w:hAnsi="Arial" w:cs="Arial"/>
          <w:noProof/>
          <w:kern w:val="0"/>
        </w:rPr>
        <w:t xml:space="preserve">. </w:t>
      </w:r>
      <w:r w:rsidRPr="00C937AB">
        <w:rPr>
          <w:rFonts w:ascii="Arial" w:hAnsi="Arial" w:cs="Arial"/>
          <w:i/>
          <w:iCs/>
          <w:noProof/>
          <w:kern w:val="0"/>
        </w:rPr>
        <w:t>Current Protocols in Protein Science</w:t>
      </w:r>
      <w:r w:rsidRPr="00C937AB">
        <w:rPr>
          <w:rFonts w:ascii="Arial" w:hAnsi="Arial" w:cs="Arial"/>
          <w:noProof/>
          <w:kern w:val="0"/>
        </w:rPr>
        <w:t xml:space="preserve"> vol. 50 (2007).</w:t>
      </w:r>
    </w:p>
    <w:p w14:paraId="4CC914D9"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26.</w:t>
      </w:r>
      <w:r w:rsidRPr="00C937AB">
        <w:rPr>
          <w:rFonts w:ascii="Arial" w:hAnsi="Arial" w:cs="Arial"/>
          <w:noProof/>
          <w:kern w:val="0"/>
        </w:rPr>
        <w:tab/>
        <w:t xml:space="preserve">Yan, R. </w:t>
      </w:r>
      <w:r w:rsidRPr="00C937AB">
        <w:rPr>
          <w:rFonts w:ascii="Arial" w:hAnsi="Arial" w:cs="Arial"/>
          <w:i/>
          <w:iCs/>
          <w:noProof/>
          <w:kern w:val="0"/>
        </w:rPr>
        <w:t>et al.</w:t>
      </w:r>
      <w:r w:rsidRPr="00C937AB">
        <w:rPr>
          <w:rFonts w:ascii="Arial" w:hAnsi="Arial" w:cs="Arial"/>
          <w:noProof/>
          <w:kern w:val="0"/>
        </w:rPr>
        <w:t xml:space="preserve"> Structural basis for bivalent binding and inhibition of SARS-CoV-2 infection by human potent neutralizing antibodies. </w:t>
      </w:r>
      <w:r w:rsidRPr="00C937AB">
        <w:rPr>
          <w:rFonts w:ascii="Arial" w:hAnsi="Arial" w:cs="Arial"/>
          <w:i/>
          <w:iCs/>
          <w:noProof/>
          <w:kern w:val="0"/>
        </w:rPr>
        <w:t>Cell Res.</w:t>
      </w:r>
      <w:r w:rsidRPr="00C937AB">
        <w:rPr>
          <w:rFonts w:ascii="Arial" w:hAnsi="Arial" w:cs="Arial"/>
          <w:noProof/>
          <w:kern w:val="0"/>
        </w:rPr>
        <w:t xml:space="preserve"> </w:t>
      </w:r>
      <w:r w:rsidRPr="00C937AB">
        <w:rPr>
          <w:rFonts w:ascii="Arial" w:hAnsi="Arial" w:cs="Arial"/>
          <w:b/>
          <w:bCs/>
          <w:noProof/>
          <w:kern w:val="0"/>
        </w:rPr>
        <w:t>31</w:t>
      </w:r>
      <w:r w:rsidRPr="00C937AB">
        <w:rPr>
          <w:rFonts w:ascii="Arial" w:hAnsi="Arial" w:cs="Arial"/>
          <w:noProof/>
          <w:kern w:val="0"/>
        </w:rPr>
        <w:t>, 517–525 (2021).</w:t>
      </w:r>
    </w:p>
    <w:p w14:paraId="59319795"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lastRenderedPageBreak/>
        <w:t>27.</w:t>
      </w:r>
      <w:r w:rsidRPr="00C937AB">
        <w:rPr>
          <w:rFonts w:ascii="Arial" w:hAnsi="Arial" w:cs="Arial"/>
          <w:noProof/>
          <w:kern w:val="0"/>
        </w:rPr>
        <w:tab/>
        <w:t xml:space="preserve">Harris, L. J., Larson, S. B., Hasel, K. W. &amp; McPherson, A. Refined structure of an intact IgG2a monoclonal antibody. </w:t>
      </w:r>
      <w:r w:rsidRPr="00C937AB">
        <w:rPr>
          <w:rFonts w:ascii="Arial" w:hAnsi="Arial" w:cs="Arial"/>
          <w:i/>
          <w:iCs/>
          <w:noProof/>
          <w:kern w:val="0"/>
        </w:rPr>
        <w:t>Biochemistry</w:t>
      </w:r>
      <w:r w:rsidRPr="00C937AB">
        <w:rPr>
          <w:rFonts w:ascii="Arial" w:hAnsi="Arial" w:cs="Arial"/>
          <w:noProof/>
          <w:kern w:val="0"/>
        </w:rPr>
        <w:t xml:space="preserve"> </w:t>
      </w:r>
      <w:r w:rsidRPr="00C937AB">
        <w:rPr>
          <w:rFonts w:ascii="Arial" w:hAnsi="Arial" w:cs="Arial"/>
          <w:b/>
          <w:bCs/>
          <w:noProof/>
          <w:kern w:val="0"/>
        </w:rPr>
        <w:t>36</w:t>
      </w:r>
      <w:r w:rsidRPr="00C937AB">
        <w:rPr>
          <w:rFonts w:ascii="Arial" w:hAnsi="Arial" w:cs="Arial"/>
          <w:noProof/>
          <w:kern w:val="0"/>
        </w:rPr>
        <w:t>, 1581–1597 (1997).</w:t>
      </w:r>
    </w:p>
    <w:p w14:paraId="5E91054B"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28.</w:t>
      </w:r>
      <w:r w:rsidRPr="00C937AB">
        <w:rPr>
          <w:rFonts w:ascii="Arial" w:hAnsi="Arial" w:cs="Arial"/>
          <w:noProof/>
          <w:kern w:val="0"/>
        </w:rPr>
        <w:tab/>
        <w:t xml:space="preserve">Ritchie, D. W. &amp; Venkatraman, V. Ultra-fast FFT protein docking on graphics processors. </w:t>
      </w:r>
      <w:r w:rsidRPr="00C937AB">
        <w:rPr>
          <w:rFonts w:ascii="Arial" w:hAnsi="Arial" w:cs="Arial"/>
          <w:i/>
          <w:iCs/>
          <w:noProof/>
          <w:kern w:val="0"/>
        </w:rPr>
        <w:t>Bioinformatics</w:t>
      </w:r>
      <w:r w:rsidRPr="00C937AB">
        <w:rPr>
          <w:rFonts w:ascii="Arial" w:hAnsi="Arial" w:cs="Arial"/>
          <w:noProof/>
          <w:kern w:val="0"/>
        </w:rPr>
        <w:t xml:space="preserve"> </w:t>
      </w:r>
      <w:r w:rsidRPr="00C937AB">
        <w:rPr>
          <w:rFonts w:ascii="Arial" w:hAnsi="Arial" w:cs="Arial"/>
          <w:b/>
          <w:bCs/>
          <w:noProof/>
          <w:kern w:val="0"/>
        </w:rPr>
        <w:t>26</w:t>
      </w:r>
      <w:r w:rsidRPr="00C937AB">
        <w:rPr>
          <w:rFonts w:ascii="Arial" w:hAnsi="Arial" w:cs="Arial"/>
          <w:noProof/>
          <w:kern w:val="0"/>
        </w:rPr>
        <w:t>, 2398–2405 (2010).</w:t>
      </w:r>
    </w:p>
    <w:p w14:paraId="7C850A19"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29.</w:t>
      </w:r>
      <w:r w:rsidRPr="00C937AB">
        <w:rPr>
          <w:rFonts w:ascii="Arial" w:hAnsi="Arial" w:cs="Arial"/>
          <w:noProof/>
          <w:kern w:val="0"/>
        </w:rPr>
        <w:tab/>
        <w:t xml:space="preserve">Topf, M. </w:t>
      </w:r>
      <w:r w:rsidRPr="00C937AB">
        <w:rPr>
          <w:rFonts w:ascii="Arial" w:hAnsi="Arial" w:cs="Arial"/>
          <w:i/>
          <w:iCs/>
          <w:noProof/>
          <w:kern w:val="0"/>
        </w:rPr>
        <w:t>et al.</w:t>
      </w:r>
      <w:r w:rsidRPr="00C937AB">
        <w:rPr>
          <w:rFonts w:ascii="Arial" w:hAnsi="Arial" w:cs="Arial"/>
          <w:noProof/>
          <w:kern w:val="0"/>
        </w:rPr>
        <w:t xml:space="preserve"> Protein Structure Fitting and Refinement Guided by Cryo-EM Density. </w:t>
      </w:r>
      <w:r w:rsidRPr="00C937AB">
        <w:rPr>
          <w:rFonts w:ascii="Arial" w:hAnsi="Arial" w:cs="Arial"/>
          <w:i/>
          <w:iCs/>
          <w:noProof/>
          <w:kern w:val="0"/>
        </w:rPr>
        <w:t>Structure</w:t>
      </w:r>
      <w:r w:rsidRPr="00C937AB">
        <w:rPr>
          <w:rFonts w:ascii="Arial" w:hAnsi="Arial" w:cs="Arial"/>
          <w:noProof/>
          <w:kern w:val="0"/>
        </w:rPr>
        <w:t xml:space="preserve"> </w:t>
      </w:r>
      <w:r w:rsidRPr="00C937AB">
        <w:rPr>
          <w:rFonts w:ascii="Arial" w:hAnsi="Arial" w:cs="Arial"/>
          <w:b/>
          <w:bCs/>
          <w:noProof/>
          <w:kern w:val="0"/>
        </w:rPr>
        <w:t>16</w:t>
      </w:r>
      <w:r w:rsidRPr="00C937AB">
        <w:rPr>
          <w:rFonts w:ascii="Arial" w:hAnsi="Arial" w:cs="Arial"/>
          <w:noProof/>
          <w:kern w:val="0"/>
        </w:rPr>
        <w:t>, 295–307 (2008).</w:t>
      </w:r>
    </w:p>
    <w:p w14:paraId="16E16AF4"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30.</w:t>
      </w:r>
      <w:r w:rsidRPr="00C937AB">
        <w:rPr>
          <w:rFonts w:ascii="Arial" w:hAnsi="Arial" w:cs="Arial"/>
          <w:noProof/>
          <w:kern w:val="0"/>
        </w:rPr>
        <w:tab/>
        <w:t xml:space="preserve">Krissinel, E. &amp; Henrick, K. Inference of Macromolecular Assemblies from Crystalline State. </w:t>
      </w:r>
      <w:r w:rsidRPr="00C937AB">
        <w:rPr>
          <w:rFonts w:ascii="Arial" w:hAnsi="Arial" w:cs="Arial"/>
          <w:i/>
          <w:iCs/>
          <w:noProof/>
          <w:kern w:val="0"/>
        </w:rPr>
        <w:t>J. Mol. Biol.</w:t>
      </w:r>
      <w:r w:rsidRPr="00C937AB">
        <w:rPr>
          <w:rFonts w:ascii="Arial" w:hAnsi="Arial" w:cs="Arial"/>
          <w:noProof/>
          <w:kern w:val="0"/>
        </w:rPr>
        <w:t xml:space="preserve"> </w:t>
      </w:r>
      <w:r w:rsidRPr="00C937AB">
        <w:rPr>
          <w:rFonts w:ascii="Arial" w:hAnsi="Arial" w:cs="Arial"/>
          <w:b/>
          <w:bCs/>
          <w:noProof/>
          <w:kern w:val="0"/>
        </w:rPr>
        <w:t>372</w:t>
      </w:r>
      <w:r w:rsidRPr="00C937AB">
        <w:rPr>
          <w:rFonts w:ascii="Arial" w:hAnsi="Arial" w:cs="Arial"/>
          <w:noProof/>
          <w:kern w:val="0"/>
        </w:rPr>
        <w:t>, 774–797 (2007).</w:t>
      </w:r>
    </w:p>
    <w:p w14:paraId="60D0CE82"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31.</w:t>
      </w:r>
      <w:r w:rsidRPr="00C937AB">
        <w:rPr>
          <w:rFonts w:ascii="Arial" w:hAnsi="Arial" w:cs="Arial"/>
          <w:noProof/>
          <w:kern w:val="0"/>
        </w:rPr>
        <w:tab/>
        <w:t xml:space="preserve">Laskowski, R. A. </w:t>
      </w:r>
      <w:r w:rsidRPr="00C937AB">
        <w:rPr>
          <w:rFonts w:ascii="Arial" w:hAnsi="Arial" w:cs="Arial"/>
          <w:i/>
          <w:iCs/>
          <w:noProof/>
          <w:kern w:val="0"/>
        </w:rPr>
        <w:t>et al.</w:t>
      </w:r>
      <w:r w:rsidRPr="00C937AB">
        <w:rPr>
          <w:rFonts w:ascii="Arial" w:hAnsi="Arial" w:cs="Arial"/>
          <w:noProof/>
          <w:kern w:val="0"/>
        </w:rPr>
        <w:t xml:space="preserve"> PDBsum: A Web-based database of summaries and analyses of all PDB structures. </w:t>
      </w:r>
      <w:r w:rsidRPr="00C937AB">
        <w:rPr>
          <w:rFonts w:ascii="Arial" w:hAnsi="Arial" w:cs="Arial"/>
          <w:i/>
          <w:iCs/>
          <w:noProof/>
          <w:kern w:val="0"/>
        </w:rPr>
        <w:t>Trends Biochem. Sci.</w:t>
      </w:r>
      <w:r w:rsidRPr="00C937AB">
        <w:rPr>
          <w:rFonts w:ascii="Arial" w:hAnsi="Arial" w:cs="Arial"/>
          <w:noProof/>
          <w:kern w:val="0"/>
        </w:rPr>
        <w:t xml:space="preserve"> </w:t>
      </w:r>
      <w:r w:rsidRPr="00C937AB">
        <w:rPr>
          <w:rFonts w:ascii="Arial" w:hAnsi="Arial" w:cs="Arial"/>
          <w:b/>
          <w:bCs/>
          <w:noProof/>
          <w:kern w:val="0"/>
        </w:rPr>
        <w:t>22</w:t>
      </w:r>
      <w:r w:rsidRPr="00C937AB">
        <w:rPr>
          <w:rFonts w:ascii="Arial" w:hAnsi="Arial" w:cs="Arial"/>
          <w:noProof/>
          <w:kern w:val="0"/>
        </w:rPr>
        <w:t>, 488–490 (1997).</w:t>
      </w:r>
    </w:p>
    <w:p w14:paraId="458F3016"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32.</w:t>
      </w:r>
      <w:r w:rsidRPr="00C937AB">
        <w:rPr>
          <w:rFonts w:ascii="Arial" w:hAnsi="Arial" w:cs="Arial"/>
          <w:noProof/>
          <w:kern w:val="0"/>
        </w:rPr>
        <w:tab/>
        <w:t xml:space="preserve">Dussupt, V. </w:t>
      </w:r>
      <w:r w:rsidRPr="00C937AB">
        <w:rPr>
          <w:rFonts w:ascii="Arial" w:hAnsi="Arial" w:cs="Arial"/>
          <w:i/>
          <w:iCs/>
          <w:noProof/>
          <w:kern w:val="0"/>
        </w:rPr>
        <w:t>et al.</w:t>
      </w:r>
      <w:r w:rsidRPr="00C937AB">
        <w:rPr>
          <w:rFonts w:ascii="Arial" w:hAnsi="Arial" w:cs="Arial"/>
          <w:noProof/>
          <w:kern w:val="0"/>
        </w:rPr>
        <w:t xml:space="preserve"> Potent Zika and dengue cross-neutralizing antibodies induced by Zika vaccination in a dengue-experienced donor. </w:t>
      </w:r>
      <w:r w:rsidRPr="00C937AB">
        <w:rPr>
          <w:rFonts w:ascii="Arial" w:hAnsi="Arial" w:cs="Arial"/>
          <w:i/>
          <w:iCs/>
          <w:noProof/>
          <w:kern w:val="0"/>
        </w:rPr>
        <w:t>Nat. Med.</w:t>
      </w:r>
      <w:r w:rsidRPr="00C937AB">
        <w:rPr>
          <w:rFonts w:ascii="Arial" w:hAnsi="Arial" w:cs="Arial"/>
          <w:noProof/>
          <w:kern w:val="0"/>
        </w:rPr>
        <w:t xml:space="preserve"> </w:t>
      </w:r>
      <w:r w:rsidRPr="00C937AB">
        <w:rPr>
          <w:rFonts w:ascii="Arial" w:hAnsi="Arial" w:cs="Arial"/>
          <w:b/>
          <w:bCs/>
          <w:noProof/>
          <w:kern w:val="0"/>
        </w:rPr>
        <w:t>26</w:t>
      </w:r>
      <w:r w:rsidRPr="00C937AB">
        <w:rPr>
          <w:rFonts w:ascii="Arial" w:hAnsi="Arial" w:cs="Arial"/>
          <w:noProof/>
          <w:kern w:val="0"/>
        </w:rPr>
        <w:t>, 228–235 (2020).</w:t>
      </w:r>
    </w:p>
    <w:p w14:paraId="2134942F"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33.</w:t>
      </w:r>
      <w:r w:rsidRPr="00C937AB">
        <w:rPr>
          <w:rFonts w:ascii="Arial" w:hAnsi="Arial" w:cs="Arial"/>
          <w:noProof/>
          <w:kern w:val="0"/>
        </w:rPr>
        <w:tab/>
        <w:t xml:space="preserve">Dai, L. </w:t>
      </w:r>
      <w:r w:rsidRPr="00C937AB">
        <w:rPr>
          <w:rFonts w:ascii="Arial" w:hAnsi="Arial" w:cs="Arial"/>
          <w:i/>
          <w:iCs/>
          <w:noProof/>
          <w:kern w:val="0"/>
        </w:rPr>
        <w:t>et al.</w:t>
      </w:r>
      <w:r w:rsidRPr="00C937AB">
        <w:rPr>
          <w:rFonts w:ascii="Arial" w:hAnsi="Arial" w:cs="Arial"/>
          <w:noProof/>
          <w:kern w:val="0"/>
        </w:rPr>
        <w:t xml:space="preserve"> Structures of the Zika Virus Envelope Protein and Its Complex with a Flavivirus Broadly Protective Antibody. </w:t>
      </w:r>
      <w:r w:rsidRPr="00C937AB">
        <w:rPr>
          <w:rFonts w:ascii="Arial" w:hAnsi="Arial" w:cs="Arial"/>
          <w:i/>
          <w:iCs/>
          <w:noProof/>
          <w:kern w:val="0"/>
        </w:rPr>
        <w:t>Cell Host Microbe</w:t>
      </w:r>
      <w:r w:rsidRPr="00C937AB">
        <w:rPr>
          <w:rFonts w:ascii="Arial" w:hAnsi="Arial" w:cs="Arial"/>
          <w:noProof/>
          <w:kern w:val="0"/>
        </w:rPr>
        <w:t xml:space="preserve"> </w:t>
      </w:r>
      <w:r w:rsidRPr="00C937AB">
        <w:rPr>
          <w:rFonts w:ascii="Arial" w:hAnsi="Arial" w:cs="Arial"/>
          <w:b/>
          <w:bCs/>
          <w:noProof/>
          <w:kern w:val="0"/>
        </w:rPr>
        <w:t>19</w:t>
      </w:r>
      <w:r w:rsidRPr="00C937AB">
        <w:rPr>
          <w:rFonts w:ascii="Arial" w:hAnsi="Arial" w:cs="Arial"/>
          <w:noProof/>
          <w:kern w:val="0"/>
        </w:rPr>
        <w:t>, 696–704 (2016).</w:t>
      </w:r>
    </w:p>
    <w:p w14:paraId="7925A0E5"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34.</w:t>
      </w:r>
      <w:r w:rsidRPr="00C937AB">
        <w:rPr>
          <w:rFonts w:ascii="Arial" w:hAnsi="Arial" w:cs="Arial"/>
          <w:noProof/>
          <w:kern w:val="0"/>
        </w:rPr>
        <w:tab/>
        <w:t xml:space="preserve">Deng, Y. Q. </w:t>
      </w:r>
      <w:r w:rsidRPr="00C937AB">
        <w:rPr>
          <w:rFonts w:ascii="Arial" w:hAnsi="Arial" w:cs="Arial"/>
          <w:i/>
          <w:iCs/>
          <w:noProof/>
          <w:kern w:val="0"/>
        </w:rPr>
        <w:t>et al.</w:t>
      </w:r>
      <w:r w:rsidRPr="00C937AB">
        <w:rPr>
          <w:rFonts w:ascii="Arial" w:hAnsi="Arial" w:cs="Arial"/>
          <w:noProof/>
          <w:kern w:val="0"/>
        </w:rPr>
        <w:t xml:space="preserve"> A broadly flavivirus cross-neutralizing monoclonal antibody that recognizes a novel epitope within the fusion loop of e protein. </w:t>
      </w:r>
      <w:r w:rsidRPr="00C937AB">
        <w:rPr>
          <w:rFonts w:ascii="Arial" w:hAnsi="Arial" w:cs="Arial"/>
          <w:i/>
          <w:iCs/>
          <w:noProof/>
          <w:kern w:val="0"/>
        </w:rPr>
        <w:t>PLoS One</w:t>
      </w:r>
      <w:r w:rsidRPr="00C937AB">
        <w:rPr>
          <w:rFonts w:ascii="Arial" w:hAnsi="Arial" w:cs="Arial"/>
          <w:noProof/>
          <w:kern w:val="0"/>
        </w:rPr>
        <w:t xml:space="preserve"> </w:t>
      </w:r>
      <w:r w:rsidRPr="00C937AB">
        <w:rPr>
          <w:rFonts w:ascii="Arial" w:hAnsi="Arial" w:cs="Arial"/>
          <w:b/>
          <w:bCs/>
          <w:noProof/>
          <w:kern w:val="0"/>
        </w:rPr>
        <w:t>6</w:t>
      </w:r>
      <w:r w:rsidRPr="00C937AB">
        <w:rPr>
          <w:rFonts w:ascii="Arial" w:hAnsi="Arial" w:cs="Arial"/>
          <w:noProof/>
          <w:kern w:val="0"/>
        </w:rPr>
        <w:t>, (2011).</w:t>
      </w:r>
    </w:p>
    <w:p w14:paraId="339A5885"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35.</w:t>
      </w:r>
      <w:r w:rsidRPr="00C937AB">
        <w:rPr>
          <w:rFonts w:ascii="Arial" w:hAnsi="Arial" w:cs="Arial"/>
          <w:noProof/>
          <w:kern w:val="0"/>
        </w:rPr>
        <w:tab/>
        <w:t xml:space="preserve">Chao, D. Y. </w:t>
      </w:r>
      <w:r w:rsidRPr="00C937AB">
        <w:rPr>
          <w:rFonts w:ascii="Arial" w:hAnsi="Arial" w:cs="Arial"/>
          <w:i/>
          <w:iCs/>
          <w:noProof/>
          <w:kern w:val="0"/>
        </w:rPr>
        <w:t>et al.</w:t>
      </w:r>
      <w:r w:rsidRPr="00C937AB">
        <w:rPr>
          <w:rFonts w:ascii="Arial" w:hAnsi="Arial" w:cs="Arial"/>
          <w:noProof/>
          <w:kern w:val="0"/>
        </w:rPr>
        <w:t xml:space="preserve"> Comprehensive evaluation of differential serodiagnosis between Zika and dengue viral infections. </w:t>
      </w:r>
      <w:r w:rsidRPr="00C937AB">
        <w:rPr>
          <w:rFonts w:ascii="Arial" w:hAnsi="Arial" w:cs="Arial"/>
          <w:i/>
          <w:iCs/>
          <w:noProof/>
          <w:kern w:val="0"/>
        </w:rPr>
        <w:t>J. Clin. Microbiol.</w:t>
      </w:r>
      <w:r w:rsidRPr="00C937AB">
        <w:rPr>
          <w:rFonts w:ascii="Arial" w:hAnsi="Arial" w:cs="Arial"/>
          <w:noProof/>
          <w:kern w:val="0"/>
        </w:rPr>
        <w:t xml:space="preserve"> </w:t>
      </w:r>
      <w:r w:rsidRPr="00C937AB">
        <w:rPr>
          <w:rFonts w:ascii="Arial" w:hAnsi="Arial" w:cs="Arial"/>
          <w:b/>
          <w:bCs/>
          <w:noProof/>
          <w:kern w:val="0"/>
        </w:rPr>
        <w:t>57</w:t>
      </w:r>
      <w:r w:rsidRPr="00C937AB">
        <w:rPr>
          <w:rFonts w:ascii="Arial" w:hAnsi="Arial" w:cs="Arial"/>
          <w:noProof/>
          <w:kern w:val="0"/>
        </w:rPr>
        <w:t>, (2019).</w:t>
      </w:r>
    </w:p>
    <w:p w14:paraId="4342AC60"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36.</w:t>
      </w:r>
      <w:r w:rsidRPr="00C937AB">
        <w:rPr>
          <w:rFonts w:ascii="Arial" w:hAnsi="Arial" w:cs="Arial"/>
          <w:noProof/>
          <w:kern w:val="0"/>
        </w:rPr>
        <w:tab/>
        <w:t xml:space="preserve">de Alwis, R. </w:t>
      </w:r>
      <w:r w:rsidRPr="00C937AB">
        <w:rPr>
          <w:rFonts w:ascii="Arial" w:hAnsi="Arial" w:cs="Arial"/>
          <w:i/>
          <w:iCs/>
          <w:noProof/>
          <w:kern w:val="0"/>
        </w:rPr>
        <w:t>et al.</w:t>
      </w:r>
      <w:r w:rsidRPr="00C937AB">
        <w:rPr>
          <w:rFonts w:ascii="Arial" w:hAnsi="Arial" w:cs="Arial"/>
          <w:noProof/>
          <w:kern w:val="0"/>
        </w:rPr>
        <w:t xml:space="preserve"> In-depth analysis of the antibody response of individuals exposed to primary dengue virus infection. </w:t>
      </w:r>
      <w:r w:rsidRPr="00C937AB">
        <w:rPr>
          <w:rFonts w:ascii="Arial" w:hAnsi="Arial" w:cs="Arial"/>
          <w:i/>
          <w:iCs/>
          <w:noProof/>
          <w:kern w:val="0"/>
        </w:rPr>
        <w:t>PLoS Negl. Trop. Dis.</w:t>
      </w:r>
      <w:r w:rsidRPr="00C937AB">
        <w:rPr>
          <w:rFonts w:ascii="Arial" w:hAnsi="Arial" w:cs="Arial"/>
          <w:noProof/>
          <w:kern w:val="0"/>
        </w:rPr>
        <w:t xml:space="preserve"> </w:t>
      </w:r>
      <w:r w:rsidRPr="00C937AB">
        <w:rPr>
          <w:rFonts w:ascii="Arial" w:hAnsi="Arial" w:cs="Arial"/>
          <w:b/>
          <w:bCs/>
          <w:noProof/>
          <w:kern w:val="0"/>
        </w:rPr>
        <w:t>5</w:t>
      </w:r>
      <w:r w:rsidRPr="00C937AB">
        <w:rPr>
          <w:rFonts w:ascii="Arial" w:hAnsi="Arial" w:cs="Arial"/>
          <w:noProof/>
          <w:kern w:val="0"/>
        </w:rPr>
        <w:t>, 1–8 (2011).</w:t>
      </w:r>
    </w:p>
    <w:p w14:paraId="6FDBB258"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37.</w:t>
      </w:r>
      <w:r w:rsidRPr="00C937AB">
        <w:rPr>
          <w:rFonts w:ascii="Arial" w:hAnsi="Arial" w:cs="Arial"/>
          <w:noProof/>
          <w:kern w:val="0"/>
        </w:rPr>
        <w:tab/>
        <w:t xml:space="preserve">Tsai, W. </w:t>
      </w:r>
      <w:r w:rsidRPr="00C937AB">
        <w:rPr>
          <w:rFonts w:ascii="Arial" w:hAnsi="Arial" w:cs="Arial"/>
          <w:i/>
          <w:iCs/>
          <w:noProof/>
          <w:kern w:val="0"/>
        </w:rPr>
        <w:t>et al.</w:t>
      </w:r>
      <w:r w:rsidRPr="00C937AB">
        <w:rPr>
          <w:rFonts w:ascii="Arial" w:hAnsi="Arial" w:cs="Arial"/>
          <w:noProof/>
          <w:kern w:val="0"/>
        </w:rPr>
        <w:t xml:space="preserve"> High-avidity and potently neutralizing cross-reactive human monoclonal antibodies derived from secondary dengue virus infection. </w:t>
      </w:r>
      <w:r w:rsidRPr="00C937AB">
        <w:rPr>
          <w:rFonts w:ascii="Arial" w:hAnsi="Arial" w:cs="Arial"/>
          <w:i/>
          <w:iCs/>
          <w:noProof/>
          <w:kern w:val="0"/>
        </w:rPr>
        <w:t>J. Virol.</w:t>
      </w:r>
      <w:r w:rsidRPr="00C937AB">
        <w:rPr>
          <w:rFonts w:ascii="Arial" w:hAnsi="Arial" w:cs="Arial"/>
          <w:noProof/>
          <w:kern w:val="0"/>
        </w:rPr>
        <w:t xml:space="preserve"> </w:t>
      </w:r>
      <w:r w:rsidRPr="00C937AB">
        <w:rPr>
          <w:rFonts w:ascii="Arial" w:hAnsi="Arial" w:cs="Arial"/>
          <w:b/>
          <w:bCs/>
          <w:noProof/>
          <w:kern w:val="0"/>
        </w:rPr>
        <w:t>87</w:t>
      </w:r>
      <w:r w:rsidRPr="00C937AB">
        <w:rPr>
          <w:rFonts w:ascii="Arial" w:hAnsi="Arial" w:cs="Arial"/>
          <w:noProof/>
          <w:kern w:val="0"/>
        </w:rPr>
        <w:t>, 12562–12575 (2013).</w:t>
      </w:r>
    </w:p>
    <w:p w14:paraId="5A55C125"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38.</w:t>
      </w:r>
      <w:r w:rsidRPr="00C937AB">
        <w:rPr>
          <w:rFonts w:ascii="Arial" w:hAnsi="Arial" w:cs="Arial"/>
          <w:noProof/>
          <w:kern w:val="0"/>
        </w:rPr>
        <w:tab/>
        <w:t xml:space="preserve">Cavallo, L., Kleinjung, J. &amp; Fraternali, F. POPS: A fast algorithm for solvent accessible surface areas at atomic and residue level. </w:t>
      </w:r>
      <w:r w:rsidRPr="00C937AB">
        <w:rPr>
          <w:rFonts w:ascii="Arial" w:hAnsi="Arial" w:cs="Arial"/>
          <w:i/>
          <w:iCs/>
          <w:noProof/>
          <w:kern w:val="0"/>
        </w:rPr>
        <w:t>Nucleic Acids Res.</w:t>
      </w:r>
      <w:r w:rsidRPr="00C937AB">
        <w:rPr>
          <w:rFonts w:ascii="Arial" w:hAnsi="Arial" w:cs="Arial"/>
          <w:noProof/>
          <w:kern w:val="0"/>
        </w:rPr>
        <w:t xml:space="preserve"> </w:t>
      </w:r>
      <w:r w:rsidRPr="00C937AB">
        <w:rPr>
          <w:rFonts w:ascii="Arial" w:hAnsi="Arial" w:cs="Arial"/>
          <w:b/>
          <w:bCs/>
          <w:noProof/>
          <w:kern w:val="0"/>
        </w:rPr>
        <w:t>31</w:t>
      </w:r>
      <w:r w:rsidRPr="00C937AB">
        <w:rPr>
          <w:rFonts w:ascii="Arial" w:hAnsi="Arial" w:cs="Arial"/>
          <w:noProof/>
          <w:kern w:val="0"/>
        </w:rPr>
        <w:t>, 3364–3366 (2003).</w:t>
      </w:r>
    </w:p>
    <w:p w14:paraId="26DF86EE" w14:textId="77777777" w:rsidR="00C937AB" w:rsidRPr="00C937AB" w:rsidRDefault="00C937AB" w:rsidP="00C937AB">
      <w:pPr>
        <w:autoSpaceDE w:val="0"/>
        <w:autoSpaceDN w:val="0"/>
        <w:adjustRightInd w:val="0"/>
        <w:ind w:left="640" w:hanging="640"/>
        <w:rPr>
          <w:rFonts w:ascii="Arial" w:hAnsi="Arial" w:cs="Arial"/>
          <w:noProof/>
          <w:kern w:val="0"/>
        </w:rPr>
      </w:pPr>
      <w:r w:rsidRPr="00C937AB">
        <w:rPr>
          <w:rFonts w:ascii="Arial" w:hAnsi="Arial" w:cs="Arial"/>
          <w:noProof/>
          <w:kern w:val="0"/>
        </w:rPr>
        <w:t>39.</w:t>
      </w:r>
      <w:r w:rsidRPr="00C937AB">
        <w:rPr>
          <w:rFonts w:ascii="Arial" w:hAnsi="Arial" w:cs="Arial"/>
          <w:noProof/>
          <w:kern w:val="0"/>
        </w:rPr>
        <w:tab/>
        <w:t xml:space="preserve">Kohler, G. &amp; Milstein, C. Continuous culturs of fused cells secreting antibody of predefined specificity. </w:t>
      </w:r>
      <w:r w:rsidRPr="00C937AB">
        <w:rPr>
          <w:rFonts w:ascii="Arial" w:hAnsi="Arial" w:cs="Arial"/>
          <w:i/>
          <w:iCs/>
          <w:noProof/>
          <w:kern w:val="0"/>
        </w:rPr>
        <w:t>Nature</w:t>
      </w:r>
      <w:r w:rsidRPr="00C937AB">
        <w:rPr>
          <w:rFonts w:ascii="Arial" w:hAnsi="Arial" w:cs="Arial"/>
          <w:noProof/>
          <w:kern w:val="0"/>
        </w:rPr>
        <w:t xml:space="preserve"> </w:t>
      </w:r>
      <w:r w:rsidRPr="00C937AB">
        <w:rPr>
          <w:rFonts w:ascii="Arial" w:hAnsi="Arial" w:cs="Arial"/>
          <w:b/>
          <w:bCs/>
          <w:noProof/>
          <w:kern w:val="0"/>
        </w:rPr>
        <w:t>254</w:t>
      </w:r>
      <w:r w:rsidRPr="00C937AB">
        <w:rPr>
          <w:rFonts w:ascii="Arial" w:hAnsi="Arial" w:cs="Arial"/>
          <w:noProof/>
          <w:kern w:val="0"/>
        </w:rPr>
        <w:t>, 84–87 (1975).</w:t>
      </w:r>
    </w:p>
    <w:p w14:paraId="68480DCF" w14:textId="77777777" w:rsidR="00C937AB" w:rsidRPr="00C937AB" w:rsidRDefault="00C937AB" w:rsidP="00C937AB">
      <w:pPr>
        <w:autoSpaceDE w:val="0"/>
        <w:autoSpaceDN w:val="0"/>
        <w:adjustRightInd w:val="0"/>
        <w:ind w:left="640" w:hanging="640"/>
        <w:rPr>
          <w:rFonts w:ascii="Arial" w:hAnsi="Arial" w:cs="Arial"/>
          <w:noProof/>
        </w:rPr>
      </w:pPr>
      <w:r w:rsidRPr="00C937AB">
        <w:rPr>
          <w:rFonts w:ascii="Arial" w:hAnsi="Arial" w:cs="Arial"/>
          <w:noProof/>
          <w:kern w:val="0"/>
        </w:rPr>
        <w:t>40.</w:t>
      </w:r>
      <w:r w:rsidRPr="00C937AB">
        <w:rPr>
          <w:rFonts w:ascii="Arial" w:hAnsi="Arial" w:cs="Arial"/>
          <w:noProof/>
          <w:kern w:val="0"/>
        </w:rPr>
        <w:tab/>
        <w:t xml:space="preserve">Chen, Y. C. </w:t>
      </w:r>
      <w:r w:rsidRPr="00C937AB">
        <w:rPr>
          <w:rFonts w:ascii="Arial" w:hAnsi="Arial" w:cs="Arial"/>
          <w:i/>
          <w:iCs/>
          <w:noProof/>
          <w:kern w:val="0"/>
        </w:rPr>
        <w:t>et al.</w:t>
      </w:r>
      <w:r w:rsidRPr="00C937AB">
        <w:rPr>
          <w:rFonts w:ascii="Arial" w:hAnsi="Arial" w:cs="Arial"/>
          <w:noProof/>
          <w:kern w:val="0"/>
        </w:rPr>
        <w:t xml:space="preserve"> Generation and characterization of monoclonal antibodies against dengue virus type 1 for epitope mapping and serological detection by epitope-based peptide antigens. </w:t>
      </w:r>
      <w:r w:rsidRPr="00C937AB">
        <w:rPr>
          <w:rFonts w:ascii="Arial" w:hAnsi="Arial" w:cs="Arial"/>
          <w:i/>
          <w:iCs/>
          <w:noProof/>
          <w:kern w:val="0"/>
        </w:rPr>
        <w:t xml:space="preserve">Clin. Vaccine </w:t>
      </w:r>
      <w:r w:rsidRPr="00C937AB">
        <w:rPr>
          <w:rFonts w:ascii="Arial" w:hAnsi="Arial" w:cs="Arial"/>
          <w:i/>
          <w:iCs/>
          <w:noProof/>
          <w:kern w:val="0"/>
        </w:rPr>
        <w:lastRenderedPageBreak/>
        <w:t>Immunol.</w:t>
      </w:r>
      <w:r w:rsidRPr="00C937AB">
        <w:rPr>
          <w:rFonts w:ascii="Arial" w:hAnsi="Arial" w:cs="Arial"/>
          <w:noProof/>
          <w:kern w:val="0"/>
        </w:rPr>
        <w:t xml:space="preserve"> </w:t>
      </w:r>
      <w:r w:rsidRPr="00C937AB">
        <w:rPr>
          <w:rFonts w:ascii="Arial" w:hAnsi="Arial" w:cs="Arial"/>
          <w:b/>
          <w:bCs/>
          <w:noProof/>
          <w:kern w:val="0"/>
        </w:rPr>
        <w:t>14</w:t>
      </w:r>
      <w:r w:rsidRPr="00C937AB">
        <w:rPr>
          <w:rFonts w:ascii="Arial" w:hAnsi="Arial" w:cs="Arial"/>
          <w:noProof/>
          <w:kern w:val="0"/>
        </w:rPr>
        <w:t>, 404–411 (2007).</w:t>
      </w:r>
    </w:p>
    <w:p w14:paraId="36BE9388" w14:textId="2F46A4A1" w:rsidR="003533B3" w:rsidRPr="00A74ED6" w:rsidRDefault="003533B3" w:rsidP="00C937AB">
      <w:pPr>
        <w:autoSpaceDE w:val="0"/>
        <w:autoSpaceDN w:val="0"/>
        <w:adjustRightInd w:val="0"/>
        <w:ind w:left="640" w:hanging="640"/>
        <w:rPr>
          <w:rFonts w:ascii="Arial" w:hAnsi="Arial" w:cs="Arial"/>
          <w:b/>
          <w:bCs/>
        </w:rPr>
      </w:pPr>
      <w:r>
        <w:rPr>
          <w:rFonts w:ascii="Arial" w:hAnsi="Arial" w:cs="Arial"/>
          <w:b/>
          <w:bCs/>
        </w:rPr>
        <w:fldChar w:fldCharType="end"/>
      </w:r>
    </w:p>
    <w:sectPr w:rsidR="003533B3" w:rsidRPr="00A74ED6" w:rsidSect="00ED0F92">
      <w:pgSz w:w="11900" w:h="16840"/>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EF" w:usb1="C0007841" w:usb2="00000009" w:usb3="00000000" w:csb0="000001FF" w:csb1="00000000"/>
  </w:font>
  <w:font w:name="AdvOT7fe89a09">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PingFang TC">
    <w:panose1 w:val="020B0400000000000000"/>
    <w:charset w:val="88"/>
    <w:family w:val="swiss"/>
    <w:pitch w:val="variable"/>
    <w:sig w:usb0="A00002FF" w:usb1="7ACFFDFB" w:usb2="00000017"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hideSpellingErrors/>
  <w:hideGrammaticalErrors/>
  <w:proofState w:spelling="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99A"/>
    <w:rsid w:val="00000F67"/>
    <w:rsid w:val="000016FB"/>
    <w:rsid w:val="00010BAF"/>
    <w:rsid w:val="0001725A"/>
    <w:rsid w:val="00023CF2"/>
    <w:rsid w:val="000251BE"/>
    <w:rsid w:val="00025F5B"/>
    <w:rsid w:val="0003059C"/>
    <w:rsid w:val="00035D9B"/>
    <w:rsid w:val="00036AD0"/>
    <w:rsid w:val="00046561"/>
    <w:rsid w:val="0005011C"/>
    <w:rsid w:val="0005194A"/>
    <w:rsid w:val="000574B7"/>
    <w:rsid w:val="00057935"/>
    <w:rsid w:val="00060725"/>
    <w:rsid w:val="000615D0"/>
    <w:rsid w:val="000651A8"/>
    <w:rsid w:val="00076474"/>
    <w:rsid w:val="000821F1"/>
    <w:rsid w:val="000828EF"/>
    <w:rsid w:val="00087CF7"/>
    <w:rsid w:val="000910B9"/>
    <w:rsid w:val="000A2827"/>
    <w:rsid w:val="000B4960"/>
    <w:rsid w:val="000B4A0D"/>
    <w:rsid w:val="000B775A"/>
    <w:rsid w:val="000B79FC"/>
    <w:rsid w:val="000C3DA5"/>
    <w:rsid w:val="000C52FD"/>
    <w:rsid w:val="000D22F5"/>
    <w:rsid w:val="000D4A39"/>
    <w:rsid w:val="000E49A9"/>
    <w:rsid w:val="000E6E32"/>
    <w:rsid w:val="000F226A"/>
    <w:rsid w:val="000F5614"/>
    <w:rsid w:val="000F7BAE"/>
    <w:rsid w:val="001000F8"/>
    <w:rsid w:val="0010541D"/>
    <w:rsid w:val="00112491"/>
    <w:rsid w:val="00112942"/>
    <w:rsid w:val="001129C8"/>
    <w:rsid w:val="00114762"/>
    <w:rsid w:val="0011485D"/>
    <w:rsid w:val="00114D98"/>
    <w:rsid w:val="0011713C"/>
    <w:rsid w:val="0012107D"/>
    <w:rsid w:val="00121D87"/>
    <w:rsid w:val="00122A03"/>
    <w:rsid w:val="001248DC"/>
    <w:rsid w:val="00127AA1"/>
    <w:rsid w:val="00130B85"/>
    <w:rsid w:val="001311B2"/>
    <w:rsid w:val="0013180D"/>
    <w:rsid w:val="00132898"/>
    <w:rsid w:val="001426C2"/>
    <w:rsid w:val="00143EA4"/>
    <w:rsid w:val="0014464B"/>
    <w:rsid w:val="00146F08"/>
    <w:rsid w:val="0015070B"/>
    <w:rsid w:val="001532BA"/>
    <w:rsid w:val="001564A3"/>
    <w:rsid w:val="00156907"/>
    <w:rsid w:val="001574AF"/>
    <w:rsid w:val="00162B06"/>
    <w:rsid w:val="00173321"/>
    <w:rsid w:val="00176A95"/>
    <w:rsid w:val="00180C91"/>
    <w:rsid w:val="00183B29"/>
    <w:rsid w:val="001968CE"/>
    <w:rsid w:val="00197455"/>
    <w:rsid w:val="001A35A7"/>
    <w:rsid w:val="001A575A"/>
    <w:rsid w:val="001A7FAF"/>
    <w:rsid w:val="001B3C73"/>
    <w:rsid w:val="001C0F52"/>
    <w:rsid w:val="001C0FD8"/>
    <w:rsid w:val="001C2ED2"/>
    <w:rsid w:val="001C7AB0"/>
    <w:rsid w:val="001D3618"/>
    <w:rsid w:val="001D4D87"/>
    <w:rsid w:val="001D7F15"/>
    <w:rsid w:val="001E7F43"/>
    <w:rsid w:val="001F02BF"/>
    <w:rsid w:val="001F3DEC"/>
    <w:rsid w:val="001F5AD5"/>
    <w:rsid w:val="002033DF"/>
    <w:rsid w:val="0020460E"/>
    <w:rsid w:val="0020640B"/>
    <w:rsid w:val="00212FA5"/>
    <w:rsid w:val="00213C2D"/>
    <w:rsid w:val="00215014"/>
    <w:rsid w:val="002159C1"/>
    <w:rsid w:val="00221069"/>
    <w:rsid w:val="002269B6"/>
    <w:rsid w:val="0023147E"/>
    <w:rsid w:val="002318DE"/>
    <w:rsid w:val="00235126"/>
    <w:rsid w:val="002529A9"/>
    <w:rsid w:val="0025388E"/>
    <w:rsid w:val="0025730F"/>
    <w:rsid w:val="00262694"/>
    <w:rsid w:val="00264803"/>
    <w:rsid w:val="00266793"/>
    <w:rsid w:val="00267F51"/>
    <w:rsid w:val="00270308"/>
    <w:rsid w:val="00272E03"/>
    <w:rsid w:val="0027415B"/>
    <w:rsid w:val="00277965"/>
    <w:rsid w:val="002833E4"/>
    <w:rsid w:val="002903F7"/>
    <w:rsid w:val="00290575"/>
    <w:rsid w:val="002915B3"/>
    <w:rsid w:val="002951D2"/>
    <w:rsid w:val="00297548"/>
    <w:rsid w:val="002A4B8F"/>
    <w:rsid w:val="002A57ED"/>
    <w:rsid w:val="002B0122"/>
    <w:rsid w:val="002B6566"/>
    <w:rsid w:val="002C2E77"/>
    <w:rsid w:val="002C408C"/>
    <w:rsid w:val="002C468B"/>
    <w:rsid w:val="002D14C9"/>
    <w:rsid w:val="002D150F"/>
    <w:rsid w:val="002D17B4"/>
    <w:rsid w:val="002D2544"/>
    <w:rsid w:val="002D2D1B"/>
    <w:rsid w:val="002E15DC"/>
    <w:rsid w:val="002E2E4E"/>
    <w:rsid w:val="002E46C1"/>
    <w:rsid w:val="00301509"/>
    <w:rsid w:val="00306358"/>
    <w:rsid w:val="00316616"/>
    <w:rsid w:val="0032378E"/>
    <w:rsid w:val="00323B85"/>
    <w:rsid w:val="00335564"/>
    <w:rsid w:val="00340840"/>
    <w:rsid w:val="00340A61"/>
    <w:rsid w:val="00345392"/>
    <w:rsid w:val="00350451"/>
    <w:rsid w:val="003524F6"/>
    <w:rsid w:val="00352C63"/>
    <w:rsid w:val="003533B3"/>
    <w:rsid w:val="00353F28"/>
    <w:rsid w:val="00355C50"/>
    <w:rsid w:val="00357AC7"/>
    <w:rsid w:val="00363B3D"/>
    <w:rsid w:val="00364392"/>
    <w:rsid w:val="003717CD"/>
    <w:rsid w:val="00387123"/>
    <w:rsid w:val="003876A9"/>
    <w:rsid w:val="00392D38"/>
    <w:rsid w:val="003959E3"/>
    <w:rsid w:val="003A07E3"/>
    <w:rsid w:val="003A178A"/>
    <w:rsid w:val="003A2170"/>
    <w:rsid w:val="003A24F0"/>
    <w:rsid w:val="003B4C3A"/>
    <w:rsid w:val="003B5644"/>
    <w:rsid w:val="003B781A"/>
    <w:rsid w:val="003C512A"/>
    <w:rsid w:val="003C693C"/>
    <w:rsid w:val="003C7F4B"/>
    <w:rsid w:val="003D5623"/>
    <w:rsid w:val="003E0D0C"/>
    <w:rsid w:val="003E4EF2"/>
    <w:rsid w:val="003F50CE"/>
    <w:rsid w:val="00402ACA"/>
    <w:rsid w:val="004047A8"/>
    <w:rsid w:val="00404EAE"/>
    <w:rsid w:val="00407133"/>
    <w:rsid w:val="00411CE5"/>
    <w:rsid w:val="004171FD"/>
    <w:rsid w:val="00420BD1"/>
    <w:rsid w:val="00421B06"/>
    <w:rsid w:val="00422D05"/>
    <w:rsid w:val="004267E7"/>
    <w:rsid w:val="0043003E"/>
    <w:rsid w:val="00433062"/>
    <w:rsid w:val="00434A0F"/>
    <w:rsid w:val="00434D4C"/>
    <w:rsid w:val="00434E5A"/>
    <w:rsid w:val="00437E77"/>
    <w:rsid w:val="00440690"/>
    <w:rsid w:val="004423FC"/>
    <w:rsid w:val="00442F85"/>
    <w:rsid w:val="004515D2"/>
    <w:rsid w:val="00457718"/>
    <w:rsid w:val="00457D56"/>
    <w:rsid w:val="0046484D"/>
    <w:rsid w:val="004706A1"/>
    <w:rsid w:val="00472D8A"/>
    <w:rsid w:val="00477FEF"/>
    <w:rsid w:val="00484D0C"/>
    <w:rsid w:val="00485389"/>
    <w:rsid w:val="00490104"/>
    <w:rsid w:val="00491C2E"/>
    <w:rsid w:val="00493416"/>
    <w:rsid w:val="004A1E77"/>
    <w:rsid w:val="004A2E3D"/>
    <w:rsid w:val="004A46C3"/>
    <w:rsid w:val="004A740B"/>
    <w:rsid w:val="004C1AA2"/>
    <w:rsid w:val="004C1CC3"/>
    <w:rsid w:val="004C31D7"/>
    <w:rsid w:val="004C747A"/>
    <w:rsid w:val="004D12E0"/>
    <w:rsid w:val="004F1A54"/>
    <w:rsid w:val="004F376E"/>
    <w:rsid w:val="00500FEE"/>
    <w:rsid w:val="00503432"/>
    <w:rsid w:val="00504EAE"/>
    <w:rsid w:val="005053C2"/>
    <w:rsid w:val="005073A1"/>
    <w:rsid w:val="00515192"/>
    <w:rsid w:val="005212FC"/>
    <w:rsid w:val="00521D5F"/>
    <w:rsid w:val="00524A37"/>
    <w:rsid w:val="00531024"/>
    <w:rsid w:val="00531223"/>
    <w:rsid w:val="00540479"/>
    <w:rsid w:val="005412D0"/>
    <w:rsid w:val="00541533"/>
    <w:rsid w:val="005439B5"/>
    <w:rsid w:val="005532A1"/>
    <w:rsid w:val="00561824"/>
    <w:rsid w:val="005628F3"/>
    <w:rsid w:val="0056351A"/>
    <w:rsid w:val="005665CD"/>
    <w:rsid w:val="005705A2"/>
    <w:rsid w:val="00571F06"/>
    <w:rsid w:val="00573418"/>
    <w:rsid w:val="0057409A"/>
    <w:rsid w:val="00577DEF"/>
    <w:rsid w:val="00583CC0"/>
    <w:rsid w:val="0059060F"/>
    <w:rsid w:val="00594343"/>
    <w:rsid w:val="00595AB4"/>
    <w:rsid w:val="00597B11"/>
    <w:rsid w:val="005B6EDF"/>
    <w:rsid w:val="005C6EBA"/>
    <w:rsid w:val="005D0693"/>
    <w:rsid w:val="005D2601"/>
    <w:rsid w:val="005D2DC2"/>
    <w:rsid w:val="005D5013"/>
    <w:rsid w:val="005E0FBE"/>
    <w:rsid w:val="005E2C82"/>
    <w:rsid w:val="005E3B8A"/>
    <w:rsid w:val="005E71A0"/>
    <w:rsid w:val="005F0F10"/>
    <w:rsid w:val="005F1442"/>
    <w:rsid w:val="005F2AAD"/>
    <w:rsid w:val="005F5705"/>
    <w:rsid w:val="005F68E2"/>
    <w:rsid w:val="005F6FBE"/>
    <w:rsid w:val="00600F43"/>
    <w:rsid w:val="006028E4"/>
    <w:rsid w:val="00603B1A"/>
    <w:rsid w:val="00606BA8"/>
    <w:rsid w:val="00606D2E"/>
    <w:rsid w:val="00607D2F"/>
    <w:rsid w:val="00611F26"/>
    <w:rsid w:val="00612AC5"/>
    <w:rsid w:val="006150AC"/>
    <w:rsid w:val="00621CA9"/>
    <w:rsid w:val="00622092"/>
    <w:rsid w:val="00623AFB"/>
    <w:rsid w:val="00625057"/>
    <w:rsid w:val="0063008C"/>
    <w:rsid w:val="00631392"/>
    <w:rsid w:val="006327BC"/>
    <w:rsid w:val="00634419"/>
    <w:rsid w:val="00637B2E"/>
    <w:rsid w:val="006441B5"/>
    <w:rsid w:val="00661072"/>
    <w:rsid w:val="0066319D"/>
    <w:rsid w:val="00667E87"/>
    <w:rsid w:val="0067370D"/>
    <w:rsid w:val="006830BE"/>
    <w:rsid w:val="0068689A"/>
    <w:rsid w:val="00690258"/>
    <w:rsid w:val="00690445"/>
    <w:rsid w:val="006A45B4"/>
    <w:rsid w:val="006A6992"/>
    <w:rsid w:val="006A69B5"/>
    <w:rsid w:val="006B2942"/>
    <w:rsid w:val="006B6089"/>
    <w:rsid w:val="006B704F"/>
    <w:rsid w:val="006C4E1B"/>
    <w:rsid w:val="006C5534"/>
    <w:rsid w:val="006D020A"/>
    <w:rsid w:val="006D3890"/>
    <w:rsid w:val="006E2937"/>
    <w:rsid w:val="006E471E"/>
    <w:rsid w:val="006E748A"/>
    <w:rsid w:val="006E772F"/>
    <w:rsid w:val="006F4DAC"/>
    <w:rsid w:val="006F5193"/>
    <w:rsid w:val="006F6CC4"/>
    <w:rsid w:val="006F7084"/>
    <w:rsid w:val="00706F71"/>
    <w:rsid w:val="0070726B"/>
    <w:rsid w:val="00707804"/>
    <w:rsid w:val="00712084"/>
    <w:rsid w:val="0071482B"/>
    <w:rsid w:val="00716CB1"/>
    <w:rsid w:val="00725C83"/>
    <w:rsid w:val="00727799"/>
    <w:rsid w:val="00732411"/>
    <w:rsid w:val="00734CFB"/>
    <w:rsid w:val="00740559"/>
    <w:rsid w:val="0074142F"/>
    <w:rsid w:val="00741D3C"/>
    <w:rsid w:val="00743259"/>
    <w:rsid w:val="0075280D"/>
    <w:rsid w:val="00754237"/>
    <w:rsid w:val="0075757B"/>
    <w:rsid w:val="007576B6"/>
    <w:rsid w:val="00757BBE"/>
    <w:rsid w:val="00760C19"/>
    <w:rsid w:val="00763728"/>
    <w:rsid w:val="00764A14"/>
    <w:rsid w:val="0077072C"/>
    <w:rsid w:val="0079107A"/>
    <w:rsid w:val="00791496"/>
    <w:rsid w:val="00794CAB"/>
    <w:rsid w:val="007A06B9"/>
    <w:rsid w:val="007A2A1E"/>
    <w:rsid w:val="007B0ED2"/>
    <w:rsid w:val="007B3803"/>
    <w:rsid w:val="007B6560"/>
    <w:rsid w:val="007B7C6C"/>
    <w:rsid w:val="007C2FC3"/>
    <w:rsid w:val="007C338D"/>
    <w:rsid w:val="007C4ECC"/>
    <w:rsid w:val="007D3E4B"/>
    <w:rsid w:val="007D5E13"/>
    <w:rsid w:val="007F0A85"/>
    <w:rsid w:val="007F20DD"/>
    <w:rsid w:val="0080269D"/>
    <w:rsid w:val="00805D69"/>
    <w:rsid w:val="008108F1"/>
    <w:rsid w:val="008144CB"/>
    <w:rsid w:val="00816B52"/>
    <w:rsid w:val="00816F30"/>
    <w:rsid w:val="008174F7"/>
    <w:rsid w:val="008220B2"/>
    <w:rsid w:val="00823289"/>
    <w:rsid w:val="00824707"/>
    <w:rsid w:val="008305E3"/>
    <w:rsid w:val="008347A3"/>
    <w:rsid w:val="00835B8F"/>
    <w:rsid w:val="00837642"/>
    <w:rsid w:val="00846955"/>
    <w:rsid w:val="00846AB9"/>
    <w:rsid w:val="00847979"/>
    <w:rsid w:val="008500BA"/>
    <w:rsid w:val="00853B6C"/>
    <w:rsid w:val="0085416A"/>
    <w:rsid w:val="00873A31"/>
    <w:rsid w:val="00873DC2"/>
    <w:rsid w:val="00875A8E"/>
    <w:rsid w:val="00881561"/>
    <w:rsid w:val="008868AF"/>
    <w:rsid w:val="008967BC"/>
    <w:rsid w:val="008A07C7"/>
    <w:rsid w:val="008A0C68"/>
    <w:rsid w:val="008A33F7"/>
    <w:rsid w:val="008B060C"/>
    <w:rsid w:val="008B3A90"/>
    <w:rsid w:val="008B3C24"/>
    <w:rsid w:val="008B6850"/>
    <w:rsid w:val="008B77A3"/>
    <w:rsid w:val="008C29F0"/>
    <w:rsid w:val="008D21AB"/>
    <w:rsid w:val="008D5E48"/>
    <w:rsid w:val="008D6B85"/>
    <w:rsid w:val="008D72DF"/>
    <w:rsid w:val="008E7BF9"/>
    <w:rsid w:val="008F4E39"/>
    <w:rsid w:val="008F7DFB"/>
    <w:rsid w:val="0090031D"/>
    <w:rsid w:val="00900347"/>
    <w:rsid w:val="00905923"/>
    <w:rsid w:val="00905B83"/>
    <w:rsid w:val="009074AA"/>
    <w:rsid w:val="009142C0"/>
    <w:rsid w:val="009146A2"/>
    <w:rsid w:val="0091614C"/>
    <w:rsid w:val="009218FD"/>
    <w:rsid w:val="00927E54"/>
    <w:rsid w:val="00931F83"/>
    <w:rsid w:val="00933BC6"/>
    <w:rsid w:val="00934C18"/>
    <w:rsid w:val="00942AFB"/>
    <w:rsid w:val="009442E7"/>
    <w:rsid w:val="009525DC"/>
    <w:rsid w:val="0095280C"/>
    <w:rsid w:val="009622BD"/>
    <w:rsid w:val="009654FF"/>
    <w:rsid w:val="0097216E"/>
    <w:rsid w:val="00976B55"/>
    <w:rsid w:val="00982EA6"/>
    <w:rsid w:val="009847F9"/>
    <w:rsid w:val="00985D18"/>
    <w:rsid w:val="00985FC2"/>
    <w:rsid w:val="00992EAE"/>
    <w:rsid w:val="00993EED"/>
    <w:rsid w:val="00995174"/>
    <w:rsid w:val="0099793A"/>
    <w:rsid w:val="009A0542"/>
    <w:rsid w:val="009B05A0"/>
    <w:rsid w:val="009B2A83"/>
    <w:rsid w:val="009B4BC8"/>
    <w:rsid w:val="009B4C49"/>
    <w:rsid w:val="009B7052"/>
    <w:rsid w:val="009B7596"/>
    <w:rsid w:val="009C21C9"/>
    <w:rsid w:val="009C284A"/>
    <w:rsid w:val="009C53FA"/>
    <w:rsid w:val="009C736D"/>
    <w:rsid w:val="009C7F65"/>
    <w:rsid w:val="009D008B"/>
    <w:rsid w:val="009D1289"/>
    <w:rsid w:val="009D174F"/>
    <w:rsid w:val="009D31D3"/>
    <w:rsid w:val="009E6F94"/>
    <w:rsid w:val="009F25A9"/>
    <w:rsid w:val="009F2932"/>
    <w:rsid w:val="009F2F07"/>
    <w:rsid w:val="009F3478"/>
    <w:rsid w:val="009F4557"/>
    <w:rsid w:val="00A10870"/>
    <w:rsid w:val="00A10B6E"/>
    <w:rsid w:val="00A17A40"/>
    <w:rsid w:val="00A218EB"/>
    <w:rsid w:val="00A244F8"/>
    <w:rsid w:val="00A248E0"/>
    <w:rsid w:val="00A2627A"/>
    <w:rsid w:val="00A278C4"/>
    <w:rsid w:val="00A309BE"/>
    <w:rsid w:val="00A32C5D"/>
    <w:rsid w:val="00A35761"/>
    <w:rsid w:val="00A40F23"/>
    <w:rsid w:val="00A50674"/>
    <w:rsid w:val="00A52E68"/>
    <w:rsid w:val="00A53D88"/>
    <w:rsid w:val="00A54B5A"/>
    <w:rsid w:val="00A54E8D"/>
    <w:rsid w:val="00A62CA2"/>
    <w:rsid w:val="00A649CC"/>
    <w:rsid w:val="00A74ED6"/>
    <w:rsid w:val="00A7796E"/>
    <w:rsid w:val="00A80BE9"/>
    <w:rsid w:val="00A82927"/>
    <w:rsid w:val="00A82DF1"/>
    <w:rsid w:val="00A903C9"/>
    <w:rsid w:val="00A93C71"/>
    <w:rsid w:val="00A94332"/>
    <w:rsid w:val="00A9501C"/>
    <w:rsid w:val="00AA3710"/>
    <w:rsid w:val="00AB2F48"/>
    <w:rsid w:val="00AB7A8F"/>
    <w:rsid w:val="00AC6980"/>
    <w:rsid w:val="00AD00FC"/>
    <w:rsid w:val="00AD0FB9"/>
    <w:rsid w:val="00AD301A"/>
    <w:rsid w:val="00AD4565"/>
    <w:rsid w:val="00AE1E45"/>
    <w:rsid w:val="00AE6D45"/>
    <w:rsid w:val="00AF014E"/>
    <w:rsid w:val="00AF38CC"/>
    <w:rsid w:val="00B01405"/>
    <w:rsid w:val="00B03D7A"/>
    <w:rsid w:val="00B05FB1"/>
    <w:rsid w:val="00B117AE"/>
    <w:rsid w:val="00B12243"/>
    <w:rsid w:val="00B22506"/>
    <w:rsid w:val="00B318A1"/>
    <w:rsid w:val="00B33194"/>
    <w:rsid w:val="00B34C98"/>
    <w:rsid w:val="00B34E21"/>
    <w:rsid w:val="00B36A25"/>
    <w:rsid w:val="00B4375D"/>
    <w:rsid w:val="00B45669"/>
    <w:rsid w:val="00B500A6"/>
    <w:rsid w:val="00B50A31"/>
    <w:rsid w:val="00B51C0E"/>
    <w:rsid w:val="00B52BC1"/>
    <w:rsid w:val="00B5567F"/>
    <w:rsid w:val="00B61F2A"/>
    <w:rsid w:val="00B63608"/>
    <w:rsid w:val="00B64585"/>
    <w:rsid w:val="00B66E46"/>
    <w:rsid w:val="00B80C72"/>
    <w:rsid w:val="00B81256"/>
    <w:rsid w:val="00B84BD6"/>
    <w:rsid w:val="00B967DA"/>
    <w:rsid w:val="00BA2D3C"/>
    <w:rsid w:val="00BC0BE6"/>
    <w:rsid w:val="00BC2D1F"/>
    <w:rsid w:val="00BD0E43"/>
    <w:rsid w:val="00BD60B5"/>
    <w:rsid w:val="00BD6185"/>
    <w:rsid w:val="00BD6C70"/>
    <w:rsid w:val="00BE6A51"/>
    <w:rsid w:val="00BF20EC"/>
    <w:rsid w:val="00BF5F0C"/>
    <w:rsid w:val="00C03797"/>
    <w:rsid w:val="00C150B7"/>
    <w:rsid w:val="00C16C59"/>
    <w:rsid w:val="00C20DC0"/>
    <w:rsid w:val="00C22A13"/>
    <w:rsid w:val="00C26E46"/>
    <w:rsid w:val="00C27FA2"/>
    <w:rsid w:val="00C31A52"/>
    <w:rsid w:val="00C43A6C"/>
    <w:rsid w:val="00C44D5E"/>
    <w:rsid w:val="00C56A05"/>
    <w:rsid w:val="00C65880"/>
    <w:rsid w:val="00C71F6B"/>
    <w:rsid w:val="00C7506A"/>
    <w:rsid w:val="00C752F1"/>
    <w:rsid w:val="00C815FE"/>
    <w:rsid w:val="00C8224F"/>
    <w:rsid w:val="00C853EF"/>
    <w:rsid w:val="00C925A5"/>
    <w:rsid w:val="00C937AB"/>
    <w:rsid w:val="00C94220"/>
    <w:rsid w:val="00CA217A"/>
    <w:rsid w:val="00CA570B"/>
    <w:rsid w:val="00CB4B8E"/>
    <w:rsid w:val="00CB7CEB"/>
    <w:rsid w:val="00CC299A"/>
    <w:rsid w:val="00CC5316"/>
    <w:rsid w:val="00CC64C1"/>
    <w:rsid w:val="00CC680D"/>
    <w:rsid w:val="00CD0A64"/>
    <w:rsid w:val="00CD2B09"/>
    <w:rsid w:val="00CD3C6E"/>
    <w:rsid w:val="00CD3D7F"/>
    <w:rsid w:val="00CD3F1A"/>
    <w:rsid w:val="00CE1AEB"/>
    <w:rsid w:val="00CE2D6E"/>
    <w:rsid w:val="00CE4026"/>
    <w:rsid w:val="00CE641A"/>
    <w:rsid w:val="00CE697A"/>
    <w:rsid w:val="00CE74EC"/>
    <w:rsid w:val="00CF124A"/>
    <w:rsid w:val="00CF3A06"/>
    <w:rsid w:val="00D04D19"/>
    <w:rsid w:val="00D11221"/>
    <w:rsid w:val="00D1505F"/>
    <w:rsid w:val="00D16734"/>
    <w:rsid w:val="00D20D20"/>
    <w:rsid w:val="00D23E09"/>
    <w:rsid w:val="00D27199"/>
    <w:rsid w:val="00D272E2"/>
    <w:rsid w:val="00D27877"/>
    <w:rsid w:val="00D3190C"/>
    <w:rsid w:val="00D326CA"/>
    <w:rsid w:val="00D36861"/>
    <w:rsid w:val="00D40F9A"/>
    <w:rsid w:val="00D5747A"/>
    <w:rsid w:val="00D632F0"/>
    <w:rsid w:val="00D64CB1"/>
    <w:rsid w:val="00D65D26"/>
    <w:rsid w:val="00D67BF0"/>
    <w:rsid w:val="00D74B9A"/>
    <w:rsid w:val="00D84494"/>
    <w:rsid w:val="00D85FBD"/>
    <w:rsid w:val="00D95EF4"/>
    <w:rsid w:val="00DA0117"/>
    <w:rsid w:val="00DA14B3"/>
    <w:rsid w:val="00DA1C32"/>
    <w:rsid w:val="00DA4B60"/>
    <w:rsid w:val="00DA52AD"/>
    <w:rsid w:val="00DA67BB"/>
    <w:rsid w:val="00DB2F2E"/>
    <w:rsid w:val="00DC1CA8"/>
    <w:rsid w:val="00DC2FFA"/>
    <w:rsid w:val="00DD05C3"/>
    <w:rsid w:val="00DE4FD6"/>
    <w:rsid w:val="00DF1FEE"/>
    <w:rsid w:val="00DF47AE"/>
    <w:rsid w:val="00DF53FF"/>
    <w:rsid w:val="00DF6BB9"/>
    <w:rsid w:val="00E000CA"/>
    <w:rsid w:val="00E06674"/>
    <w:rsid w:val="00E070C4"/>
    <w:rsid w:val="00E20531"/>
    <w:rsid w:val="00E2135B"/>
    <w:rsid w:val="00E260CA"/>
    <w:rsid w:val="00E26E7D"/>
    <w:rsid w:val="00E27249"/>
    <w:rsid w:val="00E32F51"/>
    <w:rsid w:val="00E33888"/>
    <w:rsid w:val="00E338D6"/>
    <w:rsid w:val="00E339E9"/>
    <w:rsid w:val="00E369B1"/>
    <w:rsid w:val="00E433CB"/>
    <w:rsid w:val="00E4407E"/>
    <w:rsid w:val="00E444FB"/>
    <w:rsid w:val="00E50240"/>
    <w:rsid w:val="00E54DEC"/>
    <w:rsid w:val="00E55DE2"/>
    <w:rsid w:val="00E568F0"/>
    <w:rsid w:val="00E61270"/>
    <w:rsid w:val="00E705ED"/>
    <w:rsid w:val="00E7062B"/>
    <w:rsid w:val="00E74113"/>
    <w:rsid w:val="00E74880"/>
    <w:rsid w:val="00E76EE2"/>
    <w:rsid w:val="00E8339C"/>
    <w:rsid w:val="00E87990"/>
    <w:rsid w:val="00E9051C"/>
    <w:rsid w:val="00E91053"/>
    <w:rsid w:val="00E92EC8"/>
    <w:rsid w:val="00E92F2C"/>
    <w:rsid w:val="00E9784F"/>
    <w:rsid w:val="00E97CB8"/>
    <w:rsid w:val="00EA15E1"/>
    <w:rsid w:val="00EA31E6"/>
    <w:rsid w:val="00EA34A5"/>
    <w:rsid w:val="00EA532C"/>
    <w:rsid w:val="00EA5B94"/>
    <w:rsid w:val="00EA6B4D"/>
    <w:rsid w:val="00EB4B50"/>
    <w:rsid w:val="00EB7419"/>
    <w:rsid w:val="00EB7BEF"/>
    <w:rsid w:val="00EC0C87"/>
    <w:rsid w:val="00EC64B7"/>
    <w:rsid w:val="00EC6E54"/>
    <w:rsid w:val="00ED015B"/>
    <w:rsid w:val="00ED0F92"/>
    <w:rsid w:val="00ED44E8"/>
    <w:rsid w:val="00EE0FC9"/>
    <w:rsid w:val="00EE6BE3"/>
    <w:rsid w:val="00EF0493"/>
    <w:rsid w:val="00EF0F4B"/>
    <w:rsid w:val="00EF1C78"/>
    <w:rsid w:val="00F04776"/>
    <w:rsid w:val="00F1067E"/>
    <w:rsid w:val="00F12733"/>
    <w:rsid w:val="00F12FB9"/>
    <w:rsid w:val="00F145A4"/>
    <w:rsid w:val="00F20C1F"/>
    <w:rsid w:val="00F2227B"/>
    <w:rsid w:val="00F23B8C"/>
    <w:rsid w:val="00F34F9B"/>
    <w:rsid w:val="00F3525B"/>
    <w:rsid w:val="00F37DDF"/>
    <w:rsid w:val="00F4108A"/>
    <w:rsid w:val="00F45AB6"/>
    <w:rsid w:val="00F471F5"/>
    <w:rsid w:val="00F5039A"/>
    <w:rsid w:val="00F519F3"/>
    <w:rsid w:val="00F51ECB"/>
    <w:rsid w:val="00F5556E"/>
    <w:rsid w:val="00F56EE2"/>
    <w:rsid w:val="00F62409"/>
    <w:rsid w:val="00F6403C"/>
    <w:rsid w:val="00F67B09"/>
    <w:rsid w:val="00F725B1"/>
    <w:rsid w:val="00F73CB0"/>
    <w:rsid w:val="00F7616B"/>
    <w:rsid w:val="00F808BD"/>
    <w:rsid w:val="00F81B59"/>
    <w:rsid w:val="00F820A5"/>
    <w:rsid w:val="00F824E7"/>
    <w:rsid w:val="00FA3779"/>
    <w:rsid w:val="00FA3C63"/>
    <w:rsid w:val="00FB0161"/>
    <w:rsid w:val="00FB5DD8"/>
    <w:rsid w:val="00FC1DCF"/>
    <w:rsid w:val="00FC2158"/>
    <w:rsid w:val="00FC4899"/>
    <w:rsid w:val="00FC57D5"/>
    <w:rsid w:val="00FD080C"/>
    <w:rsid w:val="00FD3460"/>
    <w:rsid w:val="00FD3C6B"/>
    <w:rsid w:val="00FE239A"/>
    <w:rsid w:val="00FE2CE4"/>
    <w:rsid w:val="00FE4157"/>
    <w:rsid w:val="00FE65C7"/>
    <w:rsid w:val="00FE6EC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77F8F"/>
  <w15:chartTrackingRefBased/>
  <w15:docId w15:val="{17C50BEA-203C-BE41-9D83-8184430AE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C299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015B"/>
    <w:rPr>
      <w:rFonts w:ascii="新細明體" w:eastAsia="新細明體"/>
      <w:sz w:val="18"/>
      <w:szCs w:val="18"/>
    </w:rPr>
  </w:style>
  <w:style w:type="character" w:customStyle="1" w:styleId="a4">
    <w:name w:val="註解方塊文字 字元"/>
    <w:basedOn w:val="a0"/>
    <w:link w:val="a3"/>
    <w:uiPriority w:val="99"/>
    <w:semiHidden/>
    <w:rsid w:val="00ED015B"/>
    <w:rPr>
      <w:rFonts w:ascii="新細明體" w:eastAsia="新細明體"/>
      <w:sz w:val="18"/>
      <w:szCs w:val="18"/>
    </w:rPr>
  </w:style>
  <w:style w:type="paragraph" w:styleId="a5">
    <w:name w:val="List Paragraph"/>
    <w:basedOn w:val="a"/>
    <w:uiPriority w:val="34"/>
    <w:qFormat/>
    <w:rsid w:val="00CC299A"/>
    <w:pPr>
      <w:ind w:left="720"/>
      <w:contextualSpacing/>
    </w:pPr>
  </w:style>
  <w:style w:type="character" w:styleId="a6">
    <w:name w:val="annotation reference"/>
    <w:basedOn w:val="a0"/>
    <w:uiPriority w:val="99"/>
    <w:semiHidden/>
    <w:unhideWhenUsed/>
    <w:rsid w:val="00CC299A"/>
    <w:rPr>
      <w:sz w:val="16"/>
      <w:szCs w:val="16"/>
    </w:rPr>
  </w:style>
  <w:style w:type="paragraph" w:styleId="a7">
    <w:name w:val="annotation text"/>
    <w:basedOn w:val="a"/>
    <w:link w:val="a8"/>
    <w:uiPriority w:val="99"/>
    <w:semiHidden/>
    <w:unhideWhenUsed/>
    <w:rsid w:val="00CC299A"/>
    <w:pPr>
      <w:spacing w:after="160"/>
    </w:pPr>
    <w:rPr>
      <w:rFonts w:eastAsiaTheme="minorHAnsi"/>
      <w:sz w:val="20"/>
      <w:szCs w:val="20"/>
      <w:lang w:val="en-GB"/>
    </w:rPr>
  </w:style>
  <w:style w:type="character" w:customStyle="1" w:styleId="a8">
    <w:name w:val="註解文字 字元"/>
    <w:basedOn w:val="a0"/>
    <w:link w:val="a7"/>
    <w:uiPriority w:val="99"/>
    <w:semiHidden/>
    <w:rsid w:val="00CC299A"/>
    <w:rPr>
      <w:rFonts w:eastAsiaTheme="minorHAnsi"/>
      <w:sz w:val="20"/>
      <w:szCs w:val="20"/>
      <w:lang w:val="en-GB"/>
    </w:rPr>
  </w:style>
  <w:style w:type="character" w:customStyle="1" w:styleId="fontstyle01">
    <w:name w:val="fontstyle01"/>
    <w:basedOn w:val="a0"/>
    <w:rsid w:val="00CC299A"/>
    <w:rPr>
      <w:rFonts w:ascii="AdvOT7fe89a09" w:hAnsi="AdvOT7fe89a09" w:hint="default"/>
      <w:b w:val="0"/>
      <w:bCs w:val="0"/>
      <w:i w:val="0"/>
      <w:iCs w:val="0"/>
      <w:color w:val="000000"/>
      <w:sz w:val="18"/>
      <w:szCs w:val="18"/>
    </w:rPr>
  </w:style>
  <w:style w:type="character" w:customStyle="1" w:styleId="apple-converted-space">
    <w:name w:val="apple-converted-space"/>
    <w:basedOn w:val="a0"/>
    <w:rsid w:val="00CC299A"/>
  </w:style>
  <w:style w:type="character" w:styleId="a9">
    <w:name w:val="Emphasis"/>
    <w:basedOn w:val="a0"/>
    <w:uiPriority w:val="20"/>
    <w:qFormat/>
    <w:rsid w:val="00CC299A"/>
    <w:rPr>
      <w:i/>
      <w:iCs/>
    </w:rPr>
  </w:style>
  <w:style w:type="paragraph" w:styleId="aa">
    <w:name w:val="annotation subject"/>
    <w:basedOn w:val="a7"/>
    <w:next w:val="a7"/>
    <w:link w:val="ab"/>
    <w:uiPriority w:val="99"/>
    <w:semiHidden/>
    <w:unhideWhenUsed/>
    <w:rsid w:val="00C22A13"/>
    <w:pPr>
      <w:spacing w:after="0"/>
    </w:pPr>
    <w:rPr>
      <w:rFonts w:eastAsiaTheme="minorEastAsia"/>
      <w:b/>
      <w:bCs/>
      <w:sz w:val="24"/>
      <w:szCs w:val="24"/>
      <w:lang w:val="en-US"/>
    </w:rPr>
  </w:style>
  <w:style w:type="character" w:customStyle="1" w:styleId="ab">
    <w:name w:val="註解主旨 字元"/>
    <w:basedOn w:val="a8"/>
    <w:link w:val="aa"/>
    <w:uiPriority w:val="99"/>
    <w:semiHidden/>
    <w:rsid w:val="00C22A13"/>
    <w:rPr>
      <w:rFonts w:eastAsiaTheme="minorHAnsi"/>
      <w:b/>
      <w:bCs/>
      <w:sz w:val="20"/>
      <w:szCs w:val="20"/>
      <w:lang w:val="en-GB"/>
    </w:rPr>
  </w:style>
  <w:style w:type="paragraph" w:styleId="ac">
    <w:name w:val="Revision"/>
    <w:hidden/>
    <w:uiPriority w:val="99"/>
    <w:semiHidden/>
    <w:rsid w:val="007B7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13ABA2-74E3-084E-B3D6-9ED750918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30</Pages>
  <Words>34018</Words>
  <Characters>193908</Characters>
  <Application>Microsoft Office Word</Application>
  <DocSecurity>0</DocSecurity>
  <Lines>1615</Lines>
  <Paragraphs>454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使用者</dc:creator>
  <cp:keywords/>
  <dc:description/>
  <cp:lastModifiedBy>Microsoft Office 使用者</cp:lastModifiedBy>
  <cp:revision>3</cp:revision>
  <dcterms:created xsi:type="dcterms:W3CDTF">2023-05-20T13:39:00Z</dcterms:created>
  <dcterms:modified xsi:type="dcterms:W3CDTF">2023-05-22T15:33:00Z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836c3558-53b7-3af3-946f-7172a4022c06</vt:lpwstr>
  </property>
  <property fmtid="{D5CDD505-2E9C-101B-9397-08002B2CF9AE}" pid="24" name="Mendeley Citation Style_1">
    <vt:lpwstr>http://www.zotero.org/styles/nature</vt:lpwstr>
  </property>
</Properties>
</file>