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33ED73" w14:textId="77777777" w:rsidR="006F1B37" w:rsidRDefault="006F1B37" w:rsidP="006F1B37">
      <w:pPr>
        <w:pStyle w:val="Heading1"/>
      </w:pPr>
      <w:r>
        <w:t>Supplementary table and figures</w:t>
      </w:r>
    </w:p>
    <w:p w14:paraId="0A293A4F" w14:textId="77777777" w:rsidR="006F1B37" w:rsidRDefault="006F1B37" w:rsidP="006F1B37">
      <w:pPr>
        <w:tabs>
          <w:tab w:val="left" w:pos="2070"/>
        </w:tabs>
        <w:jc w:val="both"/>
        <w:rPr>
          <w:rFonts w:ascii="Times New Roman" w:hAnsi="Times New Roman" w:cs="Times New Roman"/>
          <w:sz w:val="24"/>
          <w:szCs w:val="24"/>
        </w:rPr>
      </w:pPr>
    </w:p>
    <w:p w14:paraId="6AAEA0E5" w14:textId="77777777" w:rsidR="006F1B37" w:rsidRDefault="006F1B37" w:rsidP="006F1B37">
      <w:pPr>
        <w:rPr>
          <w:rFonts w:ascii="Times New Roman" w:hAnsi="Times New Roman" w:cs="Times New Roman"/>
          <w:sz w:val="24"/>
          <w:szCs w:val="24"/>
        </w:rPr>
      </w:pPr>
      <w:r>
        <w:rPr>
          <w:rFonts w:ascii="Times New Roman" w:hAnsi="Times New Roman" w:cs="Times New Roman"/>
          <w:b/>
          <w:bCs/>
          <w:sz w:val="24"/>
          <w:szCs w:val="24"/>
        </w:rPr>
        <w:t>Table 1</w:t>
      </w:r>
      <w:r>
        <w:rPr>
          <w:rFonts w:ascii="Times New Roman" w:hAnsi="Times New Roman" w:cs="Times New Roman"/>
          <w:sz w:val="24"/>
          <w:szCs w:val="24"/>
        </w:rPr>
        <w:t xml:space="preserve"> </w:t>
      </w:r>
      <w:r>
        <w:rPr>
          <w:rFonts w:ascii="Times New Roman" w:hAnsi="Times New Roman" w:cs="Times New Roman"/>
          <w:b/>
          <w:bCs/>
          <w:sz w:val="24"/>
          <w:szCs w:val="24"/>
        </w:rPr>
        <w:t xml:space="preserve">Type, names and source of the 11 drivers that are used in a random forest model to predict NDVI and NDWI trends over 2001-2020. </w:t>
      </w:r>
    </w:p>
    <w:tbl>
      <w:tblPr>
        <w:tblW w:w="9242" w:type="dxa"/>
        <w:tblInd w:w="108" w:type="dxa"/>
        <w:tblLayout w:type="fixed"/>
        <w:tblLook w:val="04A0" w:firstRow="1" w:lastRow="0" w:firstColumn="1" w:lastColumn="0" w:noHBand="0" w:noVBand="1"/>
      </w:tblPr>
      <w:tblGrid>
        <w:gridCol w:w="1271"/>
        <w:gridCol w:w="1252"/>
        <w:gridCol w:w="2982"/>
        <w:gridCol w:w="1969"/>
        <w:gridCol w:w="1768"/>
      </w:tblGrid>
      <w:tr w:rsidR="006F1B37" w14:paraId="40740DEC" w14:textId="77777777" w:rsidTr="00160F12">
        <w:tc>
          <w:tcPr>
            <w:tcW w:w="2523" w:type="dxa"/>
            <w:gridSpan w:val="2"/>
            <w:tcBorders>
              <w:top w:val="single" w:sz="4" w:space="0" w:color="BFBFBF"/>
              <w:left w:val="single" w:sz="4" w:space="0" w:color="BFBFBF"/>
              <w:bottom w:val="single" w:sz="4" w:space="0" w:color="BFBFBF"/>
              <w:right w:val="single" w:sz="4" w:space="0" w:color="BFBFBF"/>
            </w:tcBorders>
          </w:tcPr>
          <w:p w14:paraId="485F53DF" w14:textId="77777777" w:rsidR="006F1B37" w:rsidRDefault="006F1B37" w:rsidP="00160F12">
            <w:pPr>
              <w:widowControl w:val="0"/>
              <w:spacing w:after="75" w:line="240" w:lineRule="auto"/>
              <w:rPr>
                <w:rFonts w:ascii="Times New Roman" w:eastAsia="Times New Roman" w:hAnsi="Times New Roman" w:cs="Times New Roman"/>
                <w:b/>
                <w:bCs/>
                <w:color w:val="1C1D1E"/>
                <w:sz w:val="20"/>
                <w:szCs w:val="20"/>
              </w:rPr>
            </w:pPr>
            <w:r>
              <w:rPr>
                <w:rFonts w:ascii="Times New Roman" w:eastAsia="Times New Roman" w:hAnsi="Times New Roman" w:cs="Times New Roman"/>
                <w:b/>
                <w:bCs/>
                <w:color w:val="1C1D1E"/>
                <w:sz w:val="20"/>
                <w:szCs w:val="20"/>
              </w:rPr>
              <w:t>Type of the predictor</w:t>
            </w:r>
          </w:p>
        </w:tc>
        <w:tc>
          <w:tcPr>
            <w:tcW w:w="2982" w:type="dxa"/>
            <w:tcBorders>
              <w:top w:val="single" w:sz="4" w:space="0" w:color="BFBFBF"/>
              <w:left w:val="single" w:sz="4" w:space="0" w:color="BFBFBF"/>
              <w:bottom w:val="single" w:sz="4" w:space="0" w:color="BFBFBF"/>
              <w:right w:val="single" w:sz="4" w:space="0" w:color="BFBFBF"/>
            </w:tcBorders>
          </w:tcPr>
          <w:p w14:paraId="0C217452" w14:textId="77777777" w:rsidR="006F1B37" w:rsidRDefault="006F1B37" w:rsidP="00160F12">
            <w:pPr>
              <w:widowControl w:val="0"/>
              <w:spacing w:after="75" w:line="240" w:lineRule="auto"/>
              <w:rPr>
                <w:rFonts w:ascii="Times New Roman" w:eastAsia="Times New Roman" w:hAnsi="Times New Roman" w:cs="Times New Roman"/>
                <w:b/>
                <w:bCs/>
                <w:color w:val="1C1D1E"/>
                <w:sz w:val="20"/>
                <w:szCs w:val="20"/>
              </w:rPr>
            </w:pPr>
            <w:r>
              <w:rPr>
                <w:rFonts w:ascii="Times New Roman" w:eastAsia="Times New Roman" w:hAnsi="Times New Roman" w:cs="Times New Roman"/>
                <w:b/>
                <w:bCs/>
                <w:color w:val="1C1D1E"/>
                <w:sz w:val="20"/>
                <w:szCs w:val="20"/>
              </w:rPr>
              <w:t>Name of the predictor</w:t>
            </w:r>
          </w:p>
        </w:tc>
        <w:tc>
          <w:tcPr>
            <w:tcW w:w="1969" w:type="dxa"/>
            <w:tcBorders>
              <w:top w:val="single" w:sz="4" w:space="0" w:color="BFBFBF"/>
              <w:left w:val="single" w:sz="4" w:space="0" w:color="BFBFBF"/>
              <w:bottom w:val="single" w:sz="4" w:space="0" w:color="BFBFBF"/>
              <w:right w:val="single" w:sz="4" w:space="0" w:color="BFBFBF"/>
            </w:tcBorders>
          </w:tcPr>
          <w:p w14:paraId="7A782D40" w14:textId="77777777" w:rsidR="006F1B37" w:rsidRDefault="006F1B37" w:rsidP="00160F12">
            <w:pPr>
              <w:widowControl w:val="0"/>
              <w:spacing w:after="75" w:line="240" w:lineRule="auto"/>
              <w:rPr>
                <w:rFonts w:ascii="Times New Roman" w:eastAsia="Times New Roman" w:hAnsi="Times New Roman" w:cs="Times New Roman"/>
                <w:b/>
                <w:bCs/>
                <w:color w:val="1C1D1E"/>
                <w:sz w:val="20"/>
                <w:szCs w:val="20"/>
              </w:rPr>
            </w:pPr>
            <w:r>
              <w:rPr>
                <w:rFonts w:ascii="Times New Roman" w:eastAsia="Times New Roman" w:hAnsi="Times New Roman" w:cs="Times New Roman"/>
                <w:b/>
                <w:bCs/>
                <w:color w:val="1C1D1E"/>
                <w:sz w:val="20"/>
                <w:szCs w:val="20"/>
              </w:rPr>
              <w:t>Source</w:t>
            </w:r>
          </w:p>
        </w:tc>
        <w:tc>
          <w:tcPr>
            <w:tcW w:w="1768" w:type="dxa"/>
            <w:tcBorders>
              <w:top w:val="single" w:sz="4" w:space="0" w:color="BFBFBF"/>
              <w:left w:val="single" w:sz="4" w:space="0" w:color="BFBFBF"/>
              <w:bottom w:val="single" w:sz="4" w:space="0" w:color="BFBFBF"/>
              <w:right w:val="single" w:sz="4" w:space="0" w:color="BFBFBF"/>
            </w:tcBorders>
          </w:tcPr>
          <w:p w14:paraId="6F6CEAAE" w14:textId="77777777" w:rsidR="006F1B37" w:rsidRDefault="006F1B37" w:rsidP="00160F12">
            <w:pPr>
              <w:widowControl w:val="0"/>
              <w:spacing w:after="75" w:line="240" w:lineRule="auto"/>
              <w:rPr>
                <w:rFonts w:ascii="Times New Roman" w:eastAsia="Times New Roman" w:hAnsi="Times New Roman" w:cs="Times New Roman"/>
                <w:b/>
                <w:bCs/>
                <w:color w:val="1C1D1E"/>
                <w:sz w:val="20"/>
                <w:szCs w:val="20"/>
              </w:rPr>
            </w:pPr>
            <w:r>
              <w:rPr>
                <w:rFonts w:ascii="Times New Roman" w:eastAsia="Times New Roman" w:hAnsi="Times New Roman" w:cs="Times New Roman"/>
                <w:b/>
                <w:bCs/>
                <w:color w:val="1C1D1E"/>
                <w:sz w:val="20"/>
                <w:szCs w:val="20"/>
              </w:rPr>
              <w:t>Spatial resolution</w:t>
            </w:r>
          </w:p>
        </w:tc>
      </w:tr>
      <w:tr w:rsidR="006F1B37" w14:paraId="7F4854DC" w14:textId="77777777" w:rsidTr="00160F12">
        <w:tc>
          <w:tcPr>
            <w:tcW w:w="2523" w:type="dxa"/>
            <w:gridSpan w:val="2"/>
            <w:vMerge w:val="restart"/>
            <w:tcBorders>
              <w:top w:val="single" w:sz="4" w:space="0" w:color="BFBFBF"/>
              <w:left w:val="single" w:sz="4" w:space="0" w:color="BFBFBF"/>
              <w:right w:val="single" w:sz="4" w:space="0" w:color="BFBFBF"/>
            </w:tcBorders>
          </w:tcPr>
          <w:p w14:paraId="3F46E230" w14:textId="77777777" w:rsidR="006F1B37" w:rsidRDefault="006F1B37" w:rsidP="00160F12">
            <w:pPr>
              <w:widowControl w:val="0"/>
              <w:spacing w:after="75" w:line="240" w:lineRule="auto"/>
              <w:rPr>
                <w:rFonts w:ascii="Times New Roman" w:eastAsia="Times New Roman" w:hAnsi="Times New Roman" w:cs="Times New Roman"/>
                <w:b/>
                <w:bCs/>
                <w:color w:val="1C1D1E"/>
                <w:sz w:val="20"/>
                <w:szCs w:val="20"/>
              </w:rPr>
            </w:pPr>
            <w:r>
              <w:rPr>
                <w:rFonts w:ascii="Times New Roman" w:eastAsia="Times New Roman" w:hAnsi="Times New Roman" w:cs="Times New Roman"/>
                <w:b/>
                <w:bCs/>
                <w:color w:val="1C1D1E"/>
                <w:sz w:val="20"/>
                <w:szCs w:val="20"/>
              </w:rPr>
              <w:t>Tree architecture</w:t>
            </w:r>
          </w:p>
        </w:tc>
        <w:tc>
          <w:tcPr>
            <w:tcW w:w="2982" w:type="dxa"/>
            <w:tcBorders>
              <w:top w:val="single" w:sz="4" w:space="0" w:color="BFBFBF"/>
              <w:left w:val="single" w:sz="4" w:space="0" w:color="BFBFBF"/>
              <w:bottom w:val="single" w:sz="4" w:space="0" w:color="BFBFBF"/>
              <w:right w:val="single" w:sz="4" w:space="0" w:color="BFBFBF"/>
            </w:tcBorders>
          </w:tcPr>
          <w:p w14:paraId="1D6021E8" w14:textId="77777777" w:rsidR="006F1B37" w:rsidRDefault="006F1B37" w:rsidP="00160F12">
            <w:pPr>
              <w:widowControl w:val="0"/>
              <w:spacing w:after="75" w:line="240" w:lineRule="auto"/>
              <w:rPr>
                <w:rFonts w:ascii="Times New Roman" w:eastAsia="Times New Roman" w:hAnsi="Times New Roman" w:cs="Times New Roman"/>
                <w:color w:val="1C1D1E"/>
                <w:sz w:val="20"/>
                <w:szCs w:val="20"/>
              </w:rPr>
            </w:pPr>
            <w:r>
              <w:rPr>
                <w:rFonts w:ascii="Times New Roman" w:eastAsia="Times New Roman" w:hAnsi="Times New Roman" w:cs="Times New Roman"/>
                <w:color w:val="1C1D1E"/>
                <w:sz w:val="20"/>
                <w:szCs w:val="20"/>
              </w:rPr>
              <w:t>Max tree height (MTH)</w:t>
            </w:r>
          </w:p>
        </w:tc>
        <w:tc>
          <w:tcPr>
            <w:tcW w:w="1969" w:type="dxa"/>
            <w:vMerge w:val="restart"/>
            <w:tcBorders>
              <w:top w:val="single" w:sz="4" w:space="0" w:color="BFBFBF"/>
              <w:left w:val="single" w:sz="4" w:space="0" w:color="BFBFBF"/>
              <w:right w:val="single" w:sz="4" w:space="0" w:color="BFBFBF"/>
            </w:tcBorders>
          </w:tcPr>
          <w:p w14:paraId="0C018C4A" w14:textId="77777777" w:rsidR="006F1B37" w:rsidRDefault="006F1B37" w:rsidP="00160F12">
            <w:pPr>
              <w:widowControl w:val="0"/>
              <w:spacing w:after="75" w:line="240" w:lineRule="auto"/>
            </w:pPr>
            <w:r>
              <w:rPr>
                <w:rFonts w:ascii="Times New Roman" w:eastAsia="Times New Roman" w:hAnsi="Times New Roman" w:cs="Times New Roman"/>
                <w:color w:val="1C1D1E"/>
                <w:sz w:val="20"/>
                <w:szCs w:val="20"/>
              </w:rPr>
              <w:t>GEDI</w:t>
            </w:r>
            <w:r>
              <w:fldChar w:fldCharType="begin" w:fldLock="1"/>
            </w:r>
            <w:r>
              <w:rPr>
                <w:rFonts w:ascii="Times New Roman" w:eastAsia="Times New Roman" w:hAnsi="Times New Roman" w:cs="Times New Roman"/>
                <w:color w:val="1C1D1E"/>
                <w:sz w:val="20"/>
                <w:szCs w:val="20"/>
              </w:rPr>
              <w:instrText>ADDIN CSL_CITATION {"citationItems":[{"id":"ITEM-1","itemData":{"DOI":"10.1016/J.SRS.2020.100002","ISSN":"2666-0172","abstract":"Obtaining accurate and widespread measurements of the vertical structure of the Earth’s forests has been a long-sought goal for the ecological community. Such observations are critical for accurately assessing the existing biomass of forests, and how changes in this biomass caused by human activities or variations in climate may impact atmospheric CO2 concentrations. Additionally, the three-dimensional structure of forests is a key component of habitat quality and biodiversity at local to regional scales. The Global Ecosystem Dynamics Investigation (GEDI) was launched to the International Space Station in late 2018 to provide high-quality measurements of forest vertical structure in temperate and tropical forests between 51.6° N &amp; S latitude. The GEDI instrument is a geodetic-class laser altimeter/waveform lidar comprised of 3 lasers that produce 8 transects of structural information. Over its two-year nominal lifetime GEDI is anticipated to provide over 10 billion waveforms at a footprint resolution of 25 ​m. These data will be used to derive a variety of footprint and gridded products, including canopy height, canopy foliar profiles, Leaf Area Index (LAI), sub-canopy topography and biomass. Additionally, data from GEDI are used to demonstrate the efficacy of its measurements for prognostic ecosystem modeling, habit and biodiversity studies, and for fusion using radar and other remote sensing instruments. GEDI science and technology are unique: no other space-based mission has been created that is specifically optimized for retrieving vegetation vertical structure. As such, GEDI promises to advance our understanding of the importance of canopy vertical variations within an ecological paradigm based on structure, composition and function.","author":[{"dropping-particle":"","family":"Dubayah","given":"Ralph","non-dropping-particle":"","parse-names":false,"suffix":""},{"dropping-particle":"","family":"Blair","given":"James Bryan","non-dropping-particle":"","parse-names":false,"suffix":""},{"dropping-particle":"","family":"Goetz","given":"Scott","non-dropping-particle":"","parse-names":false,"suffix":""},{"dropping-particle":"","family":"Fatoyinbo","given":"Lola","non-dropping-particle":"","parse-names":false,"suffix":""},{"dropping-particle":"","family":"Hansen","given":"Matthew","non-dropping-particle":"","parse-names":false,"suffix":""},{"dropping-particle":"","family":"Healey","given":"Sean","non-dropping-particle":"","parse-names":false,"suffix":""},{"dropping-particle":"","family":"Hofton","given":"Michelle","non-dropping-particle":"","parse-names":false,"suffix":""},{"dropping-particle":"","family":"Hurtt","given":"George","non-dropping-particle":"","parse-names":false,"suffix":""},{"dropping-particle":"","family":"Kellner","given":"James","non-dropping-particle":"","parse-names":false,"suffix":""},{"dropping-particle":"","family":"Luthcke","given":"Scott","non-dropping-particle":"","parse-names":false,"suffix":""},{"dropping-particle":"","family":"Armston","given":"John","non-dropping-particle":"","parse-names":false,"suffix":""},{"dropping-particle":"","family":"Tang","given":"Hao","non-dropping-particle":"","parse-names":false,"suffix":""},{"dropping-particle":"","family":"Duncanson","given":"Laura","non-dropping-particle":"","parse-names":false,"suffix":""},{"dropping-particle":"","family":"Hancock","given":"Steven","non-dropping-particle":"","parse-names":false,"suffix":""},{"dropping-particle":"","family":"Jantz","given":"Patrick","non-dropping-particle":"","parse-names":false,"suffix":""},{"dropping-particle":"","family":"Marselis","given":"Suzanne","non-dropping-particle":"","parse-names":false,"suffix":""},{"dropping-particle":"","family":"Patterson","given":"Paul L.","non-dropping-particle":"","parse-names":false,"suffix":""},{"dropping-particle":"","family":"Qi","given":"Wenlu","non-dropping-particle":"","parse-names":false,"suffix":""},{"dropping-particle":"","family":"Silva","given":"Carlos","non-dropping-particle":"","parse-names":false,"suffix":""}],"container-title":"Science of Remote Sensing","id":"ITEM-1","issued":{"date-parts":[["2020","6","1"]]},"page":"100002","publisher":"Elsevier","title":"The Global Ecosystem Dynamics Investigation: High-resolution laser ranging of the Earth’s forests and topography","type":"article-journal","volume":"1"},"uris":["http://www.mendeley.com/documents/?uuid=b7e4bc0c-57be-32bf-a9ad-f84664bc18b0"]}],"mendeley":{"formattedCitation":"&lt;sup&gt;37&lt;/sup&gt;","plainTextFormattedCitation":"37","previouslyFormattedCitation":"&lt;sup&gt;37&lt;/sup&gt;"},"properties":{"noteIndex":0},"schema":"https://github.com/citation-style-language/schema/raw/master/csl-citation.json"}</w:instrText>
            </w:r>
            <w:r>
              <w:rPr>
                <w:rFonts w:ascii="Times New Roman" w:eastAsia="Times New Roman" w:hAnsi="Times New Roman" w:cs="Times New Roman"/>
                <w:color w:val="1C1D1E"/>
                <w:sz w:val="20"/>
                <w:szCs w:val="20"/>
              </w:rPr>
              <w:fldChar w:fldCharType="separate"/>
            </w:r>
            <w:r w:rsidRPr="006B2558">
              <w:rPr>
                <w:rFonts w:ascii="Times New Roman" w:eastAsia="Times New Roman" w:hAnsi="Times New Roman" w:cs="Times New Roman"/>
                <w:noProof/>
                <w:color w:val="1C1D1E"/>
                <w:sz w:val="20"/>
                <w:szCs w:val="20"/>
                <w:vertAlign w:val="superscript"/>
              </w:rPr>
              <w:t>37</w:t>
            </w:r>
            <w:r>
              <w:rPr>
                <w:rFonts w:ascii="Times New Roman" w:eastAsia="Times New Roman" w:hAnsi="Times New Roman" w:cs="Times New Roman"/>
                <w:color w:val="1C1D1E"/>
                <w:sz w:val="20"/>
                <w:szCs w:val="20"/>
              </w:rPr>
              <w:fldChar w:fldCharType="end"/>
            </w:r>
          </w:p>
        </w:tc>
        <w:tc>
          <w:tcPr>
            <w:tcW w:w="1768" w:type="dxa"/>
            <w:vMerge w:val="restart"/>
            <w:tcBorders>
              <w:top w:val="single" w:sz="4" w:space="0" w:color="BFBFBF"/>
              <w:left w:val="single" w:sz="4" w:space="0" w:color="BFBFBF"/>
              <w:right w:val="single" w:sz="4" w:space="0" w:color="BFBFBF"/>
            </w:tcBorders>
          </w:tcPr>
          <w:p w14:paraId="326F9F8B" w14:textId="77777777" w:rsidR="006F1B37" w:rsidRDefault="006F1B37" w:rsidP="00160F12">
            <w:pPr>
              <w:widowControl w:val="0"/>
              <w:spacing w:after="75" w:line="240" w:lineRule="auto"/>
              <w:rPr>
                <w:rFonts w:ascii="Times New Roman" w:eastAsia="Times New Roman" w:hAnsi="Times New Roman" w:cs="Times New Roman"/>
                <w:color w:val="1C1D1E"/>
                <w:sz w:val="20"/>
                <w:szCs w:val="20"/>
              </w:rPr>
            </w:pPr>
            <w:r>
              <w:rPr>
                <w:rFonts w:ascii="Times New Roman" w:eastAsia="Times New Roman" w:hAnsi="Times New Roman" w:cs="Times New Roman"/>
                <w:color w:val="1C1D1E"/>
                <w:sz w:val="20"/>
                <w:szCs w:val="20"/>
              </w:rPr>
              <w:t>25m</w:t>
            </w:r>
          </w:p>
        </w:tc>
      </w:tr>
      <w:tr w:rsidR="006F1B37" w14:paraId="53E959A7" w14:textId="77777777" w:rsidTr="00160F12">
        <w:tc>
          <w:tcPr>
            <w:tcW w:w="2523" w:type="dxa"/>
            <w:gridSpan w:val="2"/>
            <w:vMerge/>
          </w:tcPr>
          <w:p w14:paraId="14EC7310" w14:textId="77777777" w:rsidR="006F1B37" w:rsidRDefault="006F1B37" w:rsidP="00160F12">
            <w:pPr>
              <w:widowControl w:val="0"/>
            </w:pPr>
          </w:p>
        </w:tc>
        <w:tc>
          <w:tcPr>
            <w:tcW w:w="2982" w:type="dxa"/>
            <w:tcBorders>
              <w:top w:val="single" w:sz="4" w:space="0" w:color="BFBFBF"/>
              <w:left w:val="single" w:sz="4" w:space="0" w:color="BFBFBF"/>
              <w:bottom w:val="single" w:sz="4" w:space="0" w:color="BFBFBF"/>
              <w:right w:val="single" w:sz="4" w:space="0" w:color="BFBFBF"/>
            </w:tcBorders>
          </w:tcPr>
          <w:p w14:paraId="4E06D918" w14:textId="77777777" w:rsidR="006F1B37" w:rsidRDefault="006F1B37" w:rsidP="00160F12">
            <w:pPr>
              <w:widowControl w:val="0"/>
              <w:spacing w:after="75" w:line="240" w:lineRule="auto"/>
              <w:rPr>
                <w:rFonts w:ascii="Times New Roman" w:eastAsia="Times New Roman" w:hAnsi="Times New Roman" w:cs="Times New Roman"/>
                <w:color w:val="1C1D1E"/>
                <w:sz w:val="20"/>
                <w:szCs w:val="20"/>
              </w:rPr>
            </w:pPr>
            <w:r>
              <w:rPr>
                <w:rFonts w:ascii="Times New Roman" w:eastAsia="Times New Roman" w:hAnsi="Times New Roman" w:cs="Times New Roman"/>
                <w:color w:val="1C1D1E"/>
                <w:sz w:val="20"/>
                <w:szCs w:val="20"/>
              </w:rPr>
              <w:t>Median leaf height (MLH)</w:t>
            </w:r>
          </w:p>
        </w:tc>
        <w:tc>
          <w:tcPr>
            <w:tcW w:w="1969" w:type="dxa"/>
            <w:vMerge/>
          </w:tcPr>
          <w:p w14:paraId="77C354F8" w14:textId="77777777" w:rsidR="006F1B37" w:rsidRDefault="006F1B37" w:rsidP="00160F12">
            <w:pPr>
              <w:widowControl w:val="0"/>
            </w:pPr>
          </w:p>
        </w:tc>
        <w:tc>
          <w:tcPr>
            <w:tcW w:w="1768" w:type="dxa"/>
            <w:vMerge/>
          </w:tcPr>
          <w:p w14:paraId="1B9F9379" w14:textId="77777777" w:rsidR="006F1B37" w:rsidRDefault="006F1B37" w:rsidP="00160F12">
            <w:pPr>
              <w:widowControl w:val="0"/>
            </w:pPr>
          </w:p>
        </w:tc>
      </w:tr>
      <w:tr w:rsidR="006F1B37" w14:paraId="62E65947" w14:textId="77777777" w:rsidTr="00160F12">
        <w:tc>
          <w:tcPr>
            <w:tcW w:w="2523" w:type="dxa"/>
            <w:gridSpan w:val="2"/>
            <w:tcBorders>
              <w:top w:val="single" w:sz="4" w:space="0" w:color="BFBFBF"/>
              <w:left w:val="single" w:sz="4" w:space="0" w:color="BFBFBF"/>
              <w:bottom w:val="single" w:sz="4" w:space="0" w:color="BFBFBF"/>
              <w:right w:val="single" w:sz="4" w:space="0" w:color="BFBFBF"/>
            </w:tcBorders>
          </w:tcPr>
          <w:p w14:paraId="3A214D8F" w14:textId="77777777" w:rsidR="006F1B37" w:rsidRDefault="006F1B37" w:rsidP="00160F12">
            <w:pPr>
              <w:widowControl w:val="0"/>
              <w:spacing w:after="75" w:line="240" w:lineRule="auto"/>
              <w:rPr>
                <w:rFonts w:ascii="Times New Roman" w:eastAsia="Times New Roman" w:hAnsi="Times New Roman" w:cs="Times New Roman"/>
                <w:b/>
                <w:bCs/>
                <w:color w:val="1C1D1E"/>
                <w:sz w:val="20"/>
                <w:szCs w:val="20"/>
              </w:rPr>
            </w:pPr>
            <w:r>
              <w:rPr>
                <w:rFonts w:ascii="Times New Roman" w:eastAsia="Times New Roman" w:hAnsi="Times New Roman" w:cs="Times New Roman"/>
                <w:b/>
                <w:bCs/>
                <w:color w:val="1C1D1E"/>
                <w:sz w:val="20"/>
                <w:szCs w:val="20"/>
              </w:rPr>
              <w:t>Forest density</w:t>
            </w:r>
          </w:p>
        </w:tc>
        <w:tc>
          <w:tcPr>
            <w:tcW w:w="2982" w:type="dxa"/>
            <w:tcBorders>
              <w:top w:val="single" w:sz="4" w:space="0" w:color="BFBFBF"/>
              <w:left w:val="single" w:sz="4" w:space="0" w:color="BFBFBF"/>
              <w:bottom w:val="single" w:sz="4" w:space="0" w:color="BFBFBF"/>
              <w:right w:val="single" w:sz="4" w:space="0" w:color="BFBFBF"/>
            </w:tcBorders>
          </w:tcPr>
          <w:p w14:paraId="2AA94463" w14:textId="77777777" w:rsidR="006F1B37" w:rsidRDefault="006F1B37" w:rsidP="00160F12">
            <w:pPr>
              <w:widowControl w:val="0"/>
              <w:spacing w:after="75" w:line="240" w:lineRule="auto"/>
              <w:rPr>
                <w:rFonts w:ascii="Times New Roman" w:eastAsia="Times New Roman" w:hAnsi="Times New Roman" w:cs="Times New Roman"/>
                <w:color w:val="1C1D1E"/>
                <w:sz w:val="20"/>
                <w:szCs w:val="20"/>
              </w:rPr>
            </w:pPr>
            <w:r>
              <w:rPr>
                <w:rFonts w:ascii="Times New Roman" w:eastAsia="Times New Roman" w:hAnsi="Times New Roman" w:cs="Times New Roman"/>
                <w:color w:val="1C1D1E"/>
                <w:sz w:val="20"/>
                <w:szCs w:val="20"/>
              </w:rPr>
              <w:t>Biomass</w:t>
            </w:r>
          </w:p>
        </w:tc>
        <w:tc>
          <w:tcPr>
            <w:tcW w:w="1969" w:type="dxa"/>
            <w:tcBorders>
              <w:top w:val="single" w:sz="4" w:space="0" w:color="BFBFBF"/>
              <w:left w:val="single" w:sz="4" w:space="0" w:color="BFBFBF"/>
              <w:bottom w:val="single" w:sz="4" w:space="0" w:color="BFBFBF"/>
              <w:right w:val="single" w:sz="4" w:space="0" w:color="BFBFBF"/>
            </w:tcBorders>
          </w:tcPr>
          <w:p w14:paraId="3AB150D9" w14:textId="77777777" w:rsidR="006F1B37" w:rsidRDefault="006F1B37" w:rsidP="00160F12">
            <w:pPr>
              <w:widowControl w:val="0"/>
              <w:spacing w:after="75" w:line="240" w:lineRule="auto"/>
            </w:pPr>
            <w:r>
              <w:rPr>
                <w:rFonts w:ascii="Times New Roman" w:eastAsia="Times New Roman" w:hAnsi="Times New Roman" w:cs="Times New Roman"/>
                <w:color w:val="1C1D1E"/>
                <w:sz w:val="20"/>
                <w:szCs w:val="20"/>
              </w:rPr>
              <w:t>WCMC</w:t>
            </w:r>
            <w:r>
              <w:fldChar w:fldCharType="begin" w:fldLock="1"/>
            </w:r>
            <w:r>
              <w:rPr>
                <w:rFonts w:ascii="Times New Roman" w:eastAsia="Times New Roman" w:hAnsi="Times New Roman" w:cs="Times New Roman"/>
                <w:color w:val="1C1D1E"/>
                <w:sz w:val="20"/>
                <w:szCs w:val="20"/>
              </w:rPr>
              <w:instrText>ADDIN CSL_CITATION {"citationItems":[{"id":"ITEM-1","itemData":{"DOI":"10.1098/rstb.2019.0128","ISSN":"0962-8436","abstract":"&lt;p&gt;Integrated high-resolution maps of carbon stocks and biodiversity that identify areas of potential co-benefits for climate change mitigation and biodiversity conservation can help facilitate the implementation of global climate and biodiversity commitments at local levels. However, the multi-dimensional nature of biodiversity presents a major challenge for understanding, mapping and communicating where and how biodiversity benefits coincide with climate benefits. A new integrated approach to biodiversity is therefore needed. Here, we (a) present a new high-resolution map of global above- and below-ground carbon stored in biomass and soil, (b) quantify biodiversity values using two complementary indices (BIp and BIr) representing proactive and reactive approaches to conservation, and (c) examine patterns of carbon–biodiversity overlap by identifying 'hotspots' (20% highest values for both aspects). Our indices integrate local diversity and ecosystem intactness, as well as regional ecosystem intactness across the broader area supporting a similar natural assemblage of species to the location of interest. The western Amazon Basin, Central Africa and Southeast Asia capture the last strongholds of highest local biodiversity and ecosystem intactness worldwide, while the last refuges for unique biological communities whose habitats have been greatly reduced are mostly found in the tropical Andes and central Sundaland. There is 38 and 5% overlap in carbon and biodiversity hotspots, for proactive and reactive conservation, respectively. Alarmingly, only around 12 and 21% of these proactive and reactive hotspot areas, respectively, are formally protected. This highlights that a coupled approach is urgently needed to help achieve both climate and biodiversity global targets. This would involve (1) restoring and conserving unprotected, degraded ecosystems, particularly in the Neotropics and Indomalaya, and (2) retaining the remaining strongholds of intactness.&lt;/p&gt;","author":[{"dropping-particle":"","family":"Soto-Navarro","given":"C.","non-dropping-particle":"","parse-names":false,"suffix":""},{"dropping-particle":"","family":"Ravilious","given":"C.","non-dropping-particle":"","parse-names":false,"suffix":""},{"dropping-particle":"","family":"Arnell","given":"A.","non-dropping-particle":"","parse-names":false,"suffix":""},{"dropping-particle":"","family":"Lamo","given":"X.","non-dropping-particle":"de","parse-names":false,"suffix":""},{"dropping-particle":"","family":"Harfoot","given":"M.","non-dropping-particle":"","parse-names":false,"suffix":""},{"dropping-particle":"","family":"Hill","given":"S. L. L.","non-dropping-particle":"","parse-names":false,"suffix":""},{"dropping-particle":"","family":"Wearn","given":"O. R.","non-dropping-particle":"","parse-names":false,"suffix":""},{"dropping-particle":"","family":"Santoro","given":"M.","non-dropping-particle":"","parse-names":false,"suffix":""},{"dropping-particle":"","family":"Bouvet","given":"A.","non-dropping-particle":"","parse-names":false,"suffix":""},{"dropping-particle":"","family":"Mermoz","given":"S.","non-dropping-particle":"","parse-names":false,"suffix":""},{"dropping-particle":"","family":"Toan","given":"T.","non-dropping-particle":"Le","parse-names":false,"suffix":""},{"dropping-particle":"","family":"Xia","given":"J.","non-dropping-particle":"","parse-names":false,"suffix":""},{"dropping-particle":"","family":"Liu","given":"S.","non-dropping-particle":"","parse-names":false,"suffix":""},{"dropping-particle":"","family":"Yuan","given":"W.","non-dropping-particle":"","parse-names":false,"suffix":""},{"dropping-particle":"","family":"Spawn","given":"S. A.","non-dropping-particle":"","parse-names":false,"suffix":""},{"dropping-particle":"","family":"Gibbs","given":"H. K.","non-dropping-particle":"","parse-names":false,"suffix":""},{"dropping-particle":"","family":"Ferrier","given":"S.","non-dropping-particle":"","parse-names":false,"suffix":""},{"dropping-particle":"","family":"Harwood","given":"T.","non-dropping-particle":"","parse-names":false,"suffix":""},{"dropping-particle":"","family":"Alkemade","given":"R.","non-dropping-particle":"","parse-names":false,"suffix":""},{"dropping-particle":"","family":"Schipper","given":"A. M.","non-dropping-particle":"","parse-names":false,"suffix":""},{"dropping-particle":"","family":"Schmidt-Traub","given":"G.","non-dropping-particle":"","parse-names":false,"suffix":""},{"dropping-particle":"","family":"Strassburg","given":"B.","non-dropping-particle":"","parse-names":false,"suffix":""},{"dropping-particle":"","family":"Miles","given":"L.","non-dropping-particle":"","parse-names":false,"suffix":""},{"dropping-particle":"","family":"Burgess","given":"N. D.","non-dropping-particle":"","parse-names":false,"suffix":""},{"dropping-particle":"","family":"Kapos","given":"V.","non-dropping-particle":"","parse-names":false,"suffix":""}],"container-title":"Philosophical Transactions of the Royal Society B: Biological Sciences","id":"ITEM-1","issue":"1794","issued":{"date-parts":[["2020","3","16"]]},"page":"20190128","publisher":"\nThe Royal Society\n","title":"Mapping co-benefits for carbon storage and biodiversity to inform conservation policy and action","type":"article-journal","volume":"375"},"uris":["http://www.mendeley.com/documents/?uuid=f8d549f2-67fb-3020-89c0-91be53b8ccd4"]}],"mendeley":{"formattedCitation":"&lt;sup&gt;39&lt;/sup&gt;","plainTextFormattedCitation":"39","previouslyFormattedCitation":"&lt;sup&gt;39&lt;/sup&gt;"},"properties":{"noteIndex":0},"schema":"https://github.com/citation-style-language/schema/raw/master/csl-citation.json"}</w:instrText>
            </w:r>
            <w:r>
              <w:rPr>
                <w:rFonts w:ascii="Times New Roman" w:eastAsia="Times New Roman" w:hAnsi="Times New Roman" w:cs="Times New Roman"/>
                <w:color w:val="1C1D1E"/>
                <w:sz w:val="20"/>
                <w:szCs w:val="20"/>
              </w:rPr>
              <w:fldChar w:fldCharType="separate"/>
            </w:r>
            <w:r w:rsidRPr="006B2558">
              <w:rPr>
                <w:rFonts w:ascii="Times New Roman" w:eastAsia="Times New Roman" w:hAnsi="Times New Roman" w:cs="Times New Roman"/>
                <w:noProof/>
                <w:color w:val="1C1D1E"/>
                <w:sz w:val="20"/>
                <w:szCs w:val="20"/>
                <w:vertAlign w:val="superscript"/>
              </w:rPr>
              <w:t>39</w:t>
            </w:r>
            <w:r>
              <w:rPr>
                <w:rFonts w:ascii="Times New Roman" w:eastAsia="Times New Roman" w:hAnsi="Times New Roman" w:cs="Times New Roman"/>
                <w:color w:val="1C1D1E"/>
                <w:sz w:val="20"/>
                <w:szCs w:val="20"/>
              </w:rPr>
              <w:fldChar w:fldCharType="end"/>
            </w:r>
          </w:p>
        </w:tc>
        <w:tc>
          <w:tcPr>
            <w:tcW w:w="1768" w:type="dxa"/>
            <w:tcBorders>
              <w:top w:val="single" w:sz="4" w:space="0" w:color="BFBFBF"/>
              <w:left w:val="single" w:sz="4" w:space="0" w:color="BFBFBF"/>
              <w:bottom w:val="single" w:sz="4" w:space="0" w:color="BFBFBF"/>
              <w:right w:val="single" w:sz="4" w:space="0" w:color="BFBFBF"/>
            </w:tcBorders>
          </w:tcPr>
          <w:p w14:paraId="3F77683A" w14:textId="77777777" w:rsidR="006F1B37" w:rsidRDefault="006F1B37" w:rsidP="00160F12">
            <w:pPr>
              <w:widowControl w:val="0"/>
              <w:spacing w:after="75" w:line="240" w:lineRule="auto"/>
              <w:rPr>
                <w:rFonts w:ascii="Times New Roman" w:eastAsia="Times New Roman" w:hAnsi="Times New Roman" w:cs="Times New Roman"/>
                <w:color w:val="1C1D1E"/>
                <w:sz w:val="20"/>
                <w:szCs w:val="20"/>
              </w:rPr>
            </w:pPr>
            <w:r>
              <w:rPr>
                <w:rFonts w:ascii="Times New Roman" w:eastAsia="Times New Roman" w:hAnsi="Times New Roman" w:cs="Times New Roman"/>
                <w:color w:val="1C1D1E"/>
                <w:sz w:val="20"/>
                <w:szCs w:val="20"/>
              </w:rPr>
              <w:t>300m</w:t>
            </w:r>
          </w:p>
        </w:tc>
      </w:tr>
      <w:tr w:rsidR="006F1B37" w14:paraId="1ECC09C3" w14:textId="77777777" w:rsidTr="00160F12">
        <w:tc>
          <w:tcPr>
            <w:tcW w:w="2523" w:type="dxa"/>
            <w:gridSpan w:val="2"/>
            <w:vMerge w:val="restart"/>
            <w:tcBorders>
              <w:top w:val="single" w:sz="4" w:space="0" w:color="BFBFBF"/>
              <w:left w:val="single" w:sz="4" w:space="0" w:color="BFBFBF"/>
              <w:right w:val="single" w:sz="4" w:space="0" w:color="BFBFBF"/>
            </w:tcBorders>
          </w:tcPr>
          <w:p w14:paraId="39FBDB53" w14:textId="77777777" w:rsidR="006F1B37" w:rsidRDefault="006F1B37" w:rsidP="00160F12">
            <w:pPr>
              <w:widowControl w:val="0"/>
              <w:spacing w:after="75" w:line="240" w:lineRule="auto"/>
              <w:rPr>
                <w:rFonts w:ascii="Times New Roman" w:eastAsia="Times New Roman" w:hAnsi="Times New Roman" w:cs="Times New Roman"/>
                <w:b/>
                <w:bCs/>
                <w:color w:val="1C1D1E"/>
                <w:sz w:val="20"/>
                <w:szCs w:val="20"/>
              </w:rPr>
            </w:pPr>
            <w:r>
              <w:rPr>
                <w:rFonts w:ascii="Times New Roman" w:eastAsia="Times New Roman" w:hAnsi="Times New Roman" w:cs="Times New Roman"/>
                <w:b/>
                <w:bCs/>
                <w:color w:val="1C1D1E"/>
                <w:sz w:val="20"/>
                <w:szCs w:val="20"/>
              </w:rPr>
              <w:t>Topography</w:t>
            </w:r>
          </w:p>
        </w:tc>
        <w:tc>
          <w:tcPr>
            <w:tcW w:w="2982" w:type="dxa"/>
            <w:tcBorders>
              <w:top w:val="single" w:sz="4" w:space="0" w:color="BFBFBF"/>
              <w:left w:val="single" w:sz="4" w:space="0" w:color="BFBFBF"/>
              <w:bottom w:val="single" w:sz="4" w:space="0" w:color="BFBFBF"/>
              <w:right w:val="single" w:sz="4" w:space="0" w:color="BFBFBF"/>
            </w:tcBorders>
          </w:tcPr>
          <w:p w14:paraId="0E19D386" w14:textId="77777777" w:rsidR="006F1B37" w:rsidRDefault="006F1B37" w:rsidP="00160F12">
            <w:pPr>
              <w:widowControl w:val="0"/>
              <w:spacing w:after="75" w:line="240" w:lineRule="auto"/>
              <w:rPr>
                <w:rFonts w:ascii="Times New Roman" w:eastAsia="Times New Roman" w:hAnsi="Times New Roman" w:cs="Times New Roman"/>
                <w:color w:val="1C1D1E"/>
                <w:sz w:val="20"/>
                <w:szCs w:val="20"/>
              </w:rPr>
            </w:pPr>
            <w:r>
              <w:rPr>
                <w:rFonts w:ascii="Times New Roman" w:eastAsia="Times New Roman" w:hAnsi="Times New Roman" w:cs="Times New Roman"/>
                <w:color w:val="1C1D1E"/>
                <w:sz w:val="20"/>
                <w:szCs w:val="20"/>
              </w:rPr>
              <w:t>Slope</w:t>
            </w:r>
          </w:p>
        </w:tc>
        <w:tc>
          <w:tcPr>
            <w:tcW w:w="1969" w:type="dxa"/>
            <w:vMerge w:val="restart"/>
            <w:tcBorders>
              <w:top w:val="single" w:sz="4" w:space="0" w:color="BFBFBF"/>
              <w:left w:val="single" w:sz="4" w:space="0" w:color="BFBFBF"/>
              <w:right w:val="single" w:sz="4" w:space="0" w:color="BFBFBF"/>
            </w:tcBorders>
          </w:tcPr>
          <w:p w14:paraId="0FD48364" w14:textId="77777777" w:rsidR="006F1B37" w:rsidRDefault="006F1B37" w:rsidP="00160F12">
            <w:pPr>
              <w:widowControl w:val="0"/>
              <w:spacing w:after="75" w:line="240" w:lineRule="auto"/>
            </w:pPr>
            <w:r>
              <w:rPr>
                <w:rFonts w:ascii="Times New Roman" w:eastAsia="Times New Roman" w:hAnsi="Times New Roman" w:cs="Times New Roman"/>
                <w:color w:val="1C1D1E"/>
                <w:sz w:val="20"/>
                <w:szCs w:val="20"/>
              </w:rPr>
              <w:t>SRTM</w:t>
            </w:r>
            <w:r>
              <w:fldChar w:fldCharType="begin" w:fldLock="1"/>
            </w:r>
            <w:r>
              <w:rPr>
                <w:rFonts w:ascii="Times New Roman" w:eastAsia="Times New Roman" w:hAnsi="Times New Roman" w:cs="Times New Roman"/>
                <w:color w:val="1C1D1E"/>
                <w:sz w:val="20"/>
                <w:szCs w:val="20"/>
              </w:rPr>
              <w:instrText>ADDIN CSL_CITATION {"citationItems":[{"id":"ITEM-1","itemData":{"DOI":"10.1029/2005RG000183","ISSN":"8755-1209","author":[{"dropping-particle":"","family":"Farr","given":"Tom G.","non-dropping-particle":"","parse-names":false,"suffix":""},{"dropping-particle":"","family":"Rosen","given":"Paul A.","non-dropping-particle":"","parse-names":false,"suffix":""},{"dropping-particle":"","family":"Caro","given":"Edward","non-dropping-particle":"","parse-names":false,"suffix":""},{"dropping-particle":"","family":"Crippen","given":"Robert","non-dropping-particle":"","parse-names":false,"suffix":""},{"dropping-particle":"","family":"Duren","given":"Riley","non-dropping-particle":"","parse-names":false,"suffix":""},{"dropping-particle":"","family":"Hensley","given":"Scott","non-dropping-particle":"","parse-names":false,"suffix":""},{"dropping-particle":"","family":"Kobrick","given":"Michael","non-dropping-particle":"","parse-names":false,"suffix":""},{"dropping-particle":"","family":"Paller","given":"Mimi","non-dropping-particle":"","parse-names":false,"suffix":""},{"dropping-particle":"","family":"Rodriguez","given":"Ernesto","non-dropping-particle":"","parse-names":false,"suffix":""},{"dropping-particle":"","family":"Roth","given":"Ladislav","non-dropping-particle":"","parse-names":false,"suffix":""},{"dropping-particle":"","family":"Seal","given":"David","non-dropping-particle":"","parse-names":false,"suffix":""},{"dropping-particle":"","family":"Shaffer","given":"Scott","non-dropping-particle":"","parse-names":false,"suffix":""},{"dropping-particle":"","family":"Shimada","given":"Joanne","non-dropping-particle":"","parse-names":false,"suffix":""},{"dropping-particle":"","family":"Umland","given":"Jeffrey","non-dropping-particle":"","parse-names":false,"suffix":""},{"dropping-particle":"","family":"Werner","given":"Marian","non-dropping-particle":"","parse-names":false,"suffix":""},{"dropping-particle":"","family":"Oskin","given":"Michael","non-dropping-particle":"","parse-names":false,"suffix":""},{"dropping-particle":"","family":"Burbank","given":"Douglas","non-dropping-particle":"","parse-names":false,"suffix":""},{"dropping-particle":"","family":"Alsdorf","given":"Douglas","non-dropping-particle":"","parse-names":false,"suffix":""}],"container-title":"Reviews of Geophysics","id":"ITEM-1","issue":"2","issued":{"date-parts":[["2007","5","19"]]},"page":"RG2004","publisher":"John Wiley &amp; Sons, Ltd","title":"The Shuttle Radar Topography Mission","type":"article-journal","volume":"45"},"uris":["http://www.mendeley.com/documents/?uuid=3193bfe4-56b1-31f7-bced-87b972f3a7e1"]}],"mendeley":{"formattedCitation":"&lt;sup&gt;43&lt;/sup&gt;","plainTextFormattedCitation":"43","previouslyFormattedCitation":"&lt;sup&gt;43&lt;/sup&gt;"},"properties":{"noteIndex":0},"schema":"https://github.com/citation-style-language/schema/raw/master/csl-citation.json"}</w:instrText>
            </w:r>
            <w:r>
              <w:rPr>
                <w:rFonts w:ascii="Times New Roman" w:eastAsia="Times New Roman" w:hAnsi="Times New Roman" w:cs="Times New Roman"/>
                <w:color w:val="1C1D1E"/>
                <w:sz w:val="20"/>
                <w:szCs w:val="20"/>
              </w:rPr>
              <w:fldChar w:fldCharType="separate"/>
            </w:r>
            <w:r w:rsidRPr="006B2558">
              <w:rPr>
                <w:rFonts w:ascii="Times New Roman" w:eastAsia="Times New Roman" w:hAnsi="Times New Roman" w:cs="Times New Roman"/>
                <w:noProof/>
                <w:color w:val="1C1D1E"/>
                <w:sz w:val="20"/>
                <w:szCs w:val="20"/>
                <w:vertAlign w:val="superscript"/>
              </w:rPr>
              <w:t>43</w:t>
            </w:r>
            <w:r>
              <w:rPr>
                <w:rFonts w:ascii="Times New Roman" w:eastAsia="Times New Roman" w:hAnsi="Times New Roman" w:cs="Times New Roman"/>
                <w:color w:val="1C1D1E"/>
                <w:sz w:val="20"/>
                <w:szCs w:val="20"/>
              </w:rPr>
              <w:fldChar w:fldCharType="end"/>
            </w:r>
          </w:p>
        </w:tc>
        <w:tc>
          <w:tcPr>
            <w:tcW w:w="1768" w:type="dxa"/>
            <w:vMerge w:val="restart"/>
            <w:tcBorders>
              <w:top w:val="single" w:sz="4" w:space="0" w:color="BFBFBF"/>
              <w:left w:val="single" w:sz="4" w:space="0" w:color="BFBFBF"/>
              <w:right w:val="single" w:sz="4" w:space="0" w:color="BFBFBF"/>
            </w:tcBorders>
          </w:tcPr>
          <w:p w14:paraId="66C14048" w14:textId="77777777" w:rsidR="006F1B37" w:rsidRDefault="006F1B37" w:rsidP="00160F12">
            <w:pPr>
              <w:widowControl w:val="0"/>
              <w:spacing w:after="75" w:line="240" w:lineRule="auto"/>
              <w:rPr>
                <w:rFonts w:ascii="Times New Roman" w:eastAsia="Times New Roman" w:hAnsi="Times New Roman" w:cs="Times New Roman"/>
                <w:color w:val="1C1D1E"/>
                <w:sz w:val="20"/>
                <w:szCs w:val="20"/>
              </w:rPr>
            </w:pPr>
            <w:r>
              <w:rPr>
                <w:rFonts w:ascii="Times New Roman" w:eastAsia="Times New Roman" w:hAnsi="Times New Roman" w:cs="Times New Roman"/>
                <w:color w:val="1C1D1E"/>
                <w:sz w:val="20"/>
                <w:szCs w:val="20"/>
              </w:rPr>
              <w:t>30m</w:t>
            </w:r>
          </w:p>
        </w:tc>
      </w:tr>
      <w:tr w:rsidR="006F1B37" w14:paraId="5B3304EC" w14:textId="77777777" w:rsidTr="00160F12">
        <w:tc>
          <w:tcPr>
            <w:tcW w:w="2523" w:type="dxa"/>
            <w:gridSpan w:val="2"/>
            <w:vMerge/>
          </w:tcPr>
          <w:p w14:paraId="149F3E22" w14:textId="77777777" w:rsidR="006F1B37" w:rsidRDefault="006F1B37" w:rsidP="00160F12">
            <w:pPr>
              <w:widowControl w:val="0"/>
            </w:pPr>
          </w:p>
        </w:tc>
        <w:tc>
          <w:tcPr>
            <w:tcW w:w="2982" w:type="dxa"/>
            <w:tcBorders>
              <w:top w:val="single" w:sz="4" w:space="0" w:color="BFBFBF"/>
              <w:left w:val="single" w:sz="4" w:space="0" w:color="BFBFBF"/>
              <w:bottom w:val="single" w:sz="4" w:space="0" w:color="BFBFBF"/>
              <w:right w:val="single" w:sz="4" w:space="0" w:color="BFBFBF"/>
            </w:tcBorders>
          </w:tcPr>
          <w:p w14:paraId="3C1F4BFC" w14:textId="77777777" w:rsidR="006F1B37" w:rsidRDefault="006F1B37" w:rsidP="00160F12">
            <w:pPr>
              <w:widowControl w:val="0"/>
              <w:spacing w:after="75" w:line="240" w:lineRule="auto"/>
              <w:rPr>
                <w:rFonts w:ascii="Times New Roman" w:eastAsia="Times New Roman" w:hAnsi="Times New Roman" w:cs="Times New Roman"/>
                <w:color w:val="1C1D1E"/>
                <w:sz w:val="20"/>
                <w:szCs w:val="20"/>
              </w:rPr>
            </w:pPr>
            <w:r>
              <w:rPr>
                <w:rFonts w:ascii="Times New Roman" w:eastAsia="Times New Roman" w:hAnsi="Times New Roman" w:cs="Times New Roman"/>
                <w:color w:val="1C1D1E"/>
                <w:sz w:val="20"/>
                <w:szCs w:val="20"/>
              </w:rPr>
              <w:t>Aspect</w:t>
            </w:r>
          </w:p>
        </w:tc>
        <w:tc>
          <w:tcPr>
            <w:tcW w:w="1969" w:type="dxa"/>
            <w:vMerge/>
          </w:tcPr>
          <w:p w14:paraId="17B2CDC7" w14:textId="77777777" w:rsidR="006F1B37" w:rsidRDefault="006F1B37" w:rsidP="00160F12">
            <w:pPr>
              <w:widowControl w:val="0"/>
            </w:pPr>
          </w:p>
        </w:tc>
        <w:tc>
          <w:tcPr>
            <w:tcW w:w="1768" w:type="dxa"/>
            <w:vMerge/>
          </w:tcPr>
          <w:p w14:paraId="418D0CDB" w14:textId="77777777" w:rsidR="006F1B37" w:rsidRDefault="006F1B37" w:rsidP="00160F12">
            <w:pPr>
              <w:widowControl w:val="0"/>
            </w:pPr>
          </w:p>
        </w:tc>
      </w:tr>
      <w:tr w:rsidR="006F1B37" w14:paraId="5D2E16AC" w14:textId="77777777" w:rsidTr="00160F12">
        <w:tc>
          <w:tcPr>
            <w:tcW w:w="2523" w:type="dxa"/>
            <w:gridSpan w:val="2"/>
            <w:vMerge w:val="restart"/>
            <w:tcBorders>
              <w:top w:val="single" w:sz="4" w:space="0" w:color="BFBFBF"/>
              <w:left w:val="single" w:sz="4" w:space="0" w:color="BFBFBF"/>
            </w:tcBorders>
          </w:tcPr>
          <w:p w14:paraId="4F50C9FE" w14:textId="77777777" w:rsidR="006F1B37" w:rsidRDefault="006F1B37" w:rsidP="00160F12">
            <w:pPr>
              <w:widowControl w:val="0"/>
              <w:spacing w:line="240" w:lineRule="auto"/>
              <w:rPr>
                <w:rFonts w:ascii="Times New Roman" w:eastAsia="Times New Roman" w:hAnsi="Times New Roman" w:cs="Times New Roman"/>
                <w:b/>
                <w:bCs/>
                <w:color w:val="1C1D1E"/>
              </w:rPr>
            </w:pPr>
            <w:r>
              <w:rPr>
                <w:rFonts w:ascii="Times New Roman" w:eastAsia="Times New Roman" w:hAnsi="Times New Roman" w:cs="Times New Roman"/>
                <w:b/>
                <w:bCs/>
                <w:color w:val="1C1D1E"/>
              </w:rPr>
              <w:t>Soil characteristics</w:t>
            </w:r>
          </w:p>
        </w:tc>
        <w:tc>
          <w:tcPr>
            <w:tcW w:w="2982" w:type="dxa"/>
            <w:tcBorders>
              <w:top w:val="single" w:sz="4" w:space="0" w:color="BFBFBF"/>
              <w:left w:val="single" w:sz="4" w:space="0" w:color="BFBFBF"/>
              <w:bottom w:val="single" w:sz="4" w:space="0" w:color="BFBFBF"/>
              <w:right w:val="single" w:sz="4" w:space="0" w:color="BFBFBF"/>
            </w:tcBorders>
          </w:tcPr>
          <w:p w14:paraId="69620391" w14:textId="77777777" w:rsidR="006F1B37" w:rsidRDefault="006F1B37" w:rsidP="00160F12">
            <w:pPr>
              <w:widowControl w:val="0"/>
              <w:spacing w:line="240" w:lineRule="auto"/>
              <w:rPr>
                <w:rFonts w:ascii="Times New Roman" w:eastAsia="Times New Roman" w:hAnsi="Times New Roman" w:cs="Times New Roman"/>
                <w:color w:val="1C1D1E"/>
              </w:rPr>
            </w:pPr>
            <w:r>
              <w:rPr>
                <w:rFonts w:ascii="Times New Roman" w:eastAsia="Times New Roman" w:hAnsi="Times New Roman" w:cs="Times New Roman"/>
                <w:color w:val="1C1D1E"/>
              </w:rPr>
              <w:t>Soil organic carbon content</w:t>
            </w:r>
          </w:p>
        </w:tc>
        <w:tc>
          <w:tcPr>
            <w:tcW w:w="1969" w:type="dxa"/>
            <w:tcBorders>
              <w:top w:val="single" w:sz="4" w:space="0" w:color="BFBFBF"/>
              <w:left w:val="single" w:sz="4" w:space="0" w:color="BFBFBF"/>
              <w:bottom w:val="single" w:sz="4" w:space="0" w:color="BFBFBF"/>
              <w:right w:val="single" w:sz="4" w:space="0" w:color="BFBFBF"/>
            </w:tcBorders>
          </w:tcPr>
          <w:p w14:paraId="702FB9E6" w14:textId="77777777" w:rsidR="006F1B37" w:rsidRDefault="006F1B37" w:rsidP="00160F12">
            <w:pPr>
              <w:widowControl w:val="0"/>
              <w:spacing w:line="240" w:lineRule="auto"/>
              <w:rPr>
                <w:rFonts w:ascii="Times New Roman" w:eastAsia="Times New Roman" w:hAnsi="Times New Roman" w:cs="Times New Roman"/>
                <w:color w:val="1C1D1E"/>
              </w:rPr>
            </w:pPr>
            <w:r>
              <w:rPr>
                <w:rFonts w:ascii="Times New Roman" w:eastAsia="Times New Roman" w:hAnsi="Times New Roman" w:cs="Times New Roman"/>
                <w:color w:val="1C1D1E"/>
              </w:rPr>
              <w:t>EnvirometriX Ltd</w:t>
            </w:r>
          </w:p>
        </w:tc>
        <w:tc>
          <w:tcPr>
            <w:tcW w:w="1768" w:type="dxa"/>
            <w:tcBorders>
              <w:top w:val="single" w:sz="4" w:space="0" w:color="BFBFBF"/>
              <w:left w:val="single" w:sz="4" w:space="0" w:color="BFBFBF"/>
              <w:bottom w:val="single" w:sz="4" w:space="0" w:color="BFBFBF"/>
              <w:right w:val="single" w:sz="4" w:space="0" w:color="BFBFBF"/>
            </w:tcBorders>
          </w:tcPr>
          <w:p w14:paraId="71FB9FCB" w14:textId="77777777" w:rsidR="006F1B37" w:rsidRDefault="006F1B37" w:rsidP="00160F12">
            <w:pPr>
              <w:widowControl w:val="0"/>
              <w:spacing w:line="240" w:lineRule="auto"/>
              <w:rPr>
                <w:rFonts w:ascii="Times New Roman" w:eastAsia="Times New Roman" w:hAnsi="Times New Roman" w:cs="Times New Roman"/>
                <w:color w:val="1C1D1E"/>
              </w:rPr>
            </w:pPr>
            <w:r>
              <w:rPr>
                <w:rFonts w:ascii="Times New Roman" w:eastAsia="Times New Roman" w:hAnsi="Times New Roman" w:cs="Times New Roman"/>
                <w:color w:val="1C1D1E"/>
              </w:rPr>
              <w:t>250m</w:t>
            </w:r>
          </w:p>
        </w:tc>
      </w:tr>
      <w:tr w:rsidR="006F1B37" w14:paraId="0CF609A8" w14:textId="77777777" w:rsidTr="00160F12">
        <w:tc>
          <w:tcPr>
            <w:tcW w:w="2523" w:type="dxa"/>
            <w:gridSpan w:val="2"/>
            <w:vMerge/>
          </w:tcPr>
          <w:p w14:paraId="4C289BED" w14:textId="77777777" w:rsidR="006F1B37" w:rsidRDefault="006F1B37" w:rsidP="00160F12">
            <w:pPr>
              <w:widowControl w:val="0"/>
            </w:pPr>
          </w:p>
        </w:tc>
        <w:tc>
          <w:tcPr>
            <w:tcW w:w="2982" w:type="dxa"/>
            <w:tcBorders>
              <w:top w:val="single" w:sz="4" w:space="0" w:color="BFBFBF"/>
              <w:left w:val="single" w:sz="4" w:space="0" w:color="BFBFBF"/>
              <w:bottom w:val="single" w:sz="4" w:space="0" w:color="BFBFBF"/>
              <w:right w:val="single" w:sz="4" w:space="0" w:color="BFBFBF"/>
            </w:tcBorders>
          </w:tcPr>
          <w:p w14:paraId="4CF2ABF6" w14:textId="77777777" w:rsidR="006F1B37" w:rsidRDefault="006F1B37" w:rsidP="00160F12">
            <w:pPr>
              <w:widowControl w:val="0"/>
              <w:spacing w:line="240" w:lineRule="auto"/>
              <w:rPr>
                <w:rFonts w:ascii="Times New Roman" w:eastAsia="Times New Roman" w:hAnsi="Times New Roman" w:cs="Times New Roman"/>
                <w:color w:val="1C1D1E"/>
              </w:rPr>
            </w:pPr>
            <w:r>
              <w:rPr>
                <w:rFonts w:ascii="Times New Roman" w:eastAsia="Times New Roman" w:hAnsi="Times New Roman" w:cs="Times New Roman"/>
                <w:color w:val="1C1D1E"/>
              </w:rPr>
              <w:t>Soil bulk density</w:t>
            </w:r>
          </w:p>
        </w:tc>
        <w:tc>
          <w:tcPr>
            <w:tcW w:w="1969" w:type="dxa"/>
            <w:tcBorders>
              <w:top w:val="single" w:sz="4" w:space="0" w:color="BFBFBF"/>
              <w:left w:val="single" w:sz="4" w:space="0" w:color="BFBFBF"/>
              <w:bottom w:val="single" w:sz="4" w:space="0" w:color="BFBFBF"/>
              <w:right w:val="single" w:sz="4" w:space="0" w:color="BFBFBF"/>
            </w:tcBorders>
          </w:tcPr>
          <w:p w14:paraId="14BBE68B" w14:textId="77777777" w:rsidR="006F1B37" w:rsidRDefault="006F1B37" w:rsidP="00160F12">
            <w:pPr>
              <w:widowControl w:val="0"/>
              <w:spacing w:line="240" w:lineRule="auto"/>
              <w:rPr>
                <w:rFonts w:ascii="Times New Roman" w:eastAsia="Times New Roman" w:hAnsi="Times New Roman" w:cs="Times New Roman"/>
                <w:color w:val="1C1D1E"/>
              </w:rPr>
            </w:pPr>
            <w:r>
              <w:rPr>
                <w:rFonts w:ascii="Times New Roman" w:eastAsia="Times New Roman" w:hAnsi="Times New Roman" w:cs="Times New Roman"/>
                <w:color w:val="1C1D1E"/>
              </w:rPr>
              <w:t>EnvirometriX Ltd</w:t>
            </w:r>
          </w:p>
        </w:tc>
        <w:tc>
          <w:tcPr>
            <w:tcW w:w="1768" w:type="dxa"/>
            <w:tcBorders>
              <w:top w:val="single" w:sz="4" w:space="0" w:color="BFBFBF"/>
              <w:left w:val="single" w:sz="4" w:space="0" w:color="BFBFBF"/>
              <w:bottom w:val="single" w:sz="4" w:space="0" w:color="BFBFBF"/>
              <w:right w:val="single" w:sz="4" w:space="0" w:color="BFBFBF"/>
            </w:tcBorders>
          </w:tcPr>
          <w:p w14:paraId="078824BD" w14:textId="77777777" w:rsidR="006F1B37" w:rsidRDefault="006F1B37" w:rsidP="00160F12">
            <w:pPr>
              <w:widowControl w:val="0"/>
              <w:spacing w:line="240" w:lineRule="auto"/>
              <w:rPr>
                <w:rFonts w:ascii="Times New Roman" w:eastAsia="Times New Roman" w:hAnsi="Times New Roman" w:cs="Times New Roman"/>
                <w:color w:val="1C1D1E"/>
              </w:rPr>
            </w:pPr>
            <w:r>
              <w:rPr>
                <w:rFonts w:ascii="Times New Roman" w:eastAsia="Times New Roman" w:hAnsi="Times New Roman" w:cs="Times New Roman"/>
                <w:color w:val="1C1D1E"/>
              </w:rPr>
              <w:t>250m</w:t>
            </w:r>
          </w:p>
        </w:tc>
      </w:tr>
      <w:tr w:rsidR="006F1B37" w14:paraId="1E3440EB" w14:textId="77777777" w:rsidTr="00160F12">
        <w:trPr>
          <w:trHeight w:val="305"/>
        </w:trPr>
        <w:tc>
          <w:tcPr>
            <w:tcW w:w="1271" w:type="dxa"/>
            <w:vMerge w:val="restart"/>
            <w:tcBorders>
              <w:top w:val="single" w:sz="4" w:space="0" w:color="BFBFBF"/>
              <w:left w:val="single" w:sz="4" w:space="0" w:color="BFBFBF"/>
              <w:right w:val="single" w:sz="4" w:space="0" w:color="BFBFBF"/>
            </w:tcBorders>
          </w:tcPr>
          <w:p w14:paraId="55DD1ED6" w14:textId="77777777" w:rsidR="006F1B37" w:rsidRDefault="006F1B37" w:rsidP="00160F12">
            <w:pPr>
              <w:widowControl w:val="0"/>
              <w:spacing w:after="75" w:line="240" w:lineRule="auto"/>
              <w:rPr>
                <w:rFonts w:ascii="Times New Roman" w:eastAsia="Times New Roman" w:hAnsi="Times New Roman" w:cs="Times New Roman"/>
                <w:b/>
                <w:bCs/>
                <w:color w:val="1C1D1E"/>
                <w:sz w:val="20"/>
                <w:szCs w:val="20"/>
              </w:rPr>
            </w:pPr>
            <w:r>
              <w:rPr>
                <w:rFonts w:ascii="Times New Roman" w:eastAsia="Times New Roman" w:hAnsi="Times New Roman" w:cs="Times New Roman"/>
                <w:b/>
                <w:bCs/>
                <w:color w:val="1C1D1E"/>
                <w:sz w:val="20"/>
                <w:szCs w:val="20"/>
              </w:rPr>
              <w:t>Background</w:t>
            </w:r>
          </w:p>
          <w:p w14:paraId="1EF4E969" w14:textId="77777777" w:rsidR="006F1B37" w:rsidRDefault="006F1B37" w:rsidP="00160F12">
            <w:pPr>
              <w:widowControl w:val="0"/>
              <w:spacing w:after="75" w:line="240" w:lineRule="auto"/>
              <w:rPr>
                <w:rFonts w:ascii="Times New Roman" w:eastAsia="Times New Roman" w:hAnsi="Times New Roman" w:cs="Times New Roman"/>
                <w:b/>
                <w:bCs/>
                <w:color w:val="1C1D1E"/>
                <w:sz w:val="20"/>
                <w:szCs w:val="20"/>
              </w:rPr>
            </w:pPr>
            <w:r>
              <w:rPr>
                <w:rFonts w:ascii="Times New Roman" w:eastAsia="Times New Roman" w:hAnsi="Times New Roman" w:cs="Times New Roman"/>
                <w:b/>
                <w:bCs/>
                <w:color w:val="1C1D1E"/>
                <w:sz w:val="20"/>
                <w:szCs w:val="20"/>
              </w:rPr>
              <w:t>climate</w:t>
            </w:r>
          </w:p>
        </w:tc>
        <w:tc>
          <w:tcPr>
            <w:tcW w:w="1252" w:type="dxa"/>
            <w:vMerge w:val="restart"/>
            <w:tcBorders>
              <w:top w:val="single" w:sz="4" w:space="0" w:color="BFBFBF"/>
              <w:left w:val="single" w:sz="4" w:space="0" w:color="BFBFBF"/>
              <w:right w:val="single" w:sz="4" w:space="0" w:color="BFBFBF"/>
            </w:tcBorders>
          </w:tcPr>
          <w:p w14:paraId="34AB29AD" w14:textId="77777777" w:rsidR="006F1B37" w:rsidRDefault="006F1B37" w:rsidP="00160F12">
            <w:pPr>
              <w:widowControl w:val="0"/>
              <w:spacing w:after="75" w:line="240" w:lineRule="auto"/>
              <w:rPr>
                <w:rFonts w:ascii="Times New Roman" w:eastAsia="Times New Roman" w:hAnsi="Times New Roman" w:cs="Times New Roman"/>
                <w:b/>
                <w:bCs/>
                <w:color w:val="1C1D1E"/>
                <w:sz w:val="20"/>
                <w:szCs w:val="20"/>
              </w:rPr>
            </w:pPr>
            <w:r>
              <w:rPr>
                <w:rFonts w:ascii="Times New Roman" w:eastAsia="Times New Roman" w:hAnsi="Times New Roman" w:cs="Times New Roman"/>
                <w:b/>
                <w:bCs/>
                <w:color w:val="1C1D1E"/>
                <w:sz w:val="20"/>
                <w:szCs w:val="20"/>
              </w:rPr>
              <w:t>2001-2020</w:t>
            </w:r>
          </w:p>
          <w:p w14:paraId="256AA518" w14:textId="77777777" w:rsidR="006F1B37" w:rsidRDefault="006F1B37" w:rsidP="00160F12">
            <w:pPr>
              <w:widowControl w:val="0"/>
              <w:spacing w:after="75" w:line="240" w:lineRule="auto"/>
              <w:rPr>
                <w:rFonts w:ascii="Times New Roman" w:eastAsia="Times New Roman" w:hAnsi="Times New Roman" w:cs="Times New Roman"/>
                <w:b/>
                <w:bCs/>
                <w:color w:val="1C1D1E"/>
                <w:sz w:val="20"/>
                <w:szCs w:val="20"/>
              </w:rPr>
            </w:pPr>
            <w:r>
              <w:rPr>
                <w:rFonts w:ascii="Times New Roman" w:eastAsia="Times New Roman" w:hAnsi="Times New Roman" w:cs="Times New Roman"/>
                <w:b/>
                <w:bCs/>
                <w:color w:val="1C1D1E"/>
                <w:sz w:val="20"/>
                <w:szCs w:val="20"/>
              </w:rPr>
              <w:t>mean</w:t>
            </w:r>
          </w:p>
        </w:tc>
        <w:tc>
          <w:tcPr>
            <w:tcW w:w="2982" w:type="dxa"/>
            <w:tcBorders>
              <w:top w:val="single" w:sz="4" w:space="0" w:color="BFBFBF"/>
              <w:left w:val="single" w:sz="4" w:space="0" w:color="BFBFBF"/>
              <w:bottom w:val="single" w:sz="4" w:space="0" w:color="BFBFBF"/>
              <w:right w:val="single" w:sz="4" w:space="0" w:color="BFBFBF"/>
            </w:tcBorders>
          </w:tcPr>
          <w:p w14:paraId="074C5BFE" w14:textId="77777777" w:rsidR="006F1B37" w:rsidRDefault="006F1B37" w:rsidP="00160F12">
            <w:pPr>
              <w:widowControl w:val="0"/>
              <w:spacing w:after="75" w:line="240" w:lineRule="auto"/>
              <w:rPr>
                <w:rFonts w:ascii="Times New Roman" w:eastAsia="Times New Roman" w:hAnsi="Times New Roman" w:cs="Times New Roman"/>
                <w:color w:val="1C1D1E"/>
                <w:sz w:val="20"/>
                <w:szCs w:val="20"/>
              </w:rPr>
            </w:pPr>
            <w:r>
              <w:rPr>
                <w:rFonts w:ascii="Times New Roman" w:eastAsia="Times New Roman" w:hAnsi="Times New Roman" w:cs="Times New Roman"/>
                <w:color w:val="1C1D1E"/>
                <w:sz w:val="20"/>
                <w:szCs w:val="20"/>
              </w:rPr>
              <w:t>Soil water content (SWC)</w:t>
            </w:r>
          </w:p>
        </w:tc>
        <w:tc>
          <w:tcPr>
            <w:tcW w:w="1969" w:type="dxa"/>
            <w:vMerge w:val="restart"/>
            <w:tcBorders>
              <w:top w:val="single" w:sz="4" w:space="0" w:color="BFBFBF"/>
              <w:left w:val="single" w:sz="4" w:space="0" w:color="BFBFBF"/>
              <w:right w:val="single" w:sz="4" w:space="0" w:color="BFBFBF"/>
            </w:tcBorders>
          </w:tcPr>
          <w:p w14:paraId="1771E3B0" w14:textId="77777777" w:rsidR="006F1B37" w:rsidRDefault="006F1B37" w:rsidP="00160F12">
            <w:pPr>
              <w:widowControl w:val="0"/>
              <w:spacing w:after="75" w:line="240" w:lineRule="auto"/>
            </w:pPr>
            <w:r>
              <w:rPr>
                <w:rFonts w:ascii="Times New Roman" w:eastAsia="Times New Roman" w:hAnsi="Times New Roman" w:cs="Times New Roman"/>
                <w:color w:val="1C1D1E"/>
                <w:sz w:val="20"/>
                <w:szCs w:val="20"/>
              </w:rPr>
              <w:t>ERA5 land</w:t>
            </w:r>
            <w:r>
              <w:fldChar w:fldCharType="begin" w:fldLock="1"/>
            </w:r>
            <w:r>
              <w:rPr>
                <w:rFonts w:ascii="Times New Roman" w:eastAsia="Times New Roman" w:hAnsi="Times New Roman" w:cs="Times New Roman"/>
                <w:color w:val="1C1D1E"/>
                <w:sz w:val="20"/>
                <w:szCs w:val="20"/>
              </w:rPr>
              <w:instrText>ADDIN CSL_CITATION {"citationItems":[{"id":"ITEM-1","itemData":{"DOI":"10.5194/essd-13-4349-2021","ISSN":"1866-3516","abstract":"&lt;p&gt;&lt;![CDATA[Abstract. Framed within the Copernicus Climate Change Service (C3S) of the European Commission, the European Centre for Medium-Range Weather Forecasts (ECMWF) is producing an enhanced global dataset for the land component of the fifth generation of European ReAnalysis (ERA5), hereafter referred to as ERA5-Land. Once completed, the period covered will span from 1950 to the present, with continuous updates to support land monitoring applications. ERA5-Land describes the evolution of the water and energy cycles over land in a consistent manner over the production period, which, among others, could be used to analyse trends and anomalies. This is achieved through global high-resolution numerical integrations of the ECMWF land surface model driven by the downscaled meteorological forcing from the ERA5 climate reanalysis, including an elevation correction for the thermodynamic near-surface state. ERA5-Land shares with ERA5 most of the parameterizations that guarantees the use of the state-of-the-art land surface modelling applied to numerical weather prediction (NWP) models. A main advantage of ERA5-Land compared to ERA5 and the older ERA-Interim is the horizontal resolution, which is enhanced globally to 9 km compared to 31 km (ERA5) or 80 km (ERA-Interim), whereas the temporal resolution is hourly as in ERA5. Evaluation against independent in situ observations and global model or satellite-based reference datasets shows the added value of ERA5-Land in the description of the hydrological cycle, in particular with enhanced soil moisture and lake description, and an overall better agreement of river discharge estimations with available observations. However, ERA5-Land snow depth fields present a mixed performance when compared to those of ERA5, depending on geographical location and altitude. The description of the energy cycle shows comparable results with ERA5. Nevertheless, ERA5-Land reduces the global averaged root mean square error of the skin temperature, taking as reference MODIS data, mainly due to the contribution of coastal points where spatial resolution is important. Since January 2020, the ERA5-Land period available has extended from January 1981 to the near present, with a 2- to 3-month delay with respect to real time. The segment prior to 1981 is in production, aiming for a release of the whole dataset in summer/autumn 2021. The high spatial and temporal resolution of ERA5-Land, its extended period, and the consistency of the fields …","author":[{"dropping-particle":"","family":"Muñoz-Sabater","given":"Joaquín","non-dropping-particle":"","parse-names":false,"suffix":""},{"dropping-particle":"","family":"Dutra","given":"Emanuel","non-dropping-particle":"","parse-names":false,"suffix":""},{"dropping-particle":"","family":"Agustí-Panareda","given":"Anna","non-dropping-particle":"","parse-names":false,"suffix":""},{"dropping-particle":"","family":"Albergel","given":"Clément","non-dropping-particle":"","parse-names":false,"suffix":""},{"dropping-particle":"","family":"Arduini","given":"Gabriele","non-dropping-particle":"","parse-names":false,"suffix":""},{"dropping-particle":"","family":"Balsamo","given":"Gianpaolo","non-dropping-particle":"","parse-names":false,"suffix":""},{"dropping-particle":"","family":"Boussetta","given":"Souhail","non-dropping-particle":"","parse-names":false,"suffix":""},{"dropping-particle":"","family":"Choulga","given":"Margarita","non-dropping-particle":"","parse-names":false,"suffix":""},{"dropping-particle":"","family":"Harrigan","given":"Shaun","non-dropping-particle":"","parse-names":false,"suffix":""},{"dropping-particle":"","family":"Hersbach","given":"Hans","non-dropping-particle":"","parse-names":false,"suffix":""},{"dropping-particle":"","family":"Martens","given":"Brecht","non-dropping-particle":"","parse-names":false,"suffix":""},{"dropping-particle":"","family":"Miralles","given":"Diego G.","non-dropping-particle":"","parse-names":false,"suffix":""},{"dropping-particle":"","family":"Piles","given":"María","non-dropping-particle":"","parse-names":false,"suffix":""},{"dropping-particle":"","family":"Rodríguez-Fernández","given":"Nemesio J.","non-dropping-particle":"","parse-names":false,"suffix":""},{"dropping-particle":"","family":"Zsoter","given":"Ervin","non-dropping-particle":"","parse-names":false,"suffix":""},{"dropping-particle":"","family":"Buontempo","given":"Carlo","non-dropping-particle":"","parse-names":false,"suffix":""},{"dropping-particle":"","family":"Thépaut","given":"Jean-Noël","non-dropping-particle":"","parse-names":false,"suffix":""}],"container-title":"Earth System Science Data","id":"ITEM-1","issue":"9","issued":{"date-parts":[["2021","9","7"]]},"page":"4349-4383","title":"ERA5-Land: a state-of-the-art global reanalysis dataset for land applications","type":"article-journal","volume":"13"},"uris":["http://www.mendeley.com/documents/?uuid=a6d5de16-4a2a-325d-b8e1-a14b5b449ebc"]}],"mendeley":{"formattedCitation":"&lt;sup&gt;44&lt;/sup&gt;","plainTextFormattedCitation":"44","previouslyFormattedCitation":"&lt;sup&gt;44&lt;/sup&gt;"},"properties":{"noteIndex":0},"schema":"https://github.com/citation-style-language/schema/raw/master/csl-citation.json"}</w:instrText>
            </w:r>
            <w:r>
              <w:rPr>
                <w:rFonts w:ascii="Times New Roman" w:eastAsia="Times New Roman" w:hAnsi="Times New Roman" w:cs="Times New Roman"/>
                <w:color w:val="1C1D1E"/>
                <w:sz w:val="20"/>
                <w:szCs w:val="20"/>
              </w:rPr>
              <w:fldChar w:fldCharType="separate"/>
            </w:r>
            <w:r w:rsidRPr="006B2558">
              <w:rPr>
                <w:rFonts w:ascii="Times New Roman" w:eastAsia="Times New Roman" w:hAnsi="Times New Roman" w:cs="Times New Roman"/>
                <w:noProof/>
                <w:color w:val="1C1D1E"/>
                <w:sz w:val="20"/>
                <w:szCs w:val="20"/>
                <w:vertAlign w:val="superscript"/>
              </w:rPr>
              <w:t>44</w:t>
            </w:r>
            <w:r>
              <w:rPr>
                <w:rFonts w:ascii="Times New Roman" w:eastAsia="Times New Roman" w:hAnsi="Times New Roman" w:cs="Times New Roman"/>
                <w:color w:val="1C1D1E"/>
                <w:sz w:val="20"/>
                <w:szCs w:val="20"/>
              </w:rPr>
              <w:fldChar w:fldCharType="end"/>
            </w:r>
          </w:p>
        </w:tc>
        <w:tc>
          <w:tcPr>
            <w:tcW w:w="1768" w:type="dxa"/>
            <w:vMerge w:val="restart"/>
            <w:tcBorders>
              <w:top w:val="single" w:sz="4" w:space="0" w:color="BFBFBF"/>
              <w:left w:val="single" w:sz="4" w:space="0" w:color="BFBFBF"/>
              <w:right w:val="single" w:sz="4" w:space="0" w:color="BFBFBF"/>
            </w:tcBorders>
          </w:tcPr>
          <w:p w14:paraId="07388433" w14:textId="77777777" w:rsidR="006F1B37" w:rsidRDefault="006F1B37" w:rsidP="00160F12">
            <w:pPr>
              <w:widowControl w:val="0"/>
              <w:spacing w:after="75" w:line="240" w:lineRule="auto"/>
            </w:pPr>
            <w:r>
              <w:rPr>
                <w:rFonts w:ascii="Times New Roman" w:eastAsia="Times New Roman" w:hAnsi="Times New Roman" w:cs="Times New Roman"/>
                <w:color w:val="1C1D1E"/>
                <w:sz w:val="20"/>
                <w:szCs w:val="20"/>
              </w:rPr>
              <w:t>0.1</w:t>
            </w:r>
            <w:r>
              <w:rPr>
                <w:rFonts w:ascii="Times New Roman" w:eastAsia="Times New Roman" w:hAnsi="Times New Roman" w:cs="Times New Roman"/>
                <w:color w:val="1C1D1E"/>
                <w:sz w:val="20"/>
                <w:szCs w:val="20"/>
                <w:vertAlign w:val="superscript"/>
              </w:rPr>
              <w:t>o</w:t>
            </w:r>
            <w:r>
              <w:rPr>
                <w:rFonts w:ascii="Times New Roman" w:eastAsia="Times New Roman" w:hAnsi="Times New Roman" w:cs="Times New Roman"/>
                <w:color w:val="1C1D1E"/>
                <w:sz w:val="20"/>
                <w:szCs w:val="20"/>
              </w:rPr>
              <w:t xml:space="preserve"> ~10 km</w:t>
            </w:r>
          </w:p>
        </w:tc>
      </w:tr>
      <w:tr w:rsidR="006F1B37" w14:paraId="3D352D7C" w14:textId="77777777" w:rsidTr="00160F12">
        <w:tc>
          <w:tcPr>
            <w:tcW w:w="1271" w:type="dxa"/>
            <w:vMerge/>
          </w:tcPr>
          <w:p w14:paraId="55AB272D" w14:textId="77777777" w:rsidR="006F1B37" w:rsidRDefault="006F1B37" w:rsidP="00160F12">
            <w:pPr>
              <w:widowControl w:val="0"/>
            </w:pPr>
          </w:p>
        </w:tc>
        <w:tc>
          <w:tcPr>
            <w:tcW w:w="1252" w:type="dxa"/>
            <w:vMerge/>
          </w:tcPr>
          <w:p w14:paraId="220ABED8" w14:textId="77777777" w:rsidR="006F1B37" w:rsidRDefault="006F1B37" w:rsidP="00160F12">
            <w:pPr>
              <w:widowControl w:val="0"/>
            </w:pPr>
          </w:p>
        </w:tc>
        <w:tc>
          <w:tcPr>
            <w:tcW w:w="2982" w:type="dxa"/>
            <w:tcBorders>
              <w:top w:val="single" w:sz="4" w:space="0" w:color="BFBFBF"/>
              <w:left w:val="single" w:sz="4" w:space="0" w:color="BFBFBF"/>
              <w:bottom w:val="single" w:sz="4" w:space="0" w:color="BFBFBF"/>
              <w:right w:val="single" w:sz="4" w:space="0" w:color="BFBFBF"/>
            </w:tcBorders>
          </w:tcPr>
          <w:p w14:paraId="1148219D" w14:textId="77777777" w:rsidR="006F1B37" w:rsidRDefault="006F1B37" w:rsidP="00160F12">
            <w:pPr>
              <w:widowControl w:val="0"/>
              <w:tabs>
                <w:tab w:val="left" w:pos="840"/>
              </w:tabs>
              <w:spacing w:after="75" w:line="240" w:lineRule="auto"/>
              <w:rPr>
                <w:rFonts w:ascii="Times New Roman" w:eastAsia="Times New Roman" w:hAnsi="Times New Roman" w:cs="Times New Roman"/>
                <w:color w:val="1C1D1E"/>
                <w:sz w:val="20"/>
                <w:szCs w:val="20"/>
              </w:rPr>
            </w:pPr>
            <w:r>
              <w:rPr>
                <w:rFonts w:ascii="Times New Roman" w:eastAsia="Times New Roman" w:hAnsi="Times New Roman" w:cs="Times New Roman"/>
                <w:color w:val="1C1D1E"/>
                <w:sz w:val="20"/>
                <w:szCs w:val="20"/>
              </w:rPr>
              <w:t>Temperature</w:t>
            </w:r>
          </w:p>
        </w:tc>
        <w:tc>
          <w:tcPr>
            <w:tcW w:w="1969" w:type="dxa"/>
            <w:vMerge/>
          </w:tcPr>
          <w:p w14:paraId="173E3FE8" w14:textId="77777777" w:rsidR="006F1B37" w:rsidRDefault="006F1B37" w:rsidP="00160F12">
            <w:pPr>
              <w:widowControl w:val="0"/>
            </w:pPr>
          </w:p>
        </w:tc>
        <w:tc>
          <w:tcPr>
            <w:tcW w:w="1768" w:type="dxa"/>
            <w:vMerge/>
          </w:tcPr>
          <w:p w14:paraId="4A265FC7" w14:textId="77777777" w:rsidR="006F1B37" w:rsidRDefault="006F1B37" w:rsidP="00160F12">
            <w:pPr>
              <w:widowControl w:val="0"/>
            </w:pPr>
          </w:p>
        </w:tc>
      </w:tr>
      <w:tr w:rsidR="006F1B37" w14:paraId="60A43777" w14:textId="77777777" w:rsidTr="00160F12">
        <w:trPr>
          <w:trHeight w:val="305"/>
        </w:trPr>
        <w:tc>
          <w:tcPr>
            <w:tcW w:w="1271" w:type="dxa"/>
            <w:vMerge w:val="restart"/>
            <w:tcBorders>
              <w:top w:val="single" w:sz="4" w:space="0" w:color="BFBFBF"/>
              <w:left w:val="single" w:sz="4" w:space="0" w:color="BFBFBF"/>
              <w:right w:val="single" w:sz="4" w:space="0" w:color="BFBFBF"/>
            </w:tcBorders>
          </w:tcPr>
          <w:p w14:paraId="3C1EBFDE" w14:textId="77777777" w:rsidR="006F1B37" w:rsidRDefault="006F1B37" w:rsidP="00160F12">
            <w:pPr>
              <w:widowControl w:val="0"/>
              <w:spacing w:after="75" w:line="240" w:lineRule="auto"/>
              <w:rPr>
                <w:rFonts w:ascii="Times New Roman" w:eastAsia="Times New Roman" w:hAnsi="Times New Roman" w:cs="Times New Roman"/>
                <w:b/>
                <w:bCs/>
                <w:color w:val="1C1D1E"/>
                <w:sz w:val="20"/>
                <w:szCs w:val="20"/>
              </w:rPr>
            </w:pPr>
            <w:r>
              <w:rPr>
                <w:rFonts w:ascii="Times New Roman" w:eastAsia="Times New Roman" w:hAnsi="Times New Roman" w:cs="Times New Roman"/>
                <w:b/>
                <w:bCs/>
                <w:color w:val="1C1D1E"/>
                <w:sz w:val="20"/>
                <w:szCs w:val="20"/>
              </w:rPr>
              <w:t>Climate change</w:t>
            </w:r>
          </w:p>
        </w:tc>
        <w:tc>
          <w:tcPr>
            <w:tcW w:w="1252" w:type="dxa"/>
            <w:vMerge w:val="restart"/>
            <w:tcBorders>
              <w:top w:val="single" w:sz="4" w:space="0" w:color="BFBFBF"/>
              <w:left w:val="single" w:sz="4" w:space="0" w:color="BFBFBF"/>
              <w:right w:val="single" w:sz="4" w:space="0" w:color="BFBFBF"/>
            </w:tcBorders>
          </w:tcPr>
          <w:p w14:paraId="02B38EFB" w14:textId="77777777" w:rsidR="006F1B37" w:rsidRDefault="006F1B37" w:rsidP="00160F12">
            <w:pPr>
              <w:widowControl w:val="0"/>
              <w:spacing w:after="75" w:line="240" w:lineRule="auto"/>
              <w:rPr>
                <w:rFonts w:ascii="Times New Roman" w:eastAsia="Times New Roman" w:hAnsi="Times New Roman" w:cs="Times New Roman"/>
                <w:b/>
                <w:bCs/>
                <w:color w:val="1C1D1E"/>
                <w:sz w:val="20"/>
                <w:szCs w:val="20"/>
              </w:rPr>
            </w:pPr>
            <w:r>
              <w:rPr>
                <w:rFonts w:ascii="Times New Roman" w:eastAsia="Times New Roman" w:hAnsi="Times New Roman" w:cs="Times New Roman"/>
                <w:b/>
                <w:bCs/>
                <w:color w:val="1C1D1E"/>
                <w:sz w:val="20"/>
                <w:szCs w:val="20"/>
              </w:rPr>
              <w:t>Trend over 2001-2020</w:t>
            </w:r>
          </w:p>
        </w:tc>
        <w:tc>
          <w:tcPr>
            <w:tcW w:w="2982" w:type="dxa"/>
            <w:tcBorders>
              <w:top w:val="single" w:sz="4" w:space="0" w:color="BFBFBF"/>
              <w:left w:val="single" w:sz="4" w:space="0" w:color="BFBFBF"/>
              <w:bottom w:val="single" w:sz="4" w:space="0" w:color="BFBFBF"/>
              <w:right w:val="single" w:sz="4" w:space="0" w:color="BFBFBF"/>
            </w:tcBorders>
          </w:tcPr>
          <w:p w14:paraId="3D80D2CE" w14:textId="77777777" w:rsidR="006F1B37" w:rsidRDefault="006F1B37" w:rsidP="00160F12">
            <w:pPr>
              <w:widowControl w:val="0"/>
              <w:tabs>
                <w:tab w:val="left" w:pos="480"/>
              </w:tabs>
              <w:spacing w:after="75" w:line="240" w:lineRule="auto"/>
              <w:rPr>
                <w:rFonts w:ascii="Times New Roman" w:eastAsia="Times New Roman" w:hAnsi="Times New Roman" w:cs="Times New Roman"/>
                <w:color w:val="1C1D1E"/>
                <w:sz w:val="20"/>
                <w:szCs w:val="20"/>
              </w:rPr>
            </w:pPr>
            <w:r>
              <w:rPr>
                <w:rFonts w:ascii="Times New Roman" w:eastAsia="Times New Roman" w:hAnsi="Times New Roman" w:cs="Times New Roman"/>
                <w:color w:val="1C1D1E"/>
                <w:sz w:val="20"/>
                <w:szCs w:val="20"/>
              </w:rPr>
              <w:t>SWC</w:t>
            </w:r>
          </w:p>
        </w:tc>
        <w:tc>
          <w:tcPr>
            <w:tcW w:w="1969" w:type="dxa"/>
            <w:vMerge/>
          </w:tcPr>
          <w:p w14:paraId="1223F558" w14:textId="77777777" w:rsidR="006F1B37" w:rsidRDefault="006F1B37" w:rsidP="00160F12">
            <w:pPr>
              <w:widowControl w:val="0"/>
            </w:pPr>
          </w:p>
        </w:tc>
        <w:tc>
          <w:tcPr>
            <w:tcW w:w="1768" w:type="dxa"/>
            <w:vMerge/>
          </w:tcPr>
          <w:p w14:paraId="0887E68C" w14:textId="77777777" w:rsidR="006F1B37" w:rsidRDefault="006F1B37" w:rsidP="00160F12">
            <w:pPr>
              <w:widowControl w:val="0"/>
            </w:pPr>
          </w:p>
        </w:tc>
      </w:tr>
      <w:tr w:rsidR="006F1B37" w14:paraId="2D51C259" w14:textId="77777777" w:rsidTr="00160F12">
        <w:tc>
          <w:tcPr>
            <w:tcW w:w="1271" w:type="dxa"/>
            <w:vMerge/>
          </w:tcPr>
          <w:p w14:paraId="16F0A953" w14:textId="77777777" w:rsidR="006F1B37" w:rsidRDefault="006F1B37" w:rsidP="00160F12">
            <w:pPr>
              <w:widowControl w:val="0"/>
            </w:pPr>
          </w:p>
        </w:tc>
        <w:tc>
          <w:tcPr>
            <w:tcW w:w="1252" w:type="dxa"/>
            <w:vMerge/>
          </w:tcPr>
          <w:p w14:paraId="299C8781" w14:textId="77777777" w:rsidR="006F1B37" w:rsidRDefault="006F1B37" w:rsidP="00160F12">
            <w:pPr>
              <w:widowControl w:val="0"/>
            </w:pPr>
          </w:p>
        </w:tc>
        <w:tc>
          <w:tcPr>
            <w:tcW w:w="2982" w:type="dxa"/>
            <w:tcBorders>
              <w:top w:val="single" w:sz="4" w:space="0" w:color="BFBFBF"/>
              <w:left w:val="single" w:sz="4" w:space="0" w:color="BFBFBF"/>
              <w:bottom w:val="single" w:sz="4" w:space="0" w:color="BFBFBF"/>
              <w:right w:val="single" w:sz="4" w:space="0" w:color="BFBFBF"/>
            </w:tcBorders>
          </w:tcPr>
          <w:p w14:paraId="75073C19" w14:textId="77777777" w:rsidR="006F1B37" w:rsidRDefault="006F1B37" w:rsidP="00160F12">
            <w:pPr>
              <w:widowControl w:val="0"/>
              <w:tabs>
                <w:tab w:val="left" w:pos="480"/>
              </w:tabs>
              <w:spacing w:after="75" w:line="240" w:lineRule="auto"/>
              <w:rPr>
                <w:rFonts w:ascii="Times New Roman" w:eastAsia="Times New Roman" w:hAnsi="Times New Roman" w:cs="Times New Roman"/>
                <w:color w:val="1C1D1E"/>
                <w:sz w:val="20"/>
                <w:szCs w:val="20"/>
              </w:rPr>
            </w:pPr>
            <w:r>
              <w:rPr>
                <w:rFonts w:ascii="Times New Roman" w:eastAsia="Times New Roman" w:hAnsi="Times New Roman" w:cs="Times New Roman"/>
                <w:color w:val="1C1D1E"/>
                <w:sz w:val="20"/>
                <w:szCs w:val="20"/>
              </w:rPr>
              <w:t>Temperature</w:t>
            </w:r>
          </w:p>
        </w:tc>
        <w:tc>
          <w:tcPr>
            <w:tcW w:w="1969" w:type="dxa"/>
            <w:vMerge/>
          </w:tcPr>
          <w:p w14:paraId="31997BED" w14:textId="77777777" w:rsidR="006F1B37" w:rsidRDefault="006F1B37" w:rsidP="00160F12">
            <w:pPr>
              <w:widowControl w:val="0"/>
            </w:pPr>
          </w:p>
        </w:tc>
        <w:tc>
          <w:tcPr>
            <w:tcW w:w="1768" w:type="dxa"/>
            <w:vMerge/>
          </w:tcPr>
          <w:p w14:paraId="6833FBDA" w14:textId="77777777" w:rsidR="006F1B37" w:rsidRDefault="006F1B37" w:rsidP="00160F12">
            <w:pPr>
              <w:widowControl w:val="0"/>
            </w:pPr>
          </w:p>
        </w:tc>
      </w:tr>
    </w:tbl>
    <w:p w14:paraId="3499963E" w14:textId="77777777" w:rsidR="006F1B37" w:rsidRDefault="006F1B37" w:rsidP="006F1B37">
      <w:pPr>
        <w:shd w:val="clear" w:color="auto" w:fill="FFFFFF" w:themeFill="background1"/>
        <w:spacing w:after="75" w:line="240" w:lineRule="auto"/>
        <w:rPr>
          <w:rFonts w:ascii="Times New Roman" w:eastAsia="Times New Roman" w:hAnsi="Times New Roman" w:cs="Times New Roman"/>
          <w:color w:val="1C1D1E"/>
          <w:sz w:val="24"/>
          <w:szCs w:val="24"/>
        </w:rPr>
      </w:pPr>
    </w:p>
    <w:p w14:paraId="03258E10" w14:textId="77777777" w:rsidR="006F1B37" w:rsidRDefault="006F1B37" w:rsidP="006F1B37">
      <w:pPr>
        <w:shd w:val="clear" w:color="auto" w:fill="FFFFFF" w:themeFill="background1"/>
        <w:spacing w:after="75" w:line="240" w:lineRule="auto"/>
        <w:jc w:val="both"/>
        <w:rPr>
          <w:rFonts w:ascii="Times New Roman" w:eastAsia="Times New Roman" w:hAnsi="Times New Roman" w:cs="Times New Roman"/>
          <w:color w:val="1C1D1E"/>
          <w:sz w:val="24"/>
          <w:szCs w:val="24"/>
        </w:rPr>
      </w:pPr>
    </w:p>
    <w:p w14:paraId="52C79E81" w14:textId="77777777" w:rsidR="006F1B37" w:rsidRDefault="006F1B37" w:rsidP="006F1B37">
      <w:pPr>
        <w:shd w:val="clear" w:color="auto" w:fill="FFFFFF" w:themeFill="background1"/>
        <w:spacing w:after="75" w:line="240" w:lineRule="auto"/>
        <w:jc w:val="both"/>
        <w:rPr>
          <w:rFonts w:ascii="Times New Roman" w:eastAsia="Times New Roman" w:hAnsi="Times New Roman" w:cs="Times New Roman"/>
          <w:color w:val="1C1D1E"/>
          <w:sz w:val="24"/>
          <w:szCs w:val="24"/>
        </w:rPr>
      </w:pPr>
    </w:p>
    <w:p w14:paraId="4F189887" w14:textId="77777777" w:rsidR="006F1B37" w:rsidRDefault="006F1B37" w:rsidP="006F1B37">
      <w:pPr>
        <w:shd w:val="clear" w:color="auto" w:fill="FFFFFF" w:themeFill="background1"/>
        <w:spacing w:after="75" w:line="240" w:lineRule="auto"/>
        <w:jc w:val="both"/>
        <w:rPr>
          <w:rFonts w:ascii="Times New Roman" w:eastAsia="Times New Roman" w:hAnsi="Times New Roman" w:cs="Times New Roman"/>
          <w:color w:val="1C1D1E"/>
        </w:rPr>
      </w:pPr>
    </w:p>
    <w:p w14:paraId="7DA03F77" w14:textId="77777777" w:rsidR="006F1B37" w:rsidRDefault="006F1B37" w:rsidP="006F1B37">
      <w:pPr>
        <w:shd w:val="clear" w:color="auto" w:fill="FFFFFF" w:themeFill="background1"/>
        <w:spacing w:after="75" w:line="240" w:lineRule="auto"/>
        <w:jc w:val="both"/>
        <w:rPr>
          <w:rFonts w:ascii="Times New Roman" w:eastAsia="Times New Roman" w:hAnsi="Times New Roman" w:cs="Times New Roman"/>
          <w:color w:val="1C1D1E"/>
        </w:rPr>
      </w:pPr>
    </w:p>
    <w:p w14:paraId="07AFC2ED" w14:textId="77777777" w:rsidR="006F1B37" w:rsidRDefault="006F1B37" w:rsidP="006F1B37">
      <w:r>
        <w:rPr>
          <w:noProof/>
          <w:lang w:val="fr-FR" w:eastAsia="fr-FR"/>
        </w:rPr>
        <w:lastRenderedPageBreak/>
        <w:drawing>
          <wp:inline distT="0" distB="0" distL="0" distR="0" wp14:anchorId="23244659" wp14:editId="41AB939B">
            <wp:extent cx="5884545" cy="3781425"/>
            <wp:effectExtent l="0" t="0" r="0" b="0"/>
            <wp:docPr id="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4"/>
                    <pic:cNvPicPr>
                      <a:picLocks noChangeAspect="1" noChangeArrowheads="1"/>
                    </pic:cNvPicPr>
                  </pic:nvPicPr>
                  <pic:blipFill>
                    <a:blip r:embed="rId4"/>
                    <a:srcRect l="6893" t="11304" r="8812" b="7446"/>
                    <a:stretch>
                      <a:fillRect/>
                    </a:stretch>
                  </pic:blipFill>
                  <pic:spPr bwMode="auto">
                    <a:xfrm>
                      <a:off x="0" y="0"/>
                      <a:ext cx="5884545" cy="3781425"/>
                    </a:xfrm>
                    <a:prstGeom prst="rect">
                      <a:avLst/>
                    </a:prstGeom>
                  </pic:spPr>
                </pic:pic>
              </a:graphicData>
            </a:graphic>
          </wp:inline>
        </w:drawing>
      </w:r>
    </w:p>
    <w:p w14:paraId="7CD5B9F6" w14:textId="77777777" w:rsidR="006F1B37" w:rsidRDefault="006F1B37" w:rsidP="006F1B37">
      <w:pPr>
        <w:tabs>
          <w:tab w:val="left" w:pos="2895"/>
        </w:tabs>
        <w:rPr>
          <w:rFonts w:ascii="Times New Roman" w:eastAsia="Times New Roman" w:hAnsi="Times New Roman" w:cs="Times New Roman"/>
          <w:sz w:val="24"/>
          <w:szCs w:val="24"/>
        </w:rPr>
      </w:pPr>
      <w:r>
        <w:rPr>
          <w:rFonts w:ascii="Times New Roman" w:hAnsi="Times New Roman" w:cs="Times New Roman"/>
          <w:b/>
          <w:bCs/>
          <w:sz w:val="24"/>
          <w:szCs w:val="24"/>
        </w:rPr>
        <w:t xml:space="preserve">Figure 1 </w:t>
      </w:r>
      <w:r>
        <w:rPr>
          <w:rFonts w:ascii="Times New Roman" w:eastAsia="Times New Roman" w:hAnsi="Times New Roman" w:cs="Times New Roman"/>
          <w:b/>
          <w:bCs/>
          <w:sz w:val="24"/>
          <w:szCs w:val="24"/>
        </w:rPr>
        <w:t>Frequency distribution of the NDVI and NDWI trends</w:t>
      </w:r>
      <w:r>
        <w:rPr>
          <w:rFonts w:ascii="Times New Roman" w:eastAsia="Times New Roman" w:hAnsi="Times New Roman" w:cs="Times New Roman"/>
          <w:sz w:val="24"/>
          <w:szCs w:val="24"/>
        </w:rPr>
        <w:t>. Frequency distribution of NDVI (a) and NDWI (b) trends for stable European forest over 2001-2020. Numbers in (a and b) refer to the percentage of positive and negative records (on the left and right of the y-axis, respectively). (c) Time series of European averages of NDVI in green and NDWI in blue.</w:t>
      </w:r>
    </w:p>
    <w:p w14:paraId="2E4C1797" w14:textId="77777777" w:rsidR="006F1B37" w:rsidRDefault="006F1B37" w:rsidP="006F1B37">
      <w:pPr>
        <w:jc w:val="both"/>
      </w:pPr>
      <w:r>
        <w:fldChar w:fldCharType="begin"/>
      </w:r>
      <w:r>
        <w:instrText>17. For example tree height is limited by increasing top le</w:instrText>
      </w:r>
      <w:r>
        <w:fldChar w:fldCharType="end"/>
      </w:r>
      <w:r>
        <w:fldChar w:fldCharType="begin"/>
      </w:r>
      <w:r>
        <w:instrText>18. Reason why water stress is suspected to be the main cli</w:instrText>
      </w:r>
      <w:r>
        <w:fldChar w:fldCharType="end"/>
      </w:r>
      <w:r>
        <w:fldChar w:fldCharType="begin"/>
      </w:r>
      <w:r>
        <w:instrText>19,20 demonstrate that highest trees are more vulnerable to dr</w:instrText>
      </w:r>
      <w:r>
        <w:fldChar w:fldCharType="end"/>
      </w:r>
    </w:p>
    <w:p w14:paraId="3831D432" w14:textId="77777777" w:rsidR="006F1B37" w:rsidRDefault="006F1B37" w:rsidP="006F1B37">
      <w:r>
        <w:rPr>
          <w:noProof/>
          <w:lang w:val="fr-FR" w:eastAsia="fr-FR"/>
        </w:rPr>
        <w:lastRenderedPageBreak/>
        <w:drawing>
          <wp:inline distT="0" distB="0" distL="0" distR="0" wp14:anchorId="6E4A81E3" wp14:editId="3B65E6D6">
            <wp:extent cx="5876925" cy="3917950"/>
            <wp:effectExtent l="0" t="0" r="0" b="0"/>
            <wp:docPr id="6" name="Picture 1821848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821848650"/>
                    <pic:cNvPicPr>
                      <a:picLocks noChangeAspect="1" noChangeArrowheads="1"/>
                    </pic:cNvPicPr>
                  </pic:nvPicPr>
                  <pic:blipFill>
                    <a:blip r:embed="rId5"/>
                    <a:stretch>
                      <a:fillRect/>
                    </a:stretch>
                  </pic:blipFill>
                  <pic:spPr bwMode="auto">
                    <a:xfrm>
                      <a:off x="0" y="0"/>
                      <a:ext cx="5876925" cy="3917950"/>
                    </a:xfrm>
                    <a:prstGeom prst="rect">
                      <a:avLst/>
                    </a:prstGeom>
                  </pic:spPr>
                </pic:pic>
              </a:graphicData>
            </a:graphic>
          </wp:inline>
        </w:drawing>
      </w:r>
    </w:p>
    <w:p w14:paraId="6AA661EC" w14:textId="77777777" w:rsidR="006F1B37" w:rsidRDefault="006F1B37" w:rsidP="006F1B37">
      <w:r>
        <w:rPr>
          <w:rFonts w:ascii="Times New Roman" w:eastAsia="Times New Roman" w:hAnsi="Times New Roman" w:cs="Times New Roman"/>
          <w:b/>
          <w:bCs/>
          <w:sz w:val="24"/>
          <w:szCs w:val="24"/>
        </w:rPr>
        <w:t>Figure 2 Observed climate means and trends over 2001-2020, tree architecture and soil characteristics</w:t>
      </w:r>
      <w:r>
        <w:rPr>
          <w:rFonts w:ascii="Times New Roman" w:eastAsia="Times New Roman" w:hAnsi="Times New Roman" w:cs="Times New Roman"/>
          <w:sz w:val="24"/>
          <w:szCs w:val="24"/>
        </w:rPr>
        <w:t>.</w:t>
      </w:r>
      <w:r>
        <w:t xml:space="preserve">  This figure shows the: soil organic carbon content (a), soil bulk density (b), mean (e) and trend (c) of soil water content SWC, mean (f) and trend (d) of surface air temperature, tree height TH (g) and median leaf height MLH (h).   </w:t>
      </w:r>
    </w:p>
    <w:p w14:paraId="0C0779D2" w14:textId="77777777" w:rsidR="006F1B37" w:rsidRDefault="006F1B37" w:rsidP="006F1B37">
      <w:r>
        <w:rPr>
          <w:noProof/>
          <w:lang w:val="fr-FR" w:eastAsia="fr-FR"/>
        </w:rPr>
        <w:drawing>
          <wp:inline distT="0" distB="0" distL="0" distR="0" wp14:anchorId="4F5585DE" wp14:editId="1EFD8598">
            <wp:extent cx="5838825" cy="2126615"/>
            <wp:effectExtent l="0" t="0" r="0" b="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4"/>
                    <pic:cNvPicPr>
                      <a:picLocks noChangeAspect="1" noChangeArrowheads="1"/>
                    </pic:cNvPicPr>
                  </pic:nvPicPr>
                  <pic:blipFill>
                    <a:blip r:embed="rId6"/>
                    <a:srcRect l="8494" t="24759" r="44872" b="49759"/>
                    <a:stretch>
                      <a:fillRect/>
                    </a:stretch>
                  </pic:blipFill>
                  <pic:spPr bwMode="auto">
                    <a:xfrm>
                      <a:off x="0" y="0"/>
                      <a:ext cx="5838825" cy="2126615"/>
                    </a:xfrm>
                    <a:prstGeom prst="rect">
                      <a:avLst/>
                    </a:prstGeom>
                  </pic:spPr>
                </pic:pic>
              </a:graphicData>
            </a:graphic>
          </wp:inline>
        </w:drawing>
      </w:r>
    </w:p>
    <w:p w14:paraId="15D93406" w14:textId="77777777" w:rsidR="006F1B37" w:rsidRDefault="006F1B37" w:rsidP="006F1B37">
      <w:pPr>
        <w:rPr>
          <w:rFonts w:ascii="Times New Roman" w:hAnsi="Times New Roman" w:cs="Times New Roman"/>
          <w:b/>
          <w:bCs/>
          <w:sz w:val="24"/>
          <w:szCs w:val="24"/>
        </w:rPr>
      </w:pPr>
      <w:r>
        <w:rPr>
          <w:rFonts w:ascii="Times New Roman" w:hAnsi="Times New Roman" w:cs="Times New Roman"/>
          <w:b/>
          <w:bCs/>
          <w:sz w:val="24"/>
          <w:szCs w:val="24"/>
        </w:rPr>
        <w:t>Figure 3 Spatial distribution of 2010 forest biomass in (t C/ha).</w:t>
      </w:r>
    </w:p>
    <w:p w14:paraId="48AD8FA3" w14:textId="77777777" w:rsidR="006F1B37" w:rsidRDefault="006F1B37" w:rsidP="006F1B37"/>
    <w:p w14:paraId="456C48AA" w14:textId="77777777" w:rsidR="006F1B37" w:rsidRDefault="006F1B37" w:rsidP="006F1B37"/>
    <w:p w14:paraId="662C838A" w14:textId="77777777" w:rsidR="006F1B37" w:rsidRDefault="006F1B37" w:rsidP="006F1B37"/>
    <w:p w14:paraId="54BF208B" w14:textId="77777777" w:rsidR="006F1B37" w:rsidRDefault="006F1B37" w:rsidP="006F1B37">
      <w:r>
        <w:rPr>
          <w:noProof/>
          <w:lang w:val="fr-FR" w:eastAsia="fr-FR"/>
        </w:rPr>
        <w:lastRenderedPageBreak/>
        <w:drawing>
          <wp:inline distT="0" distB="0" distL="0" distR="0" wp14:anchorId="7EFAD9ED" wp14:editId="788764C3">
            <wp:extent cx="5829300" cy="2781300"/>
            <wp:effectExtent l="0" t="0" r="0" b="0"/>
            <wp:docPr id="8" name="Picture 2140275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2140275637"/>
                    <pic:cNvPicPr>
                      <a:picLocks noChangeAspect="1" noChangeArrowheads="1"/>
                    </pic:cNvPicPr>
                  </pic:nvPicPr>
                  <pic:blipFill>
                    <a:blip r:embed="rId7"/>
                    <a:stretch>
                      <a:fillRect/>
                    </a:stretch>
                  </pic:blipFill>
                  <pic:spPr bwMode="auto">
                    <a:xfrm>
                      <a:off x="0" y="0"/>
                      <a:ext cx="5829300" cy="2781300"/>
                    </a:xfrm>
                    <a:prstGeom prst="rect">
                      <a:avLst/>
                    </a:prstGeom>
                  </pic:spPr>
                </pic:pic>
              </a:graphicData>
            </a:graphic>
          </wp:inline>
        </w:drawing>
      </w:r>
    </w:p>
    <w:p w14:paraId="4350656A" w14:textId="77777777" w:rsidR="006F1B37" w:rsidRDefault="006F1B37" w:rsidP="006F1B37">
      <w:pPr>
        <w:rPr>
          <w:rFonts w:ascii="Times New Roman" w:hAnsi="Times New Roman" w:cs="Times New Roman"/>
          <w:sz w:val="24"/>
          <w:szCs w:val="24"/>
        </w:rPr>
      </w:pPr>
      <w:r>
        <w:rPr>
          <w:rFonts w:ascii="Times New Roman" w:hAnsi="Times New Roman" w:cs="Times New Roman"/>
          <w:b/>
          <w:bCs/>
          <w:sz w:val="24"/>
          <w:szCs w:val="24"/>
        </w:rPr>
        <w:t xml:space="preserve">Figure 4 Results of the Random Forest regression analysis. </w:t>
      </w:r>
      <w:r>
        <w:rPr>
          <w:rFonts w:ascii="Times New Roman" w:hAnsi="Times New Roman" w:cs="Times New Roman"/>
          <w:sz w:val="24"/>
          <w:szCs w:val="24"/>
        </w:rPr>
        <w:t>Partial dependence plots depicting the marginal effects of the climate drivers on greenness (NDVI x1000/yr) and canopy water content (NDWI x1000/yr) trends.</w:t>
      </w:r>
    </w:p>
    <w:p w14:paraId="7E4F6314" w14:textId="77777777" w:rsidR="006F1B37" w:rsidRDefault="006F1B37" w:rsidP="006F1B37">
      <w:pPr>
        <w:rPr>
          <w:rFonts w:ascii="Times New Roman" w:hAnsi="Times New Roman" w:cs="Times New Roman"/>
          <w:b/>
          <w:bCs/>
        </w:rPr>
      </w:pPr>
    </w:p>
    <w:p w14:paraId="4698F2B9" w14:textId="77777777" w:rsidR="006F1B37" w:rsidRDefault="006F1B37" w:rsidP="006F1B37">
      <w:pPr>
        <w:rPr>
          <w:rFonts w:ascii="Times New Roman" w:hAnsi="Times New Roman" w:cs="Times New Roman"/>
          <w:sz w:val="24"/>
          <w:szCs w:val="24"/>
        </w:rPr>
      </w:pPr>
    </w:p>
    <w:p w14:paraId="74A471CE" w14:textId="77777777" w:rsidR="006F1B37" w:rsidRDefault="006F1B37" w:rsidP="006F1B37">
      <w:pPr>
        <w:rPr>
          <w:rFonts w:ascii="Times New Roman" w:hAnsi="Times New Roman" w:cs="Times New Roman"/>
          <w:b/>
          <w:sz w:val="24"/>
          <w:szCs w:val="24"/>
        </w:rPr>
      </w:pPr>
    </w:p>
    <w:p w14:paraId="63AEDA6E" w14:textId="77777777" w:rsidR="006F1B37" w:rsidRDefault="006F1B37" w:rsidP="006F1B37">
      <w:pPr>
        <w:rPr>
          <w:rFonts w:ascii="Times New Roman" w:hAnsi="Times New Roman" w:cs="Times New Roman"/>
          <w:b/>
          <w:bCs/>
        </w:rPr>
      </w:pPr>
    </w:p>
    <w:p w14:paraId="45FE8BB2" w14:textId="77777777" w:rsidR="006F1B37" w:rsidRDefault="006F1B37" w:rsidP="006F1B37">
      <w:r>
        <w:rPr>
          <w:noProof/>
          <w:lang w:val="fr-FR" w:eastAsia="fr-FR"/>
        </w:rPr>
        <w:lastRenderedPageBreak/>
        <w:drawing>
          <wp:inline distT="0" distB="0" distL="0" distR="0" wp14:anchorId="7D317CDB" wp14:editId="6E8FCCAD">
            <wp:extent cx="4115435" cy="5660390"/>
            <wp:effectExtent l="0" t="0" r="0" b="0"/>
            <wp:docPr id="9" name="Picture 1694279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694279188"/>
                    <pic:cNvPicPr>
                      <a:picLocks noChangeAspect="1" noChangeArrowheads="1"/>
                    </pic:cNvPicPr>
                  </pic:nvPicPr>
                  <pic:blipFill>
                    <a:blip r:embed="rId8"/>
                    <a:stretch>
                      <a:fillRect/>
                    </a:stretch>
                  </pic:blipFill>
                  <pic:spPr bwMode="auto">
                    <a:xfrm>
                      <a:off x="0" y="0"/>
                      <a:ext cx="4115435" cy="5660390"/>
                    </a:xfrm>
                    <a:prstGeom prst="rect">
                      <a:avLst/>
                    </a:prstGeom>
                  </pic:spPr>
                </pic:pic>
              </a:graphicData>
            </a:graphic>
          </wp:inline>
        </w:drawing>
      </w:r>
    </w:p>
    <w:p w14:paraId="51420E6B" w14:textId="77777777" w:rsidR="006F1B37" w:rsidRDefault="006F1B37" w:rsidP="006F1B37">
      <w:pPr>
        <w:jc w:val="both"/>
      </w:pPr>
      <w:r>
        <w:rPr>
          <w:b/>
          <w:bCs/>
        </w:rPr>
        <w:t xml:space="preserve">Figure 5 Dependence of greenness and water leaf content trend on biomass and soil organic carbon content. </w:t>
      </w:r>
      <w:r>
        <w:t xml:space="preserve">Observed (ab) and predicted (cd) greenness (NDVI) and water leaf content (NDWI) trends, with a Random Forest model, as a function biomass (x-axis) and soil organic caron content (y-axis). (ef) are similar to (cd) but the potential role of other drivers is partialled out. Bins with a minimum of 30 observations are reported. Black dots indicate bins with an average value statistically different from zero (Student’s t-test; P-value ≤ 0.05). (gh) shows the partial dependence of biomass and soil organic carbon content on greenness and water leaf content trends.  </w:t>
      </w:r>
    </w:p>
    <w:p w14:paraId="6E300825" w14:textId="77777777" w:rsidR="006F1B37" w:rsidRDefault="006F1B37" w:rsidP="006F1B37"/>
    <w:p w14:paraId="43B55526" w14:textId="77777777" w:rsidR="006F1B37" w:rsidRDefault="006F1B37" w:rsidP="006F1B37"/>
    <w:p w14:paraId="1E906740" w14:textId="77777777" w:rsidR="006F1B37" w:rsidRDefault="006F1B37" w:rsidP="006F1B37">
      <w:pPr>
        <w:jc w:val="center"/>
      </w:pPr>
      <w:r>
        <w:rPr>
          <w:noProof/>
          <w:lang w:val="fr-FR" w:eastAsia="fr-FR"/>
        </w:rPr>
        <w:lastRenderedPageBreak/>
        <w:drawing>
          <wp:inline distT="0" distB="0" distL="0" distR="0" wp14:anchorId="1DABF113" wp14:editId="684C32DA">
            <wp:extent cx="4495165" cy="6181090"/>
            <wp:effectExtent l="0" t="0" r="0" b="0"/>
            <wp:docPr id="1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8"/>
                    <pic:cNvPicPr>
                      <a:picLocks noChangeAspect="1" noChangeArrowheads="1"/>
                    </pic:cNvPicPr>
                  </pic:nvPicPr>
                  <pic:blipFill>
                    <a:blip r:embed="rId9"/>
                    <a:stretch>
                      <a:fillRect/>
                    </a:stretch>
                  </pic:blipFill>
                  <pic:spPr bwMode="auto">
                    <a:xfrm>
                      <a:off x="0" y="0"/>
                      <a:ext cx="4495165" cy="6181090"/>
                    </a:xfrm>
                    <a:prstGeom prst="rect">
                      <a:avLst/>
                    </a:prstGeom>
                  </pic:spPr>
                </pic:pic>
              </a:graphicData>
            </a:graphic>
          </wp:inline>
        </w:drawing>
      </w:r>
    </w:p>
    <w:p w14:paraId="24D5D0ED" w14:textId="77777777" w:rsidR="006F1B37" w:rsidRDefault="006F1B37" w:rsidP="006F1B37">
      <w:pPr>
        <w:jc w:val="both"/>
      </w:pPr>
      <w:r>
        <w:rPr>
          <w:rFonts w:ascii="Times New Roman" w:hAnsi="Times New Roman" w:cs="Times New Roman"/>
          <w:b/>
          <w:bCs/>
          <w:sz w:val="24"/>
          <w:szCs w:val="24"/>
        </w:rPr>
        <w:t xml:space="preserve">Figure 6 </w:t>
      </w:r>
      <w:r>
        <w:rPr>
          <w:b/>
          <w:bCs/>
        </w:rPr>
        <w:t xml:space="preserve">Dependence of greenness and canopy water content trend on tree height and biomass. </w:t>
      </w:r>
      <w:r>
        <w:t>Bins with a minimum of 30 observations are reported. Black dots indicate bins with an average value statistically different from zero (Student’s t-test; P-value ≤ 0.05).</w:t>
      </w:r>
    </w:p>
    <w:p w14:paraId="39BCE34C" w14:textId="77777777" w:rsidR="006F1B37" w:rsidRDefault="006F1B37" w:rsidP="006F1B37">
      <w:pPr>
        <w:jc w:val="both"/>
      </w:pPr>
    </w:p>
    <w:p w14:paraId="1E68B43A" w14:textId="77777777" w:rsidR="006F1B37" w:rsidRDefault="006F1B37" w:rsidP="006F1B37">
      <w:pPr>
        <w:jc w:val="both"/>
      </w:pPr>
    </w:p>
    <w:p w14:paraId="31D6D1D7" w14:textId="77777777" w:rsidR="006F1B37" w:rsidRDefault="006F1B37" w:rsidP="006F1B37">
      <w:pPr>
        <w:jc w:val="both"/>
      </w:pPr>
    </w:p>
    <w:p w14:paraId="193CE47F" w14:textId="77777777" w:rsidR="006F1B37" w:rsidRDefault="006F1B37" w:rsidP="006F1B37">
      <w:pPr>
        <w:jc w:val="both"/>
      </w:pPr>
    </w:p>
    <w:p w14:paraId="5016A93D" w14:textId="77777777" w:rsidR="006F1B37" w:rsidRDefault="006F1B37" w:rsidP="006F1B37">
      <w:pPr>
        <w:jc w:val="both"/>
      </w:pPr>
    </w:p>
    <w:p w14:paraId="10675F7B" w14:textId="77777777" w:rsidR="006F1B37" w:rsidRDefault="006F1B37" w:rsidP="006F1B37">
      <w:pPr>
        <w:jc w:val="both"/>
      </w:pPr>
      <w:r>
        <w:rPr>
          <w:noProof/>
          <w:lang w:val="fr-FR" w:eastAsia="fr-FR"/>
        </w:rPr>
        <w:drawing>
          <wp:inline distT="0" distB="0" distL="0" distR="0" wp14:anchorId="4E47C3F0" wp14:editId="3234B9DC">
            <wp:extent cx="5572125" cy="4374515"/>
            <wp:effectExtent l="0" t="0" r="0" b="0"/>
            <wp:docPr id="11" name="Picture 295981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295981163"/>
                    <pic:cNvPicPr>
                      <a:picLocks noChangeAspect="1" noChangeArrowheads="1"/>
                    </pic:cNvPicPr>
                  </pic:nvPicPr>
                  <pic:blipFill>
                    <a:blip r:embed="rId10"/>
                    <a:srcRect b="42917"/>
                    <a:stretch>
                      <a:fillRect/>
                    </a:stretch>
                  </pic:blipFill>
                  <pic:spPr bwMode="auto">
                    <a:xfrm>
                      <a:off x="0" y="0"/>
                      <a:ext cx="5572125" cy="4374515"/>
                    </a:xfrm>
                    <a:prstGeom prst="rect">
                      <a:avLst/>
                    </a:prstGeom>
                  </pic:spPr>
                </pic:pic>
              </a:graphicData>
            </a:graphic>
          </wp:inline>
        </w:drawing>
      </w:r>
    </w:p>
    <w:p w14:paraId="68C6AEBF" w14:textId="77777777" w:rsidR="006F1B37" w:rsidRDefault="006F1B37" w:rsidP="006F1B37">
      <w:pPr>
        <w:jc w:val="both"/>
      </w:pPr>
    </w:p>
    <w:p w14:paraId="292AD704" w14:textId="77777777" w:rsidR="006F1B37" w:rsidRDefault="006F1B37" w:rsidP="006F1B37">
      <w:pPr>
        <w:jc w:val="both"/>
      </w:pPr>
      <w:r>
        <w:rPr>
          <w:b/>
          <w:bCs/>
        </w:rPr>
        <w:t xml:space="preserve">Figure 7 Dependence of greenness and canopy water content trend on tree architecture for different tree types. </w:t>
      </w:r>
      <w:r>
        <w:t>Deciduous (ab) and Needleleaf (cd) greenness (NDVI) and water leaf content (NDWI) trends as a function soil bulk density (x-axis) and soil organic caron content (y-axis). The potential role of other drivers is partialled using single Random Forest model for each forest type. Bins with a minimum of 30 observations are reported. Black dots indicate bins with an average value statistically different from zero (Student’s t-test; P-value ≤ 0.05).</w:t>
      </w:r>
      <w:r>
        <w:rPr>
          <w:b/>
          <w:bCs/>
        </w:rPr>
        <w:t xml:space="preserve"> </w:t>
      </w:r>
    </w:p>
    <w:p w14:paraId="6B877111" w14:textId="77777777" w:rsidR="006F1B37" w:rsidRDefault="006F1B37" w:rsidP="006F1B37">
      <w:pPr>
        <w:jc w:val="both"/>
      </w:pPr>
    </w:p>
    <w:p w14:paraId="4609975B" w14:textId="77777777" w:rsidR="006F1B37" w:rsidRDefault="006F1B37" w:rsidP="006F1B37">
      <w:pPr>
        <w:jc w:val="both"/>
      </w:pPr>
    </w:p>
    <w:p w14:paraId="79005366" w14:textId="77777777" w:rsidR="006F1B37" w:rsidRDefault="006F1B37" w:rsidP="006F1B37">
      <w:pPr>
        <w:jc w:val="both"/>
      </w:pPr>
    </w:p>
    <w:p w14:paraId="1C8C6BFD" w14:textId="77777777" w:rsidR="006F1B37" w:rsidRDefault="006F1B37" w:rsidP="006F1B37">
      <w:pPr>
        <w:jc w:val="both"/>
      </w:pPr>
    </w:p>
    <w:p w14:paraId="52178D2B" w14:textId="77777777" w:rsidR="006F1B37" w:rsidRDefault="006F1B37" w:rsidP="006F1B37">
      <w:pPr>
        <w:jc w:val="both"/>
      </w:pPr>
    </w:p>
    <w:p w14:paraId="6C8F96AA" w14:textId="77777777" w:rsidR="006F1B37" w:rsidRDefault="006F1B37" w:rsidP="006F1B37">
      <w:pPr>
        <w:jc w:val="both"/>
      </w:pPr>
    </w:p>
    <w:p w14:paraId="5B93F51D" w14:textId="77777777" w:rsidR="006F1B37" w:rsidRDefault="006F1B37" w:rsidP="006F1B37">
      <w:pPr>
        <w:jc w:val="both"/>
      </w:pPr>
    </w:p>
    <w:p w14:paraId="562F2F07" w14:textId="77777777" w:rsidR="006F1B37" w:rsidRDefault="006F1B37" w:rsidP="006F1B37">
      <w:pPr>
        <w:jc w:val="both"/>
      </w:pPr>
    </w:p>
    <w:p w14:paraId="6B2C030C" w14:textId="77777777" w:rsidR="006F1B37" w:rsidRDefault="006F1B37" w:rsidP="006F1B37">
      <w:pPr>
        <w:jc w:val="both"/>
      </w:pPr>
      <w:r>
        <w:rPr>
          <w:noProof/>
          <w:lang w:val="fr-FR" w:eastAsia="fr-FR"/>
        </w:rPr>
        <w:drawing>
          <wp:inline distT="0" distB="0" distL="0" distR="0" wp14:anchorId="2BCB0770" wp14:editId="26E91759">
            <wp:extent cx="5816600" cy="4549775"/>
            <wp:effectExtent l="0" t="0" r="0" b="0"/>
            <wp:docPr id="12" name="Picture 388171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388171324"/>
                    <pic:cNvPicPr>
                      <a:picLocks noChangeAspect="1" noChangeArrowheads="1"/>
                    </pic:cNvPicPr>
                  </pic:nvPicPr>
                  <pic:blipFill>
                    <a:blip r:embed="rId11"/>
                    <a:srcRect b="43125"/>
                    <a:stretch>
                      <a:fillRect/>
                    </a:stretch>
                  </pic:blipFill>
                  <pic:spPr bwMode="auto">
                    <a:xfrm>
                      <a:off x="0" y="0"/>
                      <a:ext cx="5816600" cy="4549775"/>
                    </a:xfrm>
                    <a:prstGeom prst="rect">
                      <a:avLst/>
                    </a:prstGeom>
                  </pic:spPr>
                </pic:pic>
              </a:graphicData>
            </a:graphic>
          </wp:inline>
        </w:drawing>
      </w:r>
    </w:p>
    <w:p w14:paraId="127DC598" w14:textId="77777777" w:rsidR="006F1B37" w:rsidRDefault="006F1B37" w:rsidP="006F1B37">
      <w:pPr>
        <w:jc w:val="both"/>
      </w:pPr>
      <w:r>
        <w:rPr>
          <w:b/>
          <w:bCs/>
        </w:rPr>
        <w:t xml:space="preserve">Figure 8 Dependence of greenness and water leaf content trend on soil characteristics. </w:t>
      </w:r>
      <w:r>
        <w:t>Deciduous (ab) and Needleleaf (cd) greenness (NDVI) and water leaf content (NDWI) trends as a function soil bulk density (x-axis) and soil organic caron content (y-axis). The potential role of other drivers is partialled using single Random Forest model for each forest type. Bins with a minimum of 30 observations are reported. Black dots indicate bins with an average value statistically different from zero (Student’s t-test; P-value ≤ 0.05).</w:t>
      </w:r>
    </w:p>
    <w:p w14:paraId="7E1210C9" w14:textId="77777777" w:rsidR="006F1B37" w:rsidRDefault="006F1B37" w:rsidP="006F1B37"/>
    <w:p w14:paraId="161AF48B" w14:textId="77777777" w:rsidR="006F1B37" w:rsidRDefault="006F1B37" w:rsidP="006F1B37">
      <w:pPr>
        <w:rPr>
          <w:rFonts w:ascii="Arial Hebrew Scholar" w:hAnsi="Arial Hebrew Scholar" w:cs="Arial Hebrew Scholar"/>
        </w:rPr>
      </w:pPr>
      <w:r>
        <w:rPr>
          <w:rFonts w:ascii="Arial Hebrew Scholar" w:hAnsi="Arial Hebrew Scholar" w:cs="Arial Hebrew Scholar"/>
        </w:rPr>
        <w:t xml:space="preserve"> </w:t>
      </w:r>
    </w:p>
    <w:p w14:paraId="43936833" w14:textId="77777777" w:rsidR="001760E5" w:rsidRDefault="006F1B37"/>
    <w:sectPr w:rsidR="001760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jaVu Sans">
    <w:altName w:val="Times New Roman"/>
    <w:panose1 w:val="020B0603030804020204"/>
    <w:charset w:val="00"/>
    <w:family w:val="swiss"/>
    <w:pitch w:val="variable"/>
    <w:sig w:usb0="E7002EFF" w:usb1="D200FDFF" w:usb2="0A046029" w:usb3="00000000" w:csb0="000001FF" w:csb1="00000000"/>
  </w:font>
  <w:font w:name="Calibri Light">
    <w:panose1 w:val="020F0302020204030204"/>
    <w:charset w:val="00"/>
    <w:family w:val="swiss"/>
    <w:pitch w:val="variable"/>
    <w:sig w:usb0="E4002EFF" w:usb1="C000247B" w:usb2="00000009" w:usb3="00000000" w:csb0="000001FF" w:csb1="00000000"/>
  </w:font>
  <w:font w:name="Arial Hebrew Scholar">
    <w:altName w:val="Times New Roman"/>
    <w:charset w:val="B1"/>
    <w:family w:val="auto"/>
    <w:pitch w:val="variable"/>
    <w:sig w:usb0="00000000" w:usb1="40000002" w:usb2="00000000" w:usb3="00000000" w:csb0="0000002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B37"/>
    <w:rsid w:val="006E225C"/>
    <w:rsid w:val="006F1B37"/>
    <w:rsid w:val="008A3324"/>
    <w:rsid w:val="0096107C"/>
    <w:rsid w:val="00996CDB"/>
    <w:rsid w:val="009B6A41"/>
    <w:rsid w:val="00BA546E"/>
    <w:rsid w:val="00E17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71CE0F"/>
  <w15:chartTrackingRefBased/>
  <w15:docId w15:val="{A4DF1AC3-3B55-4EE7-A03B-39A0110ED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1B37"/>
    <w:pPr>
      <w:suppressAutoHyphens/>
    </w:pPr>
    <w:rPr>
      <w:rFonts w:ascii="Calibri" w:eastAsia="Calibri" w:hAnsi="Calibri" w:cs="DejaVu Sans"/>
    </w:rPr>
  </w:style>
  <w:style w:type="paragraph" w:styleId="Heading1">
    <w:name w:val="heading 1"/>
    <w:basedOn w:val="Normal"/>
    <w:next w:val="Normal"/>
    <w:link w:val="Heading1Char"/>
    <w:qFormat/>
    <w:rsid w:val="006F1B37"/>
    <w:pPr>
      <w:keepNext/>
      <w:keepLines/>
      <w:spacing w:before="240" w:after="0"/>
      <w:outlineLvl w:val="0"/>
    </w:pPr>
    <w:rPr>
      <w:rFonts w:ascii="Calibri Light" w:hAnsi="Calibri Light"/>
      <w:color w:val="2E74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F1B37"/>
    <w:rPr>
      <w:rFonts w:ascii="Calibri Light" w:eastAsia="Calibri" w:hAnsi="Calibri Light" w:cs="DejaVu Sans"/>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3518</Words>
  <Characters>19143</Characters>
  <Application>Microsoft Office Word</Application>
  <DocSecurity>0</DocSecurity>
  <Lines>375</Lines>
  <Paragraphs>107</Paragraphs>
  <ScaleCrop>false</ScaleCrop>
  <Company>Springer Nature</Company>
  <LinksUpToDate>false</LinksUpToDate>
  <CharactersWithSpaces>22554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2023-05-31T06:45:00Z</dcterms:created>
  <dcterms:modified xsi:type="dcterms:W3CDTF">2023-05-31T06:45:00Z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8680322d-5617-4111-9ef9-9b4454dc14e0</vt:lpwstr>
  </property>
</Properties>
</file>