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18DA14" w14:textId="3A486FF5" w:rsidR="00865476" w:rsidRDefault="004656B0">
      <w:pPr>
        <w:rPr>
          <w:rFonts w:ascii="Times New Roman" w:hAnsi="Times New Roman" w:cs="Times New Roman"/>
          <w:b/>
          <w:bCs/>
          <w:u w:val="single"/>
        </w:rPr>
      </w:pPr>
      <w:bookmarkStart w:id="0" w:name="_GoBack"/>
      <w:bookmarkEnd w:id="0"/>
      <w:r w:rsidRPr="004656B0">
        <w:rPr>
          <w:rFonts w:ascii="Times New Roman" w:hAnsi="Times New Roman" w:cs="Times New Roman"/>
          <w:b/>
          <w:bCs/>
          <w:u w:val="single"/>
        </w:rPr>
        <w:t>Supplementary Materials</w:t>
      </w:r>
      <w:r w:rsidR="009F5B81" w:rsidRPr="004656B0">
        <w:rPr>
          <w:rFonts w:ascii="Times New Roman" w:hAnsi="Times New Roman" w:cs="Times New Roman"/>
          <w:b/>
          <w:bCs/>
          <w:u w:val="single"/>
        </w:rPr>
        <w:br/>
      </w:r>
    </w:p>
    <w:p w14:paraId="07FBD6F6" w14:textId="322BE7A2" w:rsidR="00235398" w:rsidRPr="00235398" w:rsidRDefault="00235398">
      <w:pPr>
        <w:rPr>
          <w:rFonts w:ascii="Times New Roman" w:hAnsi="Times New Roman" w:cs="Times New Roman"/>
        </w:rPr>
      </w:pPr>
      <w:r w:rsidRPr="00235398">
        <w:rPr>
          <w:rFonts w:ascii="Times New Roman" w:hAnsi="Times New Roman" w:cs="Times New Roman"/>
        </w:rPr>
        <w:t xml:space="preserve">(1) </w:t>
      </w:r>
      <w:r>
        <w:rPr>
          <w:rFonts w:ascii="Times New Roman" w:hAnsi="Times New Roman" w:cs="Times New Roman"/>
        </w:rPr>
        <w:t>See PDF of surveys (including topic generation, round one survey, and round two survey)</w:t>
      </w:r>
    </w:p>
    <w:p w14:paraId="70F32241" w14:textId="3A7614D2" w:rsidR="00235398" w:rsidRPr="00235398" w:rsidRDefault="00235398">
      <w:pPr>
        <w:rPr>
          <w:rFonts w:ascii="Times New Roman" w:hAnsi="Times New Roman" w:cs="Times New Roman"/>
        </w:rPr>
      </w:pPr>
    </w:p>
    <w:p w14:paraId="5F0983D8" w14:textId="10B82E6B" w:rsidR="00235398" w:rsidRDefault="00235398">
      <w:pPr>
        <w:rPr>
          <w:rFonts w:ascii="Times New Roman" w:hAnsi="Times New Roman" w:cs="Times New Roman"/>
        </w:rPr>
      </w:pPr>
      <w:r w:rsidRPr="00235398">
        <w:rPr>
          <w:rFonts w:ascii="Times New Roman" w:hAnsi="Times New Roman" w:cs="Times New Roman"/>
        </w:rPr>
        <w:t xml:space="preserve">(2) </w:t>
      </w:r>
      <w:r w:rsidR="00417DC0">
        <w:rPr>
          <w:rFonts w:ascii="Times New Roman" w:hAnsi="Times New Roman" w:cs="Times New Roman"/>
        </w:rPr>
        <w:t>Results from Rounds One and Round Two</w:t>
      </w:r>
    </w:p>
    <w:p w14:paraId="04D96CF5" w14:textId="77777777" w:rsidR="002C01DA" w:rsidRPr="00235398" w:rsidRDefault="002C01DA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45"/>
        <w:gridCol w:w="1170"/>
        <w:gridCol w:w="1080"/>
        <w:gridCol w:w="2520"/>
        <w:gridCol w:w="2790"/>
        <w:gridCol w:w="1173"/>
        <w:gridCol w:w="1072"/>
      </w:tblGrid>
      <w:tr w:rsidR="009F43F1" w14:paraId="580169A7" w14:textId="18EAE11D" w:rsidTr="002E5F4F">
        <w:tc>
          <w:tcPr>
            <w:tcW w:w="7915" w:type="dxa"/>
            <w:gridSpan w:val="4"/>
            <w:shd w:val="clear" w:color="auto" w:fill="F2F2F2" w:themeFill="background1" w:themeFillShade="F2"/>
          </w:tcPr>
          <w:p w14:paraId="43E33F40" w14:textId="728FF7E9" w:rsidR="009F43F1" w:rsidRPr="004656B0" w:rsidRDefault="009F43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Round One</w:t>
            </w:r>
          </w:p>
        </w:tc>
        <w:tc>
          <w:tcPr>
            <w:tcW w:w="5035" w:type="dxa"/>
            <w:gridSpan w:val="3"/>
            <w:shd w:val="clear" w:color="auto" w:fill="F2F2F2" w:themeFill="background1" w:themeFillShade="F2"/>
          </w:tcPr>
          <w:p w14:paraId="05CAD959" w14:textId="5E0BF7E4" w:rsidR="009F43F1" w:rsidRPr="004656B0" w:rsidRDefault="009F43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Round Two</w:t>
            </w:r>
          </w:p>
        </w:tc>
      </w:tr>
      <w:tr w:rsidR="002E5F4F" w14:paraId="43D97881" w14:textId="5200ED91" w:rsidTr="00DE7D11">
        <w:tc>
          <w:tcPr>
            <w:tcW w:w="3145" w:type="dxa"/>
            <w:shd w:val="clear" w:color="auto" w:fill="F2F2F2" w:themeFill="background1" w:themeFillShade="F2"/>
          </w:tcPr>
          <w:p w14:paraId="3C41EE49" w14:textId="16685473" w:rsidR="009F43F1" w:rsidRPr="004656B0" w:rsidRDefault="009F43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Topics</w:t>
            </w:r>
          </w:p>
        </w:tc>
        <w:tc>
          <w:tcPr>
            <w:tcW w:w="1170" w:type="dxa"/>
            <w:shd w:val="clear" w:color="auto" w:fill="F2F2F2" w:themeFill="background1" w:themeFillShade="F2"/>
          </w:tcPr>
          <w:p w14:paraId="485F42E8" w14:textId="739765BB" w:rsidR="009F43F1" w:rsidRPr="004656B0" w:rsidRDefault="009F43F1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% rating topic ‘must include’</w:t>
            </w:r>
          </w:p>
        </w:tc>
        <w:tc>
          <w:tcPr>
            <w:tcW w:w="1080" w:type="dxa"/>
            <w:shd w:val="clear" w:color="auto" w:fill="F2F2F2" w:themeFill="background1" w:themeFillShade="F2"/>
          </w:tcPr>
          <w:p w14:paraId="099696B3" w14:textId="088A3F2D" w:rsidR="009F43F1" w:rsidRPr="004656B0" w:rsidRDefault="009F43F1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Consensus Met?</w:t>
            </w:r>
          </w:p>
        </w:tc>
        <w:tc>
          <w:tcPr>
            <w:tcW w:w="2520" w:type="dxa"/>
            <w:shd w:val="clear" w:color="auto" w:fill="F2F2F2" w:themeFill="background1" w:themeFillShade="F2"/>
          </w:tcPr>
          <w:p w14:paraId="71201163" w14:textId="6A7981A5" w:rsidR="009F43F1" w:rsidRPr="004656B0" w:rsidRDefault="009F43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 xml:space="preserve">Additional Topics suggested </w:t>
            </w:r>
          </w:p>
        </w:tc>
        <w:tc>
          <w:tcPr>
            <w:tcW w:w="2790" w:type="dxa"/>
            <w:shd w:val="clear" w:color="auto" w:fill="F2F2F2" w:themeFill="background1" w:themeFillShade="F2"/>
          </w:tcPr>
          <w:p w14:paraId="7648044A" w14:textId="3B7C8E9A" w:rsidR="009F43F1" w:rsidRPr="004656B0" w:rsidRDefault="009F43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Topics</w:t>
            </w:r>
          </w:p>
        </w:tc>
        <w:tc>
          <w:tcPr>
            <w:tcW w:w="1173" w:type="dxa"/>
            <w:shd w:val="clear" w:color="auto" w:fill="F2F2F2" w:themeFill="background1" w:themeFillShade="F2"/>
          </w:tcPr>
          <w:p w14:paraId="0AF7F15B" w14:textId="2EB2AE15" w:rsidR="009F43F1" w:rsidRPr="004656B0" w:rsidRDefault="009F43F1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% rating topic ‘must include’</w:t>
            </w:r>
          </w:p>
        </w:tc>
        <w:tc>
          <w:tcPr>
            <w:tcW w:w="1072" w:type="dxa"/>
            <w:shd w:val="clear" w:color="auto" w:fill="F2F2F2" w:themeFill="background1" w:themeFillShade="F2"/>
          </w:tcPr>
          <w:p w14:paraId="08A6C366" w14:textId="1398987F" w:rsidR="009F43F1" w:rsidRPr="004656B0" w:rsidRDefault="009F43F1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Consensus Met?</w:t>
            </w:r>
          </w:p>
        </w:tc>
      </w:tr>
      <w:tr w:rsidR="005E7605" w14:paraId="401A9A91" w14:textId="77777777" w:rsidTr="00DE7D11">
        <w:tc>
          <w:tcPr>
            <w:tcW w:w="3145" w:type="dxa"/>
          </w:tcPr>
          <w:p w14:paraId="4AF8735A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Interprofessional collaboration and practices in SSA</w:t>
            </w:r>
          </w:p>
        </w:tc>
        <w:tc>
          <w:tcPr>
            <w:tcW w:w="1170" w:type="dxa"/>
          </w:tcPr>
          <w:p w14:paraId="386E1D4F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1080" w:type="dxa"/>
          </w:tcPr>
          <w:p w14:paraId="736742D4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520" w:type="dxa"/>
          </w:tcPr>
          <w:p w14:paraId="5B7BA4C4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Training for mobility of health professionals across Africa</w:t>
            </w:r>
          </w:p>
        </w:tc>
        <w:tc>
          <w:tcPr>
            <w:tcW w:w="2790" w:type="dxa"/>
          </w:tcPr>
          <w:p w14:paraId="316CE6D2" w14:textId="0FFDE376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Addressing the human resources for health challenges in rural and remote areas</w:t>
            </w:r>
          </w:p>
        </w:tc>
        <w:tc>
          <w:tcPr>
            <w:tcW w:w="1173" w:type="dxa"/>
          </w:tcPr>
          <w:p w14:paraId="39DFC42E" w14:textId="5486AC2A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1072" w:type="dxa"/>
          </w:tcPr>
          <w:p w14:paraId="5875F3E6" w14:textId="745A39AE" w:rsidR="005E7605" w:rsidRPr="004656B0" w:rsidRDefault="002E5F4F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5E7605" w14:paraId="2E9DB374" w14:textId="77777777" w:rsidTr="00DE7D11">
        <w:tc>
          <w:tcPr>
            <w:tcW w:w="3145" w:type="dxa"/>
          </w:tcPr>
          <w:p w14:paraId="57A8889D" w14:textId="77777777" w:rsidR="005E7605" w:rsidRPr="004656B0" w:rsidRDefault="005E76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Addressing the human resources for health challenges in rural and remote areas</w:t>
            </w:r>
          </w:p>
        </w:tc>
        <w:tc>
          <w:tcPr>
            <w:tcW w:w="1170" w:type="dxa"/>
          </w:tcPr>
          <w:p w14:paraId="778DC400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1080" w:type="dxa"/>
          </w:tcPr>
          <w:p w14:paraId="14A53375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520" w:type="dxa"/>
          </w:tcPr>
          <w:p w14:paraId="20B3C1EF" w14:textId="77777777" w:rsidR="005E7605" w:rsidRPr="004656B0" w:rsidRDefault="005E76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 xml:space="preserve">Theories that can strengthen IPE, including drivers of learner agency during workplace learning and alternative training models </w:t>
            </w:r>
          </w:p>
        </w:tc>
        <w:tc>
          <w:tcPr>
            <w:tcW w:w="2790" w:type="dxa"/>
          </w:tcPr>
          <w:p w14:paraId="2B23AAAB" w14:textId="53DB8E59" w:rsidR="005E7605" w:rsidRPr="004656B0" w:rsidRDefault="005E76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Interprofessional collaboration and practices in SSA</w:t>
            </w:r>
          </w:p>
        </w:tc>
        <w:tc>
          <w:tcPr>
            <w:tcW w:w="1173" w:type="dxa"/>
          </w:tcPr>
          <w:p w14:paraId="1257287B" w14:textId="3BDD6A65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1072" w:type="dxa"/>
          </w:tcPr>
          <w:p w14:paraId="34B8BFAA" w14:textId="13609CA0" w:rsidR="005E7605" w:rsidRPr="004656B0" w:rsidRDefault="002E5F4F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5E7605" w14:paraId="56E5E93C" w14:textId="77777777" w:rsidTr="00DE7D11">
        <w:tc>
          <w:tcPr>
            <w:tcW w:w="3145" w:type="dxa"/>
          </w:tcPr>
          <w:p w14:paraId="72FA22AF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Relevance of communication skills training in culturally diverse contexts in SSA</w:t>
            </w:r>
          </w:p>
        </w:tc>
        <w:tc>
          <w:tcPr>
            <w:tcW w:w="1170" w:type="dxa"/>
          </w:tcPr>
          <w:p w14:paraId="01118099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080" w:type="dxa"/>
          </w:tcPr>
          <w:p w14:paraId="177F2C26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520" w:type="dxa"/>
          </w:tcPr>
          <w:p w14:paraId="04CD7AFC" w14:textId="1D2B92D9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The role of information communications technology in HPE</w:t>
            </w:r>
          </w:p>
        </w:tc>
        <w:tc>
          <w:tcPr>
            <w:tcW w:w="2790" w:type="dxa"/>
          </w:tcPr>
          <w:p w14:paraId="59F3D7F8" w14:textId="1794D89B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Teaching a holistic and person-centered care approach</w:t>
            </w:r>
          </w:p>
        </w:tc>
        <w:tc>
          <w:tcPr>
            <w:tcW w:w="1173" w:type="dxa"/>
          </w:tcPr>
          <w:p w14:paraId="7AB1330C" w14:textId="5CFD9335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1072" w:type="dxa"/>
          </w:tcPr>
          <w:p w14:paraId="7B0055BB" w14:textId="7C656463" w:rsidR="005E7605" w:rsidRPr="004656B0" w:rsidRDefault="002E5F4F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5E7605" w14:paraId="23AB5012" w14:textId="77777777" w:rsidTr="00DE7D11">
        <w:tc>
          <w:tcPr>
            <w:tcW w:w="3145" w:type="dxa"/>
          </w:tcPr>
          <w:p w14:paraId="4D3177D7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Responsive curricula to the health needs of SSA</w:t>
            </w:r>
          </w:p>
        </w:tc>
        <w:tc>
          <w:tcPr>
            <w:tcW w:w="1170" w:type="dxa"/>
          </w:tcPr>
          <w:p w14:paraId="7DCF5329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1080" w:type="dxa"/>
          </w:tcPr>
          <w:p w14:paraId="15B646DB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520" w:type="dxa"/>
          </w:tcPr>
          <w:p w14:paraId="0CC8F5E3" w14:textId="7656514C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Resources, political commitment, and funding for HPE in SSA</w:t>
            </w:r>
          </w:p>
        </w:tc>
        <w:tc>
          <w:tcPr>
            <w:tcW w:w="2790" w:type="dxa"/>
          </w:tcPr>
          <w:p w14:paraId="148DAD08" w14:textId="2B570236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The role of information communications technology in HPE</w:t>
            </w:r>
          </w:p>
        </w:tc>
        <w:tc>
          <w:tcPr>
            <w:tcW w:w="1173" w:type="dxa"/>
          </w:tcPr>
          <w:p w14:paraId="1A33BBCA" w14:textId="485A253E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1072" w:type="dxa"/>
          </w:tcPr>
          <w:p w14:paraId="4DB7EA7B" w14:textId="58C927FE" w:rsidR="005E7605" w:rsidRPr="004656B0" w:rsidRDefault="002E5F4F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5E7605" w14:paraId="17ED5F3B" w14:textId="77777777" w:rsidTr="00DE7D11">
        <w:tc>
          <w:tcPr>
            <w:tcW w:w="3145" w:type="dxa"/>
          </w:tcPr>
          <w:p w14:paraId="7E2B7EC7" w14:textId="77777777" w:rsidR="005E7605" w:rsidRPr="004656B0" w:rsidRDefault="005E76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Relevance of postgraduate education for SSA and beyond</w:t>
            </w:r>
          </w:p>
        </w:tc>
        <w:tc>
          <w:tcPr>
            <w:tcW w:w="1170" w:type="dxa"/>
          </w:tcPr>
          <w:p w14:paraId="65AB99FE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080" w:type="dxa"/>
          </w:tcPr>
          <w:p w14:paraId="033F8F4D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520" w:type="dxa"/>
          </w:tcPr>
          <w:p w14:paraId="38693146" w14:textId="2BAD587D" w:rsidR="005E7605" w:rsidRPr="004656B0" w:rsidRDefault="005E76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90" w:type="dxa"/>
          </w:tcPr>
          <w:p w14:paraId="36941C08" w14:textId="6FEA3A0B" w:rsidR="005E7605" w:rsidRPr="004656B0" w:rsidRDefault="005E76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Faculty development for clinical teaching</w:t>
            </w:r>
          </w:p>
        </w:tc>
        <w:tc>
          <w:tcPr>
            <w:tcW w:w="1173" w:type="dxa"/>
          </w:tcPr>
          <w:p w14:paraId="6B0421F7" w14:textId="2A043978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1072" w:type="dxa"/>
          </w:tcPr>
          <w:p w14:paraId="1897F060" w14:textId="38102932" w:rsidR="005E7605" w:rsidRPr="004656B0" w:rsidRDefault="002E5F4F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5E7605" w14:paraId="2163F7E8" w14:textId="77777777" w:rsidTr="00DE7D11">
        <w:tc>
          <w:tcPr>
            <w:tcW w:w="3145" w:type="dxa"/>
          </w:tcPr>
          <w:p w14:paraId="086B116F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Quality assurance processes and procedures in health professions education</w:t>
            </w:r>
          </w:p>
        </w:tc>
        <w:tc>
          <w:tcPr>
            <w:tcW w:w="1170" w:type="dxa"/>
          </w:tcPr>
          <w:p w14:paraId="0E888F3E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080" w:type="dxa"/>
          </w:tcPr>
          <w:p w14:paraId="27EBEEAE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520" w:type="dxa"/>
          </w:tcPr>
          <w:p w14:paraId="213042AF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90" w:type="dxa"/>
          </w:tcPr>
          <w:p w14:paraId="537AF343" w14:textId="4B806E6F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Quality assurance processes and procedures in health professions education</w:t>
            </w:r>
          </w:p>
        </w:tc>
        <w:tc>
          <w:tcPr>
            <w:tcW w:w="1173" w:type="dxa"/>
          </w:tcPr>
          <w:p w14:paraId="2ED33A51" w14:textId="01825852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072" w:type="dxa"/>
          </w:tcPr>
          <w:p w14:paraId="7870FB41" w14:textId="5F09288C" w:rsidR="005E7605" w:rsidRPr="004656B0" w:rsidRDefault="002E5F4F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5E7605" w14:paraId="422092DE" w14:textId="77777777" w:rsidTr="00DE7D11">
        <w:tc>
          <w:tcPr>
            <w:tcW w:w="3145" w:type="dxa"/>
          </w:tcPr>
          <w:p w14:paraId="132A4C89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Current status and challenges of health professions education research in SSA</w:t>
            </w:r>
          </w:p>
        </w:tc>
        <w:tc>
          <w:tcPr>
            <w:tcW w:w="1170" w:type="dxa"/>
          </w:tcPr>
          <w:p w14:paraId="58C6E1A9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080" w:type="dxa"/>
          </w:tcPr>
          <w:p w14:paraId="60CBEB95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520" w:type="dxa"/>
          </w:tcPr>
          <w:p w14:paraId="0A198F25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90" w:type="dxa"/>
          </w:tcPr>
          <w:p w14:paraId="11953405" w14:textId="6D62CA0B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Resources, political commitment, and funding for HPE in SSA</w:t>
            </w:r>
          </w:p>
        </w:tc>
        <w:tc>
          <w:tcPr>
            <w:tcW w:w="1173" w:type="dxa"/>
          </w:tcPr>
          <w:p w14:paraId="23F9526D" w14:textId="46CD730A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072" w:type="dxa"/>
          </w:tcPr>
          <w:p w14:paraId="2EDBD253" w14:textId="7D656456" w:rsidR="005E7605" w:rsidRPr="004656B0" w:rsidRDefault="002E5F4F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5E7605" w14:paraId="5A0F3603" w14:textId="77777777" w:rsidTr="00DE7D11">
        <w:tc>
          <w:tcPr>
            <w:tcW w:w="3145" w:type="dxa"/>
          </w:tcPr>
          <w:p w14:paraId="76AF2AE2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Faculty development for clinical teaching</w:t>
            </w:r>
          </w:p>
        </w:tc>
        <w:tc>
          <w:tcPr>
            <w:tcW w:w="1170" w:type="dxa"/>
          </w:tcPr>
          <w:p w14:paraId="390D10F2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080" w:type="dxa"/>
          </w:tcPr>
          <w:p w14:paraId="454FDCAB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520" w:type="dxa"/>
          </w:tcPr>
          <w:p w14:paraId="23D17446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90" w:type="dxa"/>
          </w:tcPr>
          <w:p w14:paraId="35666757" w14:textId="5DD51D68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Responsive curricula to the health needs of SSA</w:t>
            </w:r>
          </w:p>
        </w:tc>
        <w:tc>
          <w:tcPr>
            <w:tcW w:w="1173" w:type="dxa"/>
          </w:tcPr>
          <w:p w14:paraId="34973A24" w14:textId="5250E1B3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072" w:type="dxa"/>
          </w:tcPr>
          <w:p w14:paraId="289E4023" w14:textId="35C74382" w:rsidR="005E7605" w:rsidRPr="004656B0" w:rsidRDefault="002E5F4F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5E7605" w14:paraId="207D7502" w14:textId="77777777" w:rsidTr="00DE7D11">
        <w:tc>
          <w:tcPr>
            <w:tcW w:w="3145" w:type="dxa"/>
          </w:tcPr>
          <w:p w14:paraId="1497ECE1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Teaching a holistic and person-centered care approach</w:t>
            </w:r>
          </w:p>
        </w:tc>
        <w:tc>
          <w:tcPr>
            <w:tcW w:w="1170" w:type="dxa"/>
          </w:tcPr>
          <w:p w14:paraId="23673AC6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080" w:type="dxa"/>
          </w:tcPr>
          <w:p w14:paraId="4A4678E6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520" w:type="dxa"/>
          </w:tcPr>
          <w:p w14:paraId="0C98E786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90" w:type="dxa"/>
          </w:tcPr>
          <w:p w14:paraId="60F6BC98" w14:textId="420BA24E" w:rsidR="005E7605" w:rsidRPr="004656B0" w:rsidRDefault="002E5F4F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Potential of rural communities as platforms for training health care professionals</w:t>
            </w:r>
          </w:p>
        </w:tc>
        <w:tc>
          <w:tcPr>
            <w:tcW w:w="1173" w:type="dxa"/>
          </w:tcPr>
          <w:p w14:paraId="74AE06E8" w14:textId="64DD1F0C" w:rsidR="005E7605" w:rsidRPr="004656B0" w:rsidRDefault="002E5F4F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072" w:type="dxa"/>
          </w:tcPr>
          <w:p w14:paraId="534BDD81" w14:textId="3875AD44" w:rsidR="005E7605" w:rsidRPr="004656B0" w:rsidRDefault="002E5F4F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5E7605" w14:paraId="36797BC7" w14:textId="77777777" w:rsidTr="00DE7D11">
        <w:tc>
          <w:tcPr>
            <w:tcW w:w="3145" w:type="dxa"/>
          </w:tcPr>
          <w:p w14:paraId="07FE8AB9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Potential of rural communities as platforms for training health care professionals</w:t>
            </w:r>
          </w:p>
        </w:tc>
        <w:tc>
          <w:tcPr>
            <w:tcW w:w="1170" w:type="dxa"/>
          </w:tcPr>
          <w:p w14:paraId="4B1C8923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080" w:type="dxa"/>
          </w:tcPr>
          <w:p w14:paraId="20C5EAD2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520" w:type="dxa"/>
          </w:tcPr>
          <w:p w14:paraId="63CE2B5E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90" w:type="dxa"/>
          </w:tcPr>
          <w:p w14:paraId="77628E03" w14:textId="15825E52" w:rsidR="005E7605" w:rsidRPr="004656B0" w:rsidRDefault="002E5F4F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Relevance of communication skills</w:t>
            </w:r>
          </w:p>
        </w:tc>
        <w:tc>
          <w:tcPr>
            <w:tcW w:w="1173" w:type="dxa"/>
          </w:tcPr>
          <w:p w14:paraId="1AEEF344" w14:textId="6CDF805B" w:rsidR="005E7605" w:rsidRPr="004656B0" w:rsidRDefault="002E5F4F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072" w:type="dxa"/>
          </w:tcPr>
          <w:p w14:paraId="5BF73A03" w14:textId="1584D7C8" w:rsidR="005E7605" w:rsidRPr="004656B0" w:rsidRDefault="002E5F4F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5E7605" w14:paraId="1FB86615" w14:textId="77777777" w:rsidTr="00DE7D11">
        <w:tc>
          <w:tcPr>
            <w:tcW w:w="3145" w:type="dxa"/>
          </w:tcPr>
          <w:p w14:paraId="6D8E5057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Trainee well-being, resilience, and stressors in health professions education</w:t>
            </w:r>
          </w:p>
        </w:tc>
        <w:tc>
          <w:tcPr>
            <w:tcW w:w="1170" w:type="dxa"/>
          </w:tcPr>
          <w:p w14:paraId="07AD0BA6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080" w:type="dxa"/>
          </w:tcPr>
          <w:p w14:paraId="14A4A477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520" w:type="dxa"/>
          </w:tcPr>
          <w:p w14:paraId="0B4635D0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90" w:type="dxa"/>
          </w:tcPr>
          <w:p w14:paraId="1F8B121B" w14:textId="4F5DFF97" w:rsidR="005E7605" w:rsidRPr="004656B0" w:rsidRDefault="002E5F4F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Relevance of postgraduate education for SSA and beyond</w:t>
            </w:r>
          </w:p>
        </w:tc>
        <w:tc>
          <w:tcPr>
            <w:tcW w:w="1173" w:type="dxa"/>
          </w:tcPr>
          <w:p w14:paraId="3542495C" w14:textId="579AEB3F" w:rsidR="005E7605" w:rsidRPr="004656B0" w:rsidRDefault="002E5F4F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072" w:type="dxa"/>
          </w:tcPr>
          <w:p w14:paraId="4B052710" w14:textId="31AEE32D" w:rsidR="005E7605" w:rsidRPr="004656B0" w:rsidRDefault="002E5F4F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5E7605" w14:paraId="6AC41617" w14:textId="77777777" w:rsidTr="00DE7D11">
        <w:tc>
          <w:tcPr>
            <w:tcW w:w="3145" w:type="dxa"/>
          </w:tcPr>
          <w:p w14:paraId="0031023C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Integration of graduate competencies into undergraduate curricula</w:t>
            </w:r>
          </w:p>
        </w:tc>
        <w:tc>
          <w:tcPr>
            <w:tcW w:w="1170" w:type="dxa"/>
          </w:tcPr>
          <w:p w14:paraId="732F59A9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080" w:type="dxa"/>
          </w:tcPr>
          <w:p w14:paraId="7A8FAC7E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520" w:type="dxa"/>
          </w:tcPr>
          <w:p w14:paraId="74D94EFD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90" w:type="dxa"/>
          </w:tcPr>
          <w:p w14:paraId="4FB82B6E" w14:textId="26147A7B" w:rsidR="005E7605" w:rsidRPr="004656B0" w:rsidRDefault="002E5F4F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Current status and challenges of HPER in SSA</w:t>
            </w:r>
          </w:p>
        </w:tc>
        <w:tc>
          <w:tcPr>
            <w:tcW w:w="1173" w:type="dxa"/>
          </w:tcPr>
          <w:p w14:paraId="67670DF9" w14:textId="3E2B5892" w:rsidR="005E7605" w:rsidRPr="004656B0" w:rsidRDefault="002E5F4F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072" w:type="dxa"/>
          </w:tcPr>
          <w:p w14:paraId="779002B0" w14:textId="76559C2D" w:rsidR="005E7605" w:rsidRPr="004656B0" w:rsidRDefault="002E5F4F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5E7605" w14:paraId="2368C8E8" w14:textId="77777777" w:rsidTr="00DE7D11">
        <w:tc>
          <w:tcPr>
            <w:tcW w:w="3145" w:type="dxa"/>
          </w:tcPr>
          <w:p w14:paraId="7F906FCE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Assessment practices</w:t>
            </w:r>
          </w:p>
        </w:tc>
        <w:tc>
          <w:tcPr>
            <w:tcW w:w="1170" w:type="dxa"/>
          </w:tcPr>
          <w:p w14:paraId="631E30EA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080" w:type="dxa"/>
          </w:tcPr>
          <w:p w14:paraId="18475D3F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520" w:type="dxa"/>
          </w:tcPr>
          <w:p w14:paraId="04D1045F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90" w:type="dxa"/>
          </w:tcPr>
          <w:p w14:paraId="61A152C1" w14:textId="5CADCE4E" w:rsidR="005E7605" w:rsidRPr="004656B0" w:rsidRDefault="002E5F4F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Theories that can strengthen HPE, including drivers of learner agency during workplace learning and alternative training models</w:t>
            </w:r>
          </w:p>
        </w:tc>
        <w:tc>
          <w:tcPr>
            <w:tcW w:w="1173" w:type="dxa"/>
          </w:tcPr>
          <w:p w14:paraId="04F09055" w14:textId="15F53896" w:rsidR="005E7605" w:rsidRPr="004656B0" w:rsidRDefault="002E5F4F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072" w:type="dxa"/>
          </w:tcPr>
          <w:p w14:paraId="1BDDB4AB" w14:textId="6094F897" w:rsidR="005E7605" w:rsidRPr="004656B0" w:rsidRDefault="002E5F4F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5E7605" w14:paraId="6B748650" w14:textId="77777777" w:rsidTr="00DE7D11">
        <w:tc>
          <w:tcPr>
            <w:tcW w:w="3145" w:type="dxa"/>
          </w:tcPr>
          <w:p w14:paraId="05F03C62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Capacity building efforts to strengthen HPE and the system in which it is conducted in SSA</w:t>
            </w:r>
          </w:p>
        </w:tc>
        <w:tc>
          <w:tcPr>
            <w:tcW w:w="1170" w:type="dxa"/>
          </w:tcPr>
          <w:p w14:paraId="6C4935BE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080" w:type="dxa"/>
          </w:tcPr>
          <w:p w14:paraId="4F9FB86D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520" w:type="dxa"/>
          </w:tcPr>
          <w:p w14:paraId="3D7317EC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90" w:type="dxa"/>
          </w:tcPr>
          <w:p w14:paraId="036988E9" w14:textId="1730359A" w:rsidR="005E7605" w:rsidRPr="004656B0" w:rsidRDefault="002E5F4F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Training for mobility of health professionals across Africa</w:t>
            </w:r>
          </w:p>
        </w:tc>
        <w:tc>
          <w:tcPr>
            <w:tcW w:w="1173" w:type="dxa"/>
          </w:tcPr>
          <w:p w14:paraId="02B613C3" w14:textId="206B5186" w:rsidR="005E7605" w:rsidRPr="004656B0" w:rsidRDefault="002E5F4F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072" w:type="dxa"/>
          </w:tcPr>
          <w:p w14:paraId="1E20CD66" w14:textId="5EE45289" w:rsidR="005E7605" w:rsidRPr="004656B0" w:rsidRDefault="002E5F4F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5E7605" w14:paraId="324BE420" w14:textId="77777777" w:rsidTr="00DE7D11">
        <w:tc>
          <w:tcPr>
            <w:tcW w:w="3145" w:type="dxa"/>
          </w:tcPr>
          <w:p w14:paraId="7051AE1C" w14:textId="77777777" w:rsidR="005E7605" w:rsidRPr="004656B0" w:rsidRDefault="005E76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Social accountability strategies in response to the region’s education transformation agenda</w:t>
            </w:r>
          </w:p>
        </w:tc>
        <w:tc>
          <w:tcPr>
            <w:tcW w:w="1170" w:type="dxa"/>
          </w:tcPr>
          <w:p w14:paraId="08915C8A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080" w:type="dxa"/>
          </w:tcPr>
          <w:p w14:paraId="4B97D10E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520" w:type="dxa"/>
          </w:tcPr>
          <w:p w14:paraId="1A3BE566" w14:textId="6879CA71" w:rsidR="005E7605" w:rsidRPr="004656B0" w:rsidRDefault="005E76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90" w:type="dxa"/>
          </w:tcPr>
          <w:p w14:paraId="06DC2F55" w14:textId="38476727" w:rsidR="005E7605" w:rsidRPr="004656B0" w:rsidRDefault="005E76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</w:tcPr>
          <w:p w14:paraId="481088F9" w14:textId="264D216E" w:rsidR="005E7605" w:rsidRPr="004656B0" w:rsidRDefault="005E76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3D63A208" w14:textId="77777777" w:rsidR="005E7605" w:rsidRPr="004656B0" w:rsidRDefault="005E76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7605" w14:paraId="0D720985" w14:textId="77777777" w:rsidTr="00DE7D11">
        <w:tc>
          <w:tcPr>
            <w:tcW w:w="3145" w:type="dxa"/>
          </w:tcPr>
          <w:p w14:paraId="247B6396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Factors for effective distributed learning for health professional students</w:t>
            </w:r>
          </w:p>
        </w:tc>
        <w:tc>
          <w:tcPr>
            <w:tcW w:w="1170" w:type="dxa"/>
          </w:tcPr>
          <w:p w14:paraId="2CA841AB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080" w:type="dxa"/>
          </w:tcPr>
          <w:p w14:paraId="4DEBFE3C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520" w:type="dxa"/>
          </w:tcPr>
          <w:p w14:paraId="718517B7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90" w:type="dxa"/>
          </w:tcPr>
          <w:p w14:paraId="19EBB21B" w14:textId="0082EF80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</w:tcPr>
          <w:p w14:paraId="021C7B92" w14:textId="3A2AAD56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19BD47A3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7605" w14:paraId="561C7F7B" w14:textId="77777777" w:rsidTr="00DE7D11">
        <w:tc>
          <w:tcPr>
            <w:tcW w:w="3145" w:type="dxa"/>
          </w:tcPr>
          <w:p w14:paraId="6AE3DA80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Finding sufficient and suitable resources/settings for workplace-based/community-based training</w:t>
            </w:r>
          </w:p>
        </w:tc>
        <w:tc>
          <w:tcPr>
            <w:tcW w:w="1170" w:type="dxa"/>
          </w:tcPr>
          <w:p w14:paraId="424260A1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080" w:type="dxa"/>
          </w:tcPr>
          <w:p w14:paraId="0781CB58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520" w:type="dxa"/>
          </w:tcPr>
          <w:p w14:paraId="1962B40E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90" w:type="dxa"/>
          </w:tcPr>
          <w:p w14:paraId="7AA242B1" w14:textId="22EB444B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</w:tcPr>
          <w:p w14:paraId="3DE576B0" w14:textId="5BB158FC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2707177B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7605" w14:paraId="0D10E6F2" w14:textId="77777777" w:rsidTr="00DE7D11">
        <w:tc>
          <w:tcPr>
            <w:tcW w:w="3145" w:type="dxa"/>
          </w:tcPr>
          <w:p w14:paraId="1E537B8F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Ideal learning environments in SSA</w:t>
            </w:r>
          </w:p>
        </w:tc>
        <w:tc>
          <w:tcPr>
            <w:tcW w:w="1170" w:type="dxa"/>
          </w:tcPr>
          <w:p w14:paraId="03B7E9AE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080" w:type="dxa"/>
          </w:tcPr>
          <w:p w14:paraId="418C6BB0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520" w:type="dxa"/>
          </w:tcPr>
          <w:p w14:paraId="430C109C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90" w:type="dxa"/>
          </w:tcPr>
          <w:p w14:paraId="40E60A10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</w:tcPr>
          <w:p w14:paraId="541CD609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714C0962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7605" w14:paraId="7CDDD339" w14:textId="77777777" w:rsidTr="00DE7D11">
        <w:tc>
          <w:tcPr>
            <w:tcW w:w="3145" w:type="dxa"/>
          </w:tcPr>
          <w:p w14:paraId="5C788C95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Tracking graduates into the health workforce</w:t>
            </w:r>
          </w:p>
        </w:tc>
        <w:tc>
          <w:tcPr>
            <w:tcW w:w="1170" w:type="dxa"/>
          </w:tcPr>
          <w:p w14:paraId="17B61296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080" w:type="dxa"/>
          </w:tcPr>
          <w:p w14:paraId="3EF3D1E5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520" w:type="dxa"/>
          </w:tcPr>
          <w:p w14:paraId="2AC80A05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90" w:type="dxa"/>
          </w:tcPr>
          <w:p w14:paraId="573534C3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</w:tcPr>
          <w:p w14:paraId="2F35F99A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44B55DD7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7605" w14:paraId="4023F199" w14:textId="77777777" w:rsidTr="00DE7D11">
        <w:tc>
          <w:tcPr>
            <w:tcW w:w="3145" w:type="dxa"/>
          </w:tcPr>
          <w:p w14:paraId="64FD34E8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Equipping students with self-regulation skills</w:t>
            </w:r>
          </w:p>
        </w:tc>
        <w:tc>
          <w:tcPr>
            <w:tcW w:w="1170" w:type="dxa"/>
          </w:tcPr>
          <w:p w14:paraId="60E38437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080" w:type="dxa"/>
          </w:tcPr>
          <w:p w14:paraId="13542D51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520" w:type="dxa"/>
          </w:tcPr>
          <w:p w14:paraId="1F5B2F28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90" w:type="dxa"/>
          </w:tcPr>
          <w:p w14:paraId="082CC3E3" w14:textId="204F537C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</w:tcPr>
          <w:p w14:paraId="38639157" w14:textId="75CB98B4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5ECB8115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7605" w14:paraId="17EC7D9F" w14:textId="77777777" w:rsidTr="00DE7D11">
        <w:tc>
          <w:tcPr>
            <w:tcW w:w="3145" w:type="dxa"/>
          </w:tcPr>
          <w:p w14:paraId="3DF854CC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Models for understanding how change occurs in a health system</w:t>
            </w:r>
          </w:p>
        </w:tc>
        <w:tc>
          <w:tcPr>
            <w:tcW w:w="1170" w:type="dxa"/>
          </w:tcPr>
          <w:p w14:paraId="7AD9E442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080" w:type="dxa"/>
          </w:tcPr>
          <w:p w14:paraId="1416A321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520" w:type="dxa"/>
          </w:tcPr>
          <w:p w14:paraId="437CD2E0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90" w:type="dxa"/>
          </w:tcPr>
          <w:p w14:paraId="26B2A375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</w:tcPr>
          <w:p w14:paraId="2E358F4E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57C767F8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7605" w14:paraId="208D211C" w14:textId="77777777" w:rsidTr="00DE7D11">
        <w:tc>
          <w:tcPr>
            <w:tcW w:w="3145" w:type="dxa"/>
          </w:tcPr>
          <w:p w14:paraId="669BFF25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Learner identity on how learners view their role in society in SSA</w:t>
            </w:r>
          </w:p>
        </w:tc>
        <w:tc>
          <w:tcPr>
            <w:tcW w:w="1170" w:type="dxa"/>
          </w:tcPr>
          <w:p w14:paraId="09982C1A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080" w:type="dxa"/>
          </w:tcPr>
          <w:p w14:paraId="2DE08603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520" w:type="dxa"/>
          </w:tcPr>
          <w:p w14:paraId="1981ED25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90" w:type="dxa"/>
          </w:tcPr>
          <w:p w14:paraId="287365EE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</w:tcPr>
          <w:p w14:paraId="6E1A2BDB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7D116CF0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7605" w14:paraId="167D1CA5" w14:textId="77777777" w:rsidTr="00DE7D11">
        <w:tc>
          <w:tcPr>
            <w:tcW w:w="3145" w:type="dxa"/>
          </w:tcPr>
          <w:p w14:paraId="613BF4A1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Learner transition from high school to university</w:t>
            </w:r>
          </w:p>
        </w:tc>
        <w:tc>
          <w:tcPr>
            <w:tcW w:w="1170" w:type="dxa"/>
          </w:tcPr>
          <w:p w14:paraId="5424ACF0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080" w:type="dxa"/>
          </w:tcPr>
          <w:p w14:paraId="1E0B54F9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520" w:type="dxa"/>
          </w:tcPr>
          <w:p w14:paraId="33C78982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90" w:type="dxa"/>
          </w:tcPr>
          <w:p w14:paraId="08F30AC9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</w:tcPr>
          <w:p w14:paraId="6EF16A3A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3E852F87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7605" w14:paraId="2ECC929F" w14:textId="77777777" w:rsidTr="00DE7D11">
        <w:tc>
          <w:tcPr>
            <w:tcW w:w="3145" w:type="dxa"/>
          </w:tcPr>
          <w:p w14:paraId="58C0AE2C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Status of faculty development in SSA</w:t>
            </w:r>
          </w:p>
        </w:tc>
        <w:tc>
          <w:tcPr>
            <w:tcW w:w="1170" w:type="dxa"/>
          </w:tcPr>
          <w:p w14:paraId="72E6ABB8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080" w:type="dxa"/>
          </w:tcPr>
          <w:p w14:paraId="1656949A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520" w:type="dxa"/>
          </w:tcPr>
          <w:p w14:paraId="128F9B02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90" w:type="dxa"/>
          </w:tcPr>
          <w:p w14:paraId="2A3A6502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</w:tcPr>
          <w:p w14:paraId="1D41C9EE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7FEC7EE2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7605" w14:paraId="7EB643ED" w14:textId="77777777" w:rsidTr="00DE7D11">
        <w:tc>
          <w:tcPr>
            <w:tcW w:w="3145" w:type="dxa"/>
          </w:tcPr>
          <w:p w14:paraId="7921B49A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Student retention</w:t>
            </w:r>
          </w:p>
        </w:tc>
        <w:tc>
          <w:tcPr>
            <w:tcW w:w="1170" w:type="dxa"/>
          </w:tcPr>
          <w:p w14:paraId="1D1A65CB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080" w:type="dxa"/>
          </w:tcPr>
          <w:p w14:paraId="18BFDB50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520" w:type="dxa"/>
          </w:tcPr>
          <w:p w14:paraId="134D593E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90" w:type="dxa"/>
          </w:tcPr>
          <w:p w14:paraId="19655673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</w:tcPr>
          <w:p w14:paraId="5FB232B9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5250BED8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7605" w14:paraId="3BFDAF1A" w14:textId="77777777" w:rsidTr="00DE7D11">
        <w:tc>
          <w:tcPr>
            <w:tcW w:w="3145" w:type="dxa"/>
          </w:tcPr>
          <w:p w14:paraId="3158C4AC" w14:textId="130624AA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Using the ICF as an approach to person-centered student learning</w:t>
            </w:r>
          </w:p>
        </w:tc>
        <w:tc>
          <w:tcPr>
            <w:tcW w:w="1170" w:type="dxa"/>
          </w:tcPr>
          <w:p w14:paraId="357DD1C7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080" w:type="dxa"/>
          </w:tcPr>
          <w:p w14:paraId="36E58A39" w14:textId="77777777" w:rsidR="005E7605" w:rsidRPr="004656B0" w:rsidRDefault="005E7605" w:rsidP="004656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6B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520" w:type="dxa"/>
          </w:tcPr>
          <w:p w14:paraId="1EF478C3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90" w:type="dxa"/>
          </w:tcPr>
          <w:p w14:paraId="23C99254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</w:tcPr>
          <w:p w14:paraId="06FF70EB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109B9707" w14:textId="77777777" w:rsidR="005E7605" w:rsidRPr="004656B0" w:rsidRDefault="005E7605" w:rsidP="00D956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BD3F228" w14:textId="5961F61C" w:rsidR="009F5B81" w:rsidRPr="00235398" w:rsidRDefault="002E5F4F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HPE = Health Professions Education; HPER = HPE Research</w:t>
      </w:r>
      <w:r w:rsidRPr="002E5F4F">
        <w:rPr>
          <w:rFonts w:ascii="Times New Roman" w:hAnsi="Times New Roman" w:cs="Times New Roman"/>
          <w:sz w:val="16"/>
          <w:szCs w:val="16"/>
        </w:rPr>
        <w:t>; ICF = International Classification of Functioning, Disability, and Health</w:t>
      </w:r>
      <w:r>
        <w:rPr>
          <w:rFonts w:ascii="Times New Roman" w:hAnsi="Times New Roman" w:cs="Times New Roman"/>
          <w:sz w:val="16"/>
          <w:szCs w:val="16"/>
        </w:rPr>
        <w:t xml:space="preserve">; </w:t>
      </w:r>
      <w:r w:rsidRPr="002E5F4F">
        <w:rPr>
          <w:rFonts w:ascii="Times New Roman" w:hAnsi="Times New Roman" w:cs="Times New Roman"/>
          <w:sz w:val="16"/>
          <w:szCs w:val="16"/>
        </w:rPr>
        <w:t>SSA = Sub-Saharan Africa</w:t>
      </w:r>
    </w:p>
    <w:sectPr w:rsidR="009F5B81" w:rsidRPr="00235398" w:rsidSect="009F43F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5B81"/>
    <w:rsid w:val="00235398"/>
    <w:rsid w:val="002C01DA"/>
    <w:rsid w:val="002E5F4F"/>
    <w:rsid w:val="00341D61"/>
    <w:rsid w:val="003B2961"/>
    <w:rsid w:val="00417DC0"/>
    <w:rsid w:val="004656B0"/>
    <w:rsid w:val="005E7605"/>
    <w:rsid w:val="009F43F1"/>
    <w:rsid w:val="009F5B81"/>
    <w:rsid w:val="00A5053F"/>
    <w:rsid w:val="00B06C5F"/>
    <w:rsid w:val="00B70B56"/>
    <w:rsid w:val="00D95654"/>
    <w:rsid w:val="00DE7D11"/>
    <w:rsid w:val="00E70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47593E3"/>
  <w15:chartTrackingRefBased/>
  <w15:docId w15:val="{9EDF0E32-CEFF-5243-9A1B-32C93F35F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F5B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3539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C01DA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01DA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535</Words>
  <Characters>3056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Jehan Budak</dc:creator>
  <cp:keywords/>
  <dc:description/>
  <cp:lastModifiedBy>De Villiers, MR, Prof [mrdv@sun.ac.za]</cp:lastModifiedBy>
  <cp:revision>2</cp:revision>
  <dcterms:created xsi:type="dcterms:W3CDTF">2020-05-15T08:01:00Z</dcterms:created>
  <dcterms:modified xsi:type="dcterms:W3CDTF">2020-05-15T08:01:00Z</dcterms:modified>
</cp:coreProperties>
</file>