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14DCB"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drawing>
          <wp:inline distT="0" distB="0" distL="114300" distR="114300" wp14:anchorId="6CB30BCC" wp14:editId="2BD87477">
            <wp:extent cx="3387090" cy="2399665"/>
            <wp:effectExtent l="0" t="0" r="3810" b="635"/>
            <wp:docPr id="11" name="图片 1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1"/>
                    <pic:cNvPicPr>
                      <a:picLocks noChangeAspect="1"/>
                    </pic:cNvPicPr>
                  </pic:nvPicPr>
                  <pic:blipFill>
                    <a:blip r:embed="rId4"/>
                    <a:stretch>
                      <a:fillRect/>
                    </a:stretch>
                  </pic:blipFill>
                  <pic:spPr>
                    <a:xfrm>
                      <a:off x="0" y="0"/>
                      <a:ext cx="3387090" cy="2399665"/>
                    </a:xfrm>
                    <a:prstGeom prst="rect">
                      <a:avLst/>
                    </a:prstGeom>
                  </pic:spPr>
                </pic:pic>
              </a:graphicData>
            </a:graphic>
          </wp:inline>
        </w:drawing>
      </w:r>
    </w:p>
    <w:p w14:paraId="7A7246D3"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Supplementary Figure 1.</w:t>
      </w:r>
      <w:r>
        <w:rPr>
          <w:rFonts w:ascii="Times New Roman" w:hAnsi="Times New Roman" w:cs="Times New Roman"/>
          <w:sz w:val="20"/>
          <w:szCs w:val="20"/>
        </w:rPr>
        <w:t xml:space="preserve"> Effects of albumin on the activity of human podocytes and intracellular miR-664a-5p content.(A) The activity of podocytes after 72h treatment with solvents or albumin (100mg/mL) was measured with the CCK-8 kit. (B) Podocytes were treated with a solvent or albumin (100mg/mL) for 72h, and the intracellular miR-664a-5p content was detected by qRT-PCR, with U6 as the internal reference. Data were expressed as Mean±SD, and inter-group statistical analysis was performed by student t test, with ** indicating p&lt;0.01 and ns indicating p&gt;0.05.</w:t>
      </w:r>
    </w:p>
    <w:p w14:paraId="0D1403F1" w14:textId="77777777" w:rsidR="00C10293" w:rsidRDefault="00C10293" w:rsidP="00C10293">
      <w:pPr>
        <w:spacing w:line="360" w:lineRule="auto"/>
        <w:rPr>
          <w:rFonts w:ascii="Times New Roman" w:hAnsi="Times New Roman" w:cs="Times New Roman"/>
          <w:sz w:val="20"/>
          <w:szCs w:val="20"/>
        </w:rPr>
      </w:pPr>
    </w:p>
    <w:p w14:paraId="53E7EE9F" w14:textId="77777777" w:rsidR="00C10293" w:rsidRDefault="00C10293" w:rsidP="00C10293">
      <w:pPr>
        <w:spacing w:line="360" w:lineRule="auto"/>
        <w:rPr>
          <w:rFonts w:ascii="Times New Roman" w:hAnsi="Times New Roman" w:cs="Times New Roman"/>
          <w:sz w:val="20"/>
          <w:szCs w:val="20"/>
        </w:rPr>
      </w:pPr>
    </w:p>
    <w:p w14:paraId="03BA1AD7"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drawing>
          <wp:inline distT="0" distB="0" distL="114300" distR="114300" wp14:anchorId="29F8CDAD" wp14:editId="48F73486">
            <wp:extent cx="5304790" cy="1302385"/>
            <wp:effectExtent l="0" t="0" r="10160" b="12065"/>
            <wp:docPr id="12" name="图片 12"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2"/>
                    <pic:cNvPicPr>
                      <a:picLocks noChangeAspect="1"/>
                    </pic:cNvPicPr>
                  </pic:nvPicPr>
                  <pic:blipFill>
                    <a:blip r:embed="rId5"/>
                    <a:stretch>
                      <a:fillRect/>
                    </a:stretch>
                  </pic:blipFill>
                  <pic:spPr>
                    <a:xfrm>
                      <a:off x="0" y="0"/>
                      <a:ext cx="5304790" cy="1302385"/>
                    </a:xfrm>
                    <a:prstGeom prst="rect">
                      <a:avLst/>
                    </a:prstGeom>
                  </pic:spPr>
                </pic:pic>
              </a:graphicData>
            </a:graphic>
          </wp:inline>
        </w:drawing>
      </w:r>
    </w:p>
    <w:p w14:paraId="15A44BC0"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Supplementary Figure 2.</w:t>
      </w:r>
      <w:r>
        <w:rPr>
          <w:rFonts w:ascii="Times New Roman" w:hAnsi="Times New Roman" w:cs="Times New Roman"/>
          <w:sz w:val="20"/>
          <w:szCs w:val="20"/>
        </w:rPr>
        <w:t xml:space="preserve"> Effects of HIPK2 overexpression and knock-down treatment on HIPK2 expression in HK-2 cells. (A) WB was used to detect the HIPK2 protein content in HK-2 cells after 72h treatment of the vector or HIPK2 overexpression plasmid or NC siRNA or HIPK2 siRNA, using GAPDH as the internal reference. (B) Statistical results of gray values of WB strips in A. Data were expressed as Mean±SD. One-way analysis of variance was used for statistical analysis between groups, with ** indicating p&lt;0.01 and ns indicating p&gt;0.05.</w:t>
      </w:r>
    </w:p>
    <w:p w14:paraId="5AFACD94" w14:textId="77777777" w:rsidR="00C10293" w:rsidRDefault="00C10293" w:rsidP="00C10293">
      <w:pPr>
        <w:spacing w:line="360" w:lineRule="auto"/>
        <w:rPr>
          <w:rFonts w:ascii="Times New Roman" w:hAnsi="Times New Roman" w:cs="Times New Roman"/>
          <w:sz w:val="20"/>
          <w:szCs w:val="20"/>
        </w:rPr>
      </w:pPr>
    </w:p>
    <w:p w14:paraId="62AD95E2"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114300" distR="114300" wp14:anchorId="4EA6C7E1" wp14:editId="6F4EDC5A">
            <wp:extent cx="5306060" cy="2374265"/>
            <wp:effectExtent l="0" t="0" r="8890" b="6985"/>
            <wp:docPr id="13" name="图片 13"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3"/>
                    <pic:cNvPicPr>
                      <a:picLocks noChangeAspect="1"/>
                    </pic:cNvPicPr>
                  </pic:nvPicPr>
                  <pic:blipFill>
                    <a:blip r:embed="rId6"/>
                    <a:stretch>
                      <a:fillRect/>
                    </a:stretch>
                  </pic:blipFill>
                  <pic:spPr>
                    <a:xfrm>
                      <a:off x="0" y="0"/>
                      <a:ext cx="5306060" cy="2374265"/>
                    </a:xfrm>
                    <a:prstGeom prst="rect">
                      <a:avLst/>
                    </a:prstGeom>
                  </pic:spPr>
                </pic:pic>
              </a:graphicData>
            </a:graphic>
          </wp:inline>
        </w:drawing>
      </w:r>
    </w:p>
    <w:p w14:paraId="385BE741"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Supplementary Figure 3.</w:t>
      </w:r>
      <w:r>
        <w:rPr>
          <w:rFonts w:ascii="Times New Roman" w:hAnsi="Times New Roman" w:cs="Times New Roman"/>
          <w:sz w:val="20"/>
          <w:szCs w:val="20"/>
        </w:rPr>
        <w:t xml:space="preserve"> Effects of Calpain inhibitor SJA6017 and albumin on intracellular GSα shear in HK-2 cells. (A) Western Blot analysis of GSα shear in HK-2 cells treated with solvent or SJA6017 and albumin for 72h, using GAPDH as internal reference. (B) Statistical results of gray values of WB strips in A. Data were expressed as Mean±SD. One-way analysis of variance was used for statistical analysis between groups, with ** indicating p&lt;0.01 and ns indicating p&gt;0.05.</w:t>
      </w:r>
    </w:p>
    <w:p w14:paraId="38C36E86" w14:textId="77777777" w:rsidR="00C10293" w:rsidRDefault="00C10293" w:rsidP="00C10293">
      <w:pPr>
        <w:spacing w:line="360" w:lineRule="auto"/>
        <w:rPr>
          <w:rFonts w:ascii="Times New Roman" w:hAnsi="Times New Roman" w:cs="Times New Roman"/>
          <w:sz w:val="20"/>
          <w:szCs w:val="20"/>
        </w:rPr>
      </w:pPr>
    </w:p>
    <w:p w14:paraId="3C73D037"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114300" distR="114300" wp14:anchorId="3F684BD3" wp14:editId="1F31C37B">
            <wp:extent cx="5300345" cy="6814820"/>
            <wp:effectExtent l="0" t="0" r="14605" b="5080"/>
            <wp:docPr id="14" name="图片 14"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4"/>
                    <pic:cNvPicPr>
                      <a:picLocks noChangeAspect="1"/>
                    </pic:cNvPicPr>
                  </pic:nvPicPr>
                  <pic:blipFill>
                    <a:blip r:embed="rId7"/>
                    <a:stretch>
                      <a:fillRect/>
                    </a:stretch>
                  </pic:blipFill>
                  <pic:spPr>
                    <a:xfrm>
                      <a:off x="0" y="0"/>
                      <a:ext cx="5300345" cy="6814820"/>
                    </a:xfrm>
                    <a:prstGeom prst="rect">
                      <a:avLst/>
                    </a:prstGeom>
                  </pic:spPr>
                </pic:pic>
              </a:graphicData>
            </a:graphic>
          </wp:inline>
        </w:drawing>
      </w:r>
    </w:p>
    <w:p w14:paraId="42079709"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 xml:space="preserve">Supplementary Figure 4. </w:t>
      </w:r>
      <w:r>
        <w:rPr>
          <w:rFonts w:ascii="Times New Roman" w:hAnsi="Times New Roman" w:cs="Times New Roman"/>
          <w:sz w:val="20"/>
          <w:szCs w:val="20"/>
        </w:rPr>
        <w:t>Statistics on gray values of strips detected by Western Blot.(A) Statistics on gray values of strips LC3 and p62 detected by WB in Fig.5A. (B) Statistical results of gray values of GS-α, LC3 and p62 bands detected by WB in Fig.7A. Data were expressed as Mean±SD. One-way analysis of variance was used for statistical analysis between groups, with ** indicating p&lt;0.01.</w:t>
      </w:r>
    </w:p>
    <w:p w14:paraId="383A11EE"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114300" distR="114300" wp14:anchorId="532519C1" wp14:editId="5159D34F">
            <wp:extent cx="5301615" cy="1928495"/>
            <wp:effectExtent l="0" t="0" r="13335" b="14605"/>
            <wp:docPr id="15" name="图片 15"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5"/>
                    <pic:cNvPicPr>
                      <a:picLocks noChangeAspect="1"/>
                    </pic:cNvPicPr>
                  </pic:nvPicPr>
                  <pic:blipFill>
                    <a:blip r:embed="rId8"/>
                    <a:stretch>
                      <a:fillRect/>
                    </a:stretch>
                  </pic:blipFill>
                  <pic:spPr>
                    <a:xfrm>
                      <a:off x="0" y="0"/>
                      <a:ext cx="5301615" cy="1928495"/>
                    </a:xfrm>
                    <a:prstGeom prst="rect">
                      <a:avLst/>
                    </a:prstGeom>
                  </pic:spPr>
                </pic:pic>
              </a:graphicData>
            </a:graphic>
          </wp:inline>
        </w:drawing>
      </w:r>
    </w:p>
    <w:p w14:paraId="26CEB340"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Supplementary Figure 5.</w:t>
      </w:r>
      <w:r>
        <w:rPr>
          <w:rFonts w:ascii="Times New Roman" w:hAnsi="Times New Roman" w:cs="Times New Roman"/>
          <w:sz w:val="20"/>
          <w:szCs w:val="20"/>
        </w:rPr>
        <w:t xml:space="preserve"> Identification of exosomes. (A) Morphology of Exo</w:t>
      </w:r>
      <w:r>
        <w:rPr>
          <w:rFonts w:ascii="Times New Roman" w:hAnsi="Times New Roman" w:cs="Times New Roman"/>
          <w:sz w:val="20"/>
          <w:szCs w:val="20"/>
          <w:vertAlign w:val="superscript"/>
        </w:rPr>
        <w:t>Ctrl</w:t>
      </w:r>
      <w:r>
        <w:rPr>
          <w:rFonts w:ascii="Times New Roman" w:hAnsi="Times New Roman" w:cs="Times New Roman"/>
          <w:sz w:val="20"/>
          <w:szCs w:val="20"/>
        </w:rPr>
        <w:t xml:space="preserve"> and Exo</w:t>
      </w:r>
      <w:r>
        <w:rPr>
          <w:rFonts w:ascii="Times New Roman" w:hAnsi="Times New Roman" w:cs="Times New Roman"/>
          <w:sz w:val="20"/>
          <w:szCs w:val="20"/>
          <w:vertAlign w:val="superscript"/>
        </w:rPr>
        <w:t>Albumin</w:t>
      </w:r>
      <w:r>
        <w:rPr>
          <w:rFonts w:ascii="Times New Roman" w:hAnsi="Times New Roman" w:cs="Times New Roman"/>
          <w:sz w:val="20"/>
          <w:szCs w:val="20"/>
        </w:rPr>
        <w:t xml:space="preserve"> was observed under transmission electron microscopy. Scale =200nm. (B) The protein expressions of CD9, CD63, TSG101 and calnexin in Exo</w:t>
      </w:r>
      <w:r>
        <w:rPr>
          <w:rFonts w:ascii="Times New Roman" w:hAnsi="Times New Roman" w:cs="Times New Roman"/>
          <w:sz w:val="20"/>
          <w:szCs w:val="20"/>
          <w:vertAlign w:val="superscript"/>
        </w:rPr>
        <w:t>Ctrl</w:t>
      </w:r>
      <w:r>
        <w:rPr>
          <w:rFonts w:ascii="Times New Roman" w:hAnsi="Times New Roman" w:cs="Times New Roman"/>
          <w:sz w:val="20"/>
          <w:szCs w:val="20"/>
        </w:rPr>
        <w:t xml:space="preserve"> and Exo</w:t>
      </w:r>
      <w:r>
        <w:rPr>
          <w:rFonts w:ascii="Times New Roman" w:hAnsi="Times New Roman" w:cs="Times New Roman"/>
          <w:sz w:val="20"/>
          <w:szCs w:val="20"/>
          <w:vertAlign w:val="superscript"/>
        </w:rPr>
        <w:t>Albumin</w:t>
      </w:r>
      <w:r>
        <w:rPr>
          <w:rFonts w:ascii="Times New Roman" w:hAnsi="Times New Roman" w:cs="Times New Roman"/>
          <w:sz w:val="20"/>
          <w:szCs w:val="20"/>
        </w:rPr>
        <w:t xml:space="preserve"> were detected by WB. (C) The concentration difference between Exo</w:t>
      </w:r>
      <w:r>
        <w:rPr>
          <w:rFonts w:ascii="Times New Roman" w:hAnsi="Times New Roman" w:cs="Times New Roman"/>
          <w:sz w:val="20"/>
          <w:szCs w:val="20"/>
          <w:vertAlign w:val="superscript"/>
        </w:rPr>
        <w:t>Ctrl</w:t>
      </w:r>
      <w:r>
        <w:rPr>
          <w:rFonts w:ascii="Times New Roman" w:hAnsi="Times New Roman" w:cs="Times New Roman"/>
          <w:sz w:val="20"/>
          <w:szCs w:val="20"/>
        </w:rPr>
        <w:t xml:space="preserve"> and Exo</w:t>
      </w:r>
      <w:r>
        <w:rPr>
          <w:rFonts w:ascii="Times New Roman" w:hAnsi="Times New Roman" w:cs="Times New Roman"/>
          <w:sz w:val="20"/>
          <w:szCs w:val="20"/>
          <w:vertAlign w:val="superscript"/>
        </w:rPr>
        <w:t>Albumin</w:t>
      </w:r>
      <w:r>
        <w:rPr>
          <w:rFonts w:ascii="Times New Roman" w:hAnsi="Times New Roman" w:cs="Times New Roman"/>
          <w:sz w:val="20"/>
          <w:szCs w:val="20"/>
        </w:rPr>
        <w:t xml:space="preserve"> between the two groups was detected by the BCA protein concentration assay kit. Data were expressed as Mean±SD, and inter-group statistical analysis was performed by student t test, with ns indicating p&gt;0.05.</w:t>
      </w:r>
    </w:p>
    <w:p w14:paraId="62BF6548" w14:textId="77777777" w:rsidR="00C10293" w:rsidRDefault="00C10293" w:rsidP="00C10293">
      <w:pPr>
        <w:spacing w:line="360" w:lineRule="auto"/>
        <w:rPr>
          <w:rFonts w:ascii="Times New Roman" w:hAnsi="Times New Roman" w:cs="Times New Roman"/>
          <w:sz w:val="20"/>
          <w:szCs w:val="20"/>
        </w:rPr>
      </w:pPr>
    </w:p>
    <w:p w14:paraId="639D5C7C"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hint="eastAsia"/>
          <w:noProof/>
          <w:sz w:val="20"/>
          <w:szCs w:val="20"/>
        </w:rPr>
        <w:drawing>
          <wp:inline distT="0" distB="0" distL="114300" distR="114300" wp14:anchorId="7E0C6180" wp14:editId="3C05699B">
            <wp:extent cx="5307330" cy="4110355"/>
            <wp:effectExtent l="0" t="0" r="7620" b="4445"/>
            <wp:docPr id="16" name="图片 16"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6"/>
                    <pic:cNvPicPr>
                      <a:picLocks noChangeAspect="1"/>
                    </pic:cNvPicPr>
                  </pic:nvPicPr>
                  <pic:blipFill>
                    <a:blip r:embed="rId9"/>
                    <a:stretch>
                      <a:fillRect/>
                    </a:stretch>
                  </pic:blipFill>
                  <pic:spPr>
                    <a:xfrm>
                      <a:off x="0" y="0"/>
                      <a:ext cx="5307330" cy="4110355"/>
                    </a:xfrm>
                    <a:prstGeom prst="rect">
                      <a:avLst/>
                    </a:prstGeom>
                  </pic:spPr>
                </pic:pic>
              </a:graphicData>
            </a:graphic>
          </wp:inline>
        </w:drawing>
      </w:r>
    </w:p>
    <w:p w14:paraId="26F1FF61"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b/>
          <w:bCs/>
          <w:sz w:val="20"/>
          <w:szCs w:val="20"/>
        </w:rPr>
        <w:t xml:space="preserve">Supplementary Figure 6. </w:t>
      </w:r>
      <w:r>
        <w:rPr>
          <w:rFonts w:ascii="Times New Roman" w:hAnsi="Times New Roman" w:cs="Times New Roman"/>
          <w:sz w:val="20"/>
          <w:szCs w:val="20"/>
        </w:rPr>
        <w:t xml:space="preserve">Effects of miR-664a-5p antagomir and HIPK2 overexpression on the contents of miR-664a-5p and HIPK2 in podocytes treated with exosomes. </w:t>
      </w:r>
    </w:p>
    <w:p w14:paraId="2CDEE928" w14:textId="77777777" w:rsidR="00C10293" w:rsidRDefault="00C10293" w:rsidP="00C10293">
      <w:pPr>
        <w:spacing w:line="360" w:lineRule="auto"/>
        <w:rPr>
          <w:rFonts w:ascii="Times New Roman" w:hAnsi="Times New Roman" w:cs="Times New Roman"/>
          <w:sz w:val="20"/>
          <w:szCs w:val="20"/>
        </w:rPr>
      </w:pPr>
    </w:p>
    <w:p w14:paraId="7EA370DB" w14:textId="77777777" w:rsidR="00C10293" w:rsidRDefault="00C10293" w:rsidP="00C10293">
      <w:pPr>
        <w:spacing w:line="360" w:lineRule="auto"/>
        <w:rPr>
          <w:rFonts w:ascii="Times New Roman" w:hAnsi="Times New Roman" w:cs="Times New Roman"/>
          <w:sz w:val="20"/>
          <w:szCs w:val="20"/>
        </w:rPr>
      </w:pPr>
      <w:r>
        <w:rPr>
          <w:rFonts w:ascii="Times New Roman" w:hAnsi="Times New Roman" w:cs="Times New Roman"/>
          <w:sz w:val="20"/>
          <w:szCs w:val="20"/>
        </w:rPr>
        <w:t>(A) The content of miR-664a-5p in podocytes treated with Exo</w:t>
      </w:r>
      <w:r>
        <w:rPr>
          <w:rFonts w:ascii="Times New Roman" w:hAnsi="Times New Roman" w:cs="Times New Roman"/>
          <w:sz w:val="20"/>
          <w:szCs w:val="20"/>
          <w:vertAlign w:val="superscript"/>
        </w:rPr>
        <w:t xml:space="preserve">Ctrl </w:t>
      </w:r>
      <w:r>
        <w:rPr>
          <w:rFonts w:ascii="Times New Roman" w:hAnsi="Times New Roman" w:cs="Times New Roman"/>
          <w:sz w:val="20"/>
          <w:szCs w:val="20"/>
        </w:rPr>
        <w:t>or Exo</w:t>
      </w:r>
      <w:r>
        <w:rPr>
          <w:rFonts w:ascii="Times New Roman" w:hAnsi="Times New Roman" w:cs="Times New Roman"/>
          <w:sz w:val="20"/>
          <w:szCs w:val="20"/>
          <w:vertAlign w:val="superscript"/>
        </w:rPr>
        <w:t>Albumin</w:t>
      </w:r>
      <w:r>
        <w:rPr>
          <w:rFonts w:ascii="Times New Roman" w:hAnsi="Times New Roman" w:cs="Times New Roman"/>
          <w:sz w:val="20"/>
          <w:szCs w:val="20"/>
        </w:rPr>
        <w:t xml:space="preserve"> and combined with miRNA antagomir NC or miR-664a-5p antagomir for 72h was detected by qRT-PCR, with U6 as the internal reference. (B) Podocytes were treated with miRNA antagomir NC or miR-664a-5p antagomir or vector or HIPK2 overexpression plasmid, while being treated with Exo</w:t>
      </w:r>
      <w:r>
        <w:rPr>
          <w:rFonts w:ascii="Times New Roman" w:hAnsi="Times New Roman" w:cs="Times New Roman"/>
          <w:sz w:val="20"/>
          <w:szCs w:val="20"/>
          <w:vertAlign w:val="superscript"/>
        </w:rPr>
        <w:t>Ctrl</w:t>
      </w:r>
      <w:r>
        <w:rPr>
          <w:rFonts w:ascii="Times New Roman" w:hAnsi="Times New Roman" w:cs="Times New Roman"/>
          <w:sz w:val="20"/>
          <w:szCs w:val="20"/>
        </w:rPr>
        <w:t xml:space="preserve"> or Exo</w:t>
      </w:r>
      <w:r>
        <w:rPr>
          <w:rFonts w:ascii="Times New Roman" w:hAnsi="Times New Roman" w:cs="Times New Roman"/>
          <w:sz w:val="20"/>
          <w:szCs w:val="20"/>
          <w:vertAlign w:val="superscript"/>
        </w:rPr>
        <w:t>Albumin</w:t>
      </w:r>
      <w:r>
        <w:rPr>
          <w:rFonts w:ascii="Times New Roman" w:hAnsi="Times New Roman" w:cs="Times New Roman"/>
          <w:sz w:val="20"/>
          <w:szCs w:val="20"/>
        </w:rPr>
        <w:t>, respectively. Intracellular HIPK2 protein content was detected by WB after 72h, using GAPDH as internal reference (top panel). Below is the statistical result of gray value of WB strip. Data were expressed as Mean±SD. One-way analysis of variance was used for statistical analysis between groups, with ** indicating p&lt;0.01.</w:t>
      </w:r>
    </w:p>
    <w:p w14:paraId="5F2D6CC8" w14:textId="77777777" w:rsidR="00C10293" w:rsidRDefault="00C10293" w:rsidP="00C10293">
      <w:pPr>
        <w:spacing w:line="360" w:lineRule="auto"/>
        <w:rPr>
          <w:rFonts w:ascii="Times New Roman" w:hAnsi="Times New Roman" w:cs="Times New Roman"/>
          <w:sz w:val="20"/>
          <w:szCs w:val="20"/>
        </w:rPr>
      </w:pPr>
    </w:p>
    <w:p w14:paraId="00C617A1" w14:textId="77777777" w:rsidR="003F1652" w:rsidRDefault="003F1652"/>
    <w:sectPr w:rsidR="003F1652">
      <w:pgSz w:w="11906" w:h="16838"/>
      <w:pgMar w:top="1440" w:right="1800" w:bottom="1440" w:left="174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93"/>
    <w:rsid w:val="003F1652"/>
    <w:rsid w:val="00C1029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E7A6"/>
  <w15:chartTrackingRefBased/>
  <w15:docId w15:val="{1D485F7C-5C95-4C35-924D-528EE8F4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293"/>
    <w:pPr>
      <w:widowControl w:val="0"/>
      <w:spacing w:after="0" w:line="240" w:lineRule="auto"/>
      <w:jc w:val="both"/>
    </w:pPr>
    <w:rPr>
      <w:rFonts w:eastAsiaTheme="minorEastAsia"/>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506</Words>
  <Characters>2886</Characters>
  <Application>Microsoft Office Word</Application>
  <DocSecurity>0</DocSecurity>
  <Lines>24</Lines>
  <Paragraphs>6</Paragraphs>
  <ScaleCrop>false</ScaleCrop>
  <Company>Springer Nature</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2023-05-26T18:38:00Z</dcterms:created>
  <dcterms:modified xsi:type="dcterms:W3CDTF">2023-05-26T18:38:00Z</dcterms:modified>
</cp:coreProperties>
</file>