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theme/themeOverride1.xml" ContentType="application/vnd.openxmlformats-officedocument.themeOverride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595F4" w14:textId="19390382" w:rsidR="00C36375" w:rsidRDefault="00C36375" w:rsidP="00C36375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Hlk134562889"/>
      <w:r w:rsidRPr="00C36375">
        <w:rPr>
          <w:rFonts w:ascii="Times New Roman" w:hAnsi="Times New Roman" w:cs="Times New Roman"/>
          <w:sz w:val="36"/>
          <w:szCs w:val="36"/>
        </w:rPr>
        <w:t>Health Risk Assessment of Organic Compounds and Heavy Metals in Electronic Cigarettes</w:t>
      </w:r>
    </w:p>
    <w:p w14:paraId="5E1FA89C" w14:textId="77777777" w:rsidR="00C36375" w:rsidRDefault="00C36375" w:rsidP="00C36375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530141D" w14:textId="77777777" w:rsidR="00C36375" w:rsidRDefault="00C36375" w:rsidP="00C36375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2299DA7" w14:textId="77777777" w:rsidR="00AB750D" w:rsidRDefault="00AB750D" w:rsidP="00C36375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239FA1E" w14:textId="77777777" w:rsidR="00AB750D" w:rsidRDefault="00AB750D" w:rsidP="00C36375">
      <w:pPr>
        <w:jc w:val="center"/>
        <w:rPr>
          <w:rFonts w:ascii="Times New Roman" w:hAnsi="Times New Roman" w:cs="Times New Roman"/>
          <w:sz w:val="36"/>
          <w:szCs w:val="36"/>
        </w:rPr>
      </w:pPr>
    </w:p>
    <w:bookmarkEnd w:id="0"/>
    <w:p w14:paraId="6A177E2A" w14:textId="77777777" w:rsidR="008228D3" w:rsidRDefault="008228D3" w:rsidP="008228D3">
      <w:pPr>
        <w:jc w:val="center"/>
      </w:pPr>
      <w:r w:rsidRPr="008718AC">
        <w:rPr>
          <w:rFonts w:ascii="Times New Roman" w:hAnsi="Times New Roman" w:cs="Times New Roman"/>
          <w:sz w:val="36"/>
          <w:szCs w:val="36"/>
        </w:rPr>
        <w:t>Supplementary Information</w:t>
      </w:r>
      <w:r w:rsidRPr="003539A8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1</w:t>
      </w:r>
    </w:p>
    <w:p w14:paraId="4D62C78D" w14:textId="70F46018" w:rsidR="00C36375" w:rsidRDefault="00C36375" w:rsidP="00C363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7CF3CA7" w14:textId="618E5592" w:rsidR="00C36375" w:rsidRPr="00C36375" w:rsidRDefault="00C3637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3175C6DF" w14:textId="77777777" w:rsidR="00780576" w:rsidRDefault="00780576"/>
    <w:p w14:paraId="5AA54359" w14:textId="7D8BE4BC" w:rsidR="00780576" w:rsidRDefault="00780576">
      <w:pPr>
        <w:rPr>
          <w:rFonts w:ascii="Times New Roman" w:hAnsi="Times New Roman" w:cs="Times New Roman"/>
          <w:sz w:val="24"/>
          <w:szCs w:val="24"/>
        </w:rPr>
      </w:pPr>
      <w:r w:rsidRPr="00780576">
        <w:rPr>
          <w:rFonts w:ascii="Times New Roman" w:hAnsi="Times New Roman" w:cs="Times New Roman"/>
          <w:sz w:val="24"/>
          <w:szCs w:val="24"/>
        </w:rPr>
        <w:t>Probability assessment results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BD5ABAA" w14:textId="77777777" w:rsidR="00CE5C35" w:rsidRDefault="00CE5C35">
      <w:pPr>
        <w:rPr>
          <w:rFonts w:ascii="Times New Roman" w:hAnsi="Times New Roman" w:cs="Times New Roman"/>
          <w:sz w:val="24"/>
          <w:szCs w:val="24"/>
        </w:rPr>
      </w:pPr>
    </w:p>
    <w:p w14:paraId="3B18BEA7" w14:textId="74A9D912" w:rsidR="00CE5C35" w:rsidRPr="00CE5C35" w:rsidRDefault="00CE5C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F5119F">
        <w:rPr>
          <w:rFonts w:ascii="Times New Roman" w:hAnsi="Times New Roman" w:cs="Times New Roman"/>
          <w:sz w:val="24"/>
          <w:szCs w:val="24"/>
        </w:rPr>
        <w:t xml:space="preserve">upplementary </w:t>
      </w:r>
      <w:r>
        <w:rPr>
          <w:rFonts w:ascii="Times New Roman" w:hAnsi="Times New Roman" w:cs="Times New Roman"/>
          <w:sz w:val="24"/>
          <w:szCs w:val="24"/>
        </w:rPr>
        <w:t>Figure S1.</w:t>
      </w:r>
      <w:r w:rsidRPr="00CE5C35">
        <w:t xml:space="preserve"> </w:t>
      </w:r>
      <w:r w:rsidRPr="00CE5C35">
        <w:rPr>
          <w:rFonts w:ascii="Times New Roman" w:hAnsi="Times New Roman" w:cs="Times New Roman"/>
          <w:sz w:val="24"/>
          <w:szCs w:val="24"/>
        </w:rPr>
        <w:t xml:space="preserve">Results of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E5C35">
        <w:rPr>
          <w:rFonts w:ascii="Times New Roman" w:hAnsi="Times New Roman" w:cs="Times New Roman"/>
          <w:sz w:val="24"/>
          <w:szCs w:val="24"/>
        </w:rPr>
        <w:t xml:space="preserve">robability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E5C35">
        <w:rPr>
          <w:rFonts w:ascii="Times New Roman" w:hAnsi="Times New Roman" w:cs="Times New Roman"/>
          <w:sz w:val="24"/>
          <w:szCs w:val="24"/>
        </w:rPr>
        <w:t xml:space="preserve">ssessment of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CE5C35">
        <w:rPr>
          <w:rFonts w:ascii="Times New Roman" w:hAnsi="Times New Roman" w:cs="Times New Roman"/>
          <w:sz w:val="24"/>
          <w:szCs w:val="24"/>
        </w:rPr>
        <w:t>ormaldehyde</w:t>
      </w:r>
    </w:p>
    <w:p w14:paraId="09FDF4BD" w14:textId="74429195" w:rsidR="00780576" w:rsidRDefault="0078057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8D801A2" wp14:editId="51C36B1C">
            <wp:extent cx="4297680" cy="2682240"/>
            <wp:effectExtent l="0" t="0" r="0" b="0"/>
            <wp:docPr id="1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B162D755-FE58-2E45-9F4E-A2903A39380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2960ABF" w14:textId="77777777" w:rsidR="00780576" w:rsidRPr="00780576" w:rsidRDefault="00780576" w:rsidP="00780576">
      <w:pPr>
        <w:rPr>
          <w:rFonts w:ascii="Times New Roman" w:hAnsi="Times New Roman" w:cs="Times New Roman"/>
          <w:szCs w:val="21"/>
        </w:rPr>
      </w:pPr>
      <w:r w:rsidRPr="00780576">
        <w:rPr>
          <w:rFonts w:ascii="Times New Roman" w:hAnsi="Times New Roman" w:cs="Times New Roman"/>
          <w:szCs w:val="21"/>
        </w:rPr>
        <w:t>The level of certainty is 83.49%.</w:t>
      </w:r>
    </w:p>
    <w:p w14:paraId="53948AE1" w14:textId="4127171B" w:rsidR="00780576" w:rsidRPr="00780576" w:rsidRDefault="00780576" w:rsidP="00780576">
      <w:pPr>
        <w:rPr>
          <w:rFonts w:ascii="Times New Roman" w:hAnsi="Times New Roman" w:cs="Times New Roman"/>
          <w:szCs w:val="21"/>
        </w:rPr>
      </w:pPr>
      <w:r w:rsidRPr="00780576">
        <w:rPr>
          <w:rFonts w:ascii="Times New Roman" w:hAnsi="Times New Roman" w:cs="Times New Roman"/>
          <w:szCs w:val="21"/>
        </w:rPr>
        <w:t>The range of certainty is from -∞ to 9.00</w:t>
      </w:r>
    </w:p>
    <w:p w14:paraId="1DC7FF6E" w14:textId="77777777" w:rsidR="00780576" w:rsidRDefault="00780576" w:rsidP="00780576">
      <w:pPr>
        <w:rPr>
          <w:rFonts w:ascii="Times New Roman" w:hAnsi="Times New Roman" w:cs="Times New Roman"/>
          <w:sz w:val="24"/>
          <w:szCs w:val="24"/>
        </w:rPr>
      </w:pPr>
    </w:p>
    <w:p w14:paraId="5D6F8486" w14:textId="77777777" w:rsidR="007F5D62" w:rsidRDefault="007F5D62" w:rsidP="00780576">
      <w:pPr>
        <w:rPr>
          <w:rFonts w:ascii="Times New Roman" w:hAnsi="Times New Roman" w:cs="Times New Roman"/>
          <w:sz w:val="24"/>
          <w:szCs w:val="24"/>
        </w:rPr>
      </w:pPr>
    </w:p>
    <w:p w14:paraId="0822C656" w14:textId="77777777" w:rsidR="007F5D62" w:rsidRDefault="007F5D62" w:rsidP="00780576">
      <w:pPr>
        <w:rPr>
          <w:rFonts w:ascii="Times New Roman" w:hAnsi="Times New Roman" w:cs="Times New Roman"/>
          <w:sz w:val="24"/>
          <w:szCs w:val="24"/>
        </w:rPr>
      </w:pPr>
    </w:p>
    <w:p w14:paraId="073F2F06" w14:textId="77777777" w:rsidR="007F5D62" w:rsidRDefault="007F5D62" w:rsidP="00780576">
      <w:pPr>
        <w:rPr>
          <w:rFonts w:ascii="Times New Roman" w:hAnsi="Times New Roman" w:cs="Times New Roman"/>
          <w:sz w:val="24"/>
          <w:szCs w:val="24"/>
        </w:rPr>
      </w:pPr>
    </w:p>
    <w:p w14:paraId="59440FE9" w14:textId="70382FB4" w:rsidR="007F5D62" w:rsidRPr="00CE5C35" w:rsidRDefault="00CE5C35" w:rsidP="00780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F5119F">
        <w:rPr>
          <w:rFonts w:ascii="Times New Roman" w:hAnsi="Times New Roman" w:cs="Times New Roman"/>
          <w:sz w:val="24"/>
          <w:szCs w:val="24"/>
        </w:rPr>
        <w:t xml:space="preserve">upplementary </w:t>
      </w:r>
      <w:r>
        <w:rPr>
          <w:rFonts w:ascii="Times New Roman" w:hAnsi="Times New Roman" w:cs="Times New Roman"/>
          <w:sz w:val="24"/>
          <w:szCs w:val="24"/>
        </w:rPr>
        <w:t>Figure S2.</w:t>
      </w:r>
      <w:r w:rsidRPr="00CE5C35">
        <w:t xml:space="preserve"> </w:t>
      </w:r>
      <w:r w:rsidRPr="00CE5C35">
        <w:rPr>
          <w:rFonts w:ascii="Times New Roman" w:hAnsi="Times New Roman" w:cs="Times New Roman"/>
          <w:sz w:val="24"/>
          <w:szCs w:val="24"/>
        </w:rPr>
        <w:t xml:space="preserve">Results of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E5C35">
        <w:rPr>
          <w:rFonts w:ascii="Times New Roman" w:hAnsi="Times New Roman" w:cs="Times New Roman"/>
          <w:sz w:val="24"/>
          <w:szCs w:val="24"/>
        </w:rPr>
        <w:t xml:space="preserve">robability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E5C35">
        <w:rPr>
          <w:rFonts w:ascii="Times New Roman" w:hAnsi="Times New Roman" w:cs="Times New Roman"/>
          <w:sz w:val="24"/>
          <w:szCs w:val="24"/>
        </w:rPr>
        <w:t xml:space="preserve">ssessment of </w:t>
      </w:r>
      <w:r>
        <w:rPr>
          <w:rFonts w:ascii="Times New Roman" w:hAnsi="Times New Roman" w:cs="Times New Roman"/>
          <w:sz w:val="24"/>
          <w:szCs w:val="24"/>
        </w:rPr>
        <w:t>Acetaldehyde</w:t>
      </w:r>
    </w:p>
    <w:p w14:paraId="68ED6449" w14:textId="557F79DB" w:rsidR="00780576" w:rsidRDefault="00780576" w:rsidP="0078057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672B95A" wp14:editId="4A3D6FA9">
            <wp:extent cx="4297680" cy="2682240"/>
            <wp:effectExtent l="0" t="0" r="0" b="0"/>
            <wp:docPr id="12" name="图表 12">
              <a:extLst xmlns:a="http://schemas.openxmlformats.org/drawingml/2006/main">
                <a:ext uri="{FF2B5EF4-FFF2-40B4-BE49-F238E27FC236}">
                  <a16:creationId xmlns:a16="http://schemas.microsoft.com/office/drawing/2014/main" id="{717DA148-EBBE-EE72-149A-A58F8A9019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38B6F76" w14:textId="77777777" w:rsidR="00780576" w:rsidRPr="007F5D62" w:rsidRDefault="00780576" w:rsidP="00780576">
      <w:pPr>
        <w:rPr>
          <w:rFonts w:ascii="Times New Roman" w:hAnsi="Times New Roman" w:cs="Times New Roman"/>
          <w:szCs w:val="21"/>
        </w:rPr>
      </w:pPr>
      <w:r w:rsidRPr="007F5D62">
        <w:rPr>
          <w:rFonts w:ascii="Times New Roman" w:hAnsi="Times New Roman" w:cs="Times New Roman"/>
          <w:szCs w:val="21"/>
        </w:rPr>
        <w:t>The level of certainty is 87.45%.</w:t>
      </w:r>
    </w:p>
    <w:p w14:paraId="1579E3F5" w14:textId="473FF495" w:rsidR="00780576" w:rsidRPr="007F5D62" w:rsidRDefault="00780576" w:rsidP="00780576">
      <w:pPr>
        <w:rPr>
          <w:rFonts w:ascii="Times New Roman" w:hAnsi="Times New Roman" w:cs="Times New Roman"/>
          <w:szCs w:val="21"/>
        </w:rPr>
      </w:pPr>
      <w:r w:rsidRPr="007F5D62">
        <w:rPr>
          <w:rFonts w:ascii="Times New Roman" w:hAnsi="Times New Roman" w:cs="Times New Roman"/>
          <w:szCs w:val="21"/>
        </w:rPr>
        <w:t>The range of certainty is from -∞ to 9.00</w:t>
      </w:r>
    </w:p>
    <w:p w14:paraId="1A6BCB70" w14:textId="77777777" w:rsidR="00780576" w:rsidRDefault="00780576" w:rsidP="00780576">
      <w:pPr>
        <w:rPr>
          <w:rFonts w:ascii="Times New Roman" w:hAnsi="Times New Roman" w:cs="Times New Roman"/>
          <w:sz w:val="24"/>
          <w:szCs w:val="24"/>
        </w:rPr>
      </w:pPr>
    </w:p>
    <w:p w14:paraId="11B4B6B5" w14:textId="77777777" w:rsidR="00CE5C35" w:rsidRDefault="00CE5C35" w:rsidP="00780576">
      <w:pPr>
        <w:rPr>
          <w:rFonts w:ascii="Times New Roman" w:hAnsi="Times New Roman" w:cs="Times New Roman"/>
          <w:sz w:val="24"/>
          <w:szCs w:val="24"/>
        </w:rPr>
      </w:pPr>
    </w:p>
    <w:p w14:paraId="7C4B7FAC" w14:textId="2CD7C2D5" w:rsidR="00CE5C35" w:rsidRPr="00CE5C35" w:rsidRDefault="00CE5C35" w:rsidP="00780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Pr="00F5119F">
        <w:rPr>
          <w:rFonts w:ascii="Times New Roman" w:hAnsi="Times New Roman" w:cs="Times New Roman"/>
          <w:sz w:val="24"/>
          <w:szCs w:val="24"/>
        </w:rPr>
        <w:t xml:space="preserve">upplementary </w:t>
      </w:r>
      <w:r>
        <w:rPr>
          <w:rFonts w:ascii="Times New Roman" w:hAnsi="Times New Roman" w:cs="Times New Roman"/>
          <w:sz w:val="24"/>
          <w:szCs w:val="24"/>
        </w:rPr>
        <w:t>Figure S3.</w:t>
      </w:r>
      <w:r w:rsidRPr="00CE5C35">
        <w:t xml:space="preserve"> </w:t>
      </w:r>
      <w:r w:rsidRPr="00CE5C35">
        <w:rPr>
          <w:rFonts w:ascii="Times New Roman" w:hAnsi="Times New Roman" w:cs="Times New Roman"/>
          <w:sz w:val="24"/>
          <w:szCs w:val="24"/>
        </w:rPr>
        <w:t xml:space="preserve">Results of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E5C35">
        <w:rPr>
          <w:rFonts w:ascii="Times New Roman" w:hAnsi="Times New Roman" w:cs="Times New Roman"/>
          <w:sz w:val="24"/>
          <w:szCs w:val="24"/>
        </w:rPr>
        <w:t xml:space="preserve">robability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E5C35">
        <w:rPr>
          <w:rFonts w:ascii="Times New Roman" w:hAnsi="Times New Roman" w:cs="Times New Roman"/>
          <w:sz w:val="24"/>
          <w:szCs w:val="24"/>
        </w:rPr>
        <w:t xml:space="preserve">ssessment of </w:t>
      </w:r>
      <w:r>
        <w:rPr>
          <w:rFonts w:ascii="Times New Roman" w:hAnsi="Times New Roman" w:cs="Times New Roman"/>
          <w:sz w:val="24"/>
          <w:szCs w:val="24"/>
        </w:rPr>
        <w:t>Acrolein</w:t>
      </w:r>
    </w:p>
    <w:p w14:paraId="3C12A4A2" w14:textId="0A8F066C" w:rsidR="00780576" w:rsidRDefault="00780576" w:rsidP="0078057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1EFA368" wp14:editId="715C9DB3">
            <wp:extent cx="4297680" cy="2682240"/>
            <wp:effectExtent l="0" t="0" r="7620" b="3810"/>
            <wp:docPr id="2" name="图表 2">
              <a:extLst xmlns:a="http://schemas.openxmlformats.org/drawingml/2006/main">
                <a:ext uri="{FF2B5EF4-FFF2-40B4-BE49-F238E27FC236}">
                  <a16:creationId xmlns:a16="http://schemas.microsoft.com/office/drawing/2014/main" id="{F5D8D82C-A5F8-25F6-65ED-F872DDB27D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44F843C" w14:textId="176B14BF" w:rsidR="007F5D62" w:rsidRPr="007F5D62" w:rsidRDefault="007F5D62" w:rsidP="007F5D62">
      <w:pPr>
        <w:rPr>
          <w:rFonts w:ascii="Times New Roman" w:hAnsi="Times New Roman" w:cs="Times New Roman"/>
          <w:szCs w:val="21"/>
        </w:rPr>
      </w:pPr>
      <w:r w:rsidRPr="007F5D62">
        <w:rPr>
          <w:rFonts w:ascii="Times New Roman" w:hAnsi="Times New Roman" w:cs="Times New Roman"/>
          <w:szCs w:val="21"/>
        </w:rPr>
        <w:t>The level of certainty is 0.06%</w:t>
      </w:r>
    </w:p>
    <w:p w14:paraId="44B3151E" w14:textId="3990B947" w:rsidR="00780576" w:rsidRPr="007F5D62" w:rsidRDefault="007F5D62" w:rsidP="007F5D62">
      <w:pPr>
        <w:rPr>
          <w:rFonts w:ascii="Times New Roman" w:hAnsi="Times New Roman" w:cs="Times New Roman"/>
          <w:szCs w:val="21"/>
        </w:rPr>
      </w:pPr>
      <w:r w:rsidRPr="007F5D62">
        <w:rPr>
          <w:rFonts w:ascii="Times New Roman" w:hAnsi="Times New Roman" w:cs="Times New Roman"/>
          <w:szCs w:val="21"/>
        </w:rPr>
        <w:t>The range of certainty is from -∞ to 0.02</w:t>
      </w:r>
    </w:p>
    <w:p w14:paraId="4CD8342D" w14:textId="77777777" w:rsidR="007F5D62" w:rsidRDefault="007F5D62" w:rsidP="007F5D62">
      <w:pPr>
        <w:rPr>
          <w:rFonts w:ascii="Times New Roman" w:hAnsi="Times New Roman" w:cs="Times New Roman"/>
          <w:sz w:val="24"/>
          <w:szCs w:val="24"/>
        </w:rPr>
      </w:pPr>
    </w:p>
    <w:p w14:paraId="17E0BF54" w14:textId="77777777" w:rsidR="007F5D62" w:rsidRDefault="007F5D62" w:rsidP="007F5D62">
      <w:pPr>
        <w:rPr>
          <w:rFonts w:ascii="Times New Roman" w:hAnsi="Times New Roman" w:cs="Times New Roman"/>
          <w:sz w:val="24"/>
          <w:szCs w:val="24"/>
        </w:rPr>
      </w:pPr>
    </w:p>
    <w:p w14:paraId="1C8F79A1" w14:textId="77777777" w:rsidR="007F5D62" w:rsidRDefault="007F5D62" w:rsidP="007F5D62">
      <w:pPr>
        <w:rPr>
          <w:rFonts w:ascii="Times New Roman" w:hAnsi="Times New Roman" w:cs="Times New Roman"/>
          <w:sz w:val="24"/>
          <w:szCs w:val="24"/>
        </w:rPr>
      </w:pPr>
    </w:p>
    <w:p w14:paraId="12D34FE2" w14:textId="77777777" w:rsidR="007F5D62" w:rsidRDefault="007F5D62" w:rsidP="007F5D62">
      <w:pPr>
        <w:rPr>
          <w:rFonts w:ascii="Times New Roman" w:hAnsi="Times New Roman" w:cs="Times New Roman"/>
          <w:sz w:val="24"/>
          <w:szCs w:val="24"/>
        </w:rPr>
      </w:pPr>
    </w:p>
    <w:p w14:paraId="64CABA40" w14:textId="2C624ABE" w:rsidR="007F5D62" w:rsidRPr="00CE5C35" w:rsidRDefault="00CE5C35" w:rsidP="007F5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F5119F">
        <w:rPr>
          <w:rFonts w:ascii="Times New Roman" w:hAnsi="Times New Roman" w:cs="Times New Roman"/>
          <w:sz w:val="24"/>
          <w:szCs w:val="24"/>
        </w:rPr>
        <w:t xml:space="preserve">upplementary </w:t>
      </w:r>
      <w:r>
        <w:rPr>
          <w:rFonts w:ascii="Times New Roman" w:hAnsi="Times New Roman" w:cs="Times New Roman"/>
          <w:sz w:val="24"/>
          <w:szCs w:val="24"/>
        </w:rPr>
        <w:t>Figure S4.</w:t>
      </w:r>
      <w:r w:rsidRPr="00CE5C35">
        <w:t xml:space="preserve"> </w:t>
      </w:r>
      <w:r w:rsidRPr="00CE5C35">
        <w:rPr>
          <w:rFonts w:ascii="Times New Roman" w:hAnsi="Times New Roman" w:cs="Times New Roman"/>
          <w:sz w:val="24"/>
          <w:szCs w:val="24"/>
        </w:rPr>
        <w:t xml:space="preserve">Results of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E5C35">
        <w:rPr>
          <w:rFonts w:ascii="Times New Roman" w:hAnsi="Times New Roman" w:cs="Times New Roman"/>
          <w:sz w:val="24"/>
          <w:szCs w:val="24"/>
        </w:rPr>
        <w:t xml:space="preserve">robability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E5C35">
        <w:rPr>
          <w:rFonts w:ascii="Times New Roman" w:hAnsi="Times New Roman" w:cs="Times New Roman"/>
          <w:sz w:val="24"/>
          <w:szCs w:val="24"/>
        </w:rPr>
        <w:t xml:space="preserve">ssessment of </w:t>
      </w:r>
      <w:r>
        <w:rPr>
          <w:rFonts w:ascii="Times New Roman" w:hAnsi="Times New Roman" w:cs="Times New Roman"/>
          <w:sz w:val="24"/>
          <w:szCs w:val="24"/>
        </w:rPr>
        <w:t>As</w:t>
      </w:r>
    </w:p>
    <w:p w14:paraId="1BAD3AAE" w14:textId="5FB0D949" w:rsidR="007F5D62" w:rsidRDefault="007F5D62" w:rsidP="007F5D6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E8CA894" wp14:editId="152BEE31">
            <wp:extent cx="4297680" cy="2682240"/>
            <wp:effectExtent l="0" t="0" r="0" b="0"/>
            <wp:docPr id="10" name="图表 10">
              <a:extLst xmlns:a="http://schemas.openxmlformats.org/drawingml/2006/main">
                <a:ext uri="{FF2B5EF4-FFF2-40B4-BE49-F238E27FC236}">
                  <a16:creationId xmlns:a16="http://schemas.microsoft.com/office/drawing/2014/main" id="{A36FC467-7533-C5F6-6318-9C4E830387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DBE44A0" w14:textId="45D253E0" w:rsidR="007F5D62" w:rsidRPr="007F5D62" w:rsidRDefault="007F5D62" w:rsidP="007F5D62">
      <w:pPr>
        <w:rPr>
          <w:rFonts w:ascii="Times New Roman" w:hAnsi="Times New Roman" w:cs="Times New Roman"/>
          <w:szCs w:val="21"/>
        </w:rPr>
      </w:pPr>
      <w:r w:rsidRPr="007F5D62">
        <w:rPr>
          <w:rFonts w:ascii="Times New Roman" w:hAnsi="Times New Roman" w:cs="Times New Roman"/>
          <w:szCs w:val="21"/>
        </w:rPr>
        <w:t>The level of certainty is 99.10%.</w:t>
      </w:r>
    </w:p>
    <w:p w14:paraId="375B8F4F" w14:textId="40E98D4B" w:rsidR="007F5D62" w:rsidRDefault="007F5D62" w:rsidP="007F5D62">
      <w:pPr>
        <w:rPr>
          <w:rFonts w:ascii="Times New Roman" w:hAnsi="Times New Roman" w:cs="Times New Roman"/>
          <w:szCs w:val="21"/>
        </w:rPr>
      </w:pPr>
      <w:r w:rsidRPr="007F5D62">
        <w:rPr>
          <w:rFonts w:ascii="Times New Roman" w:hAnsi="Times New Roman" w:cs="Times New Roman"/>
          <w:szCs w:val="21"/>
        </w:rPr>
        <w:t>The range of certainty is from -∞ to 0.02</w:t>
      </w:r>
    </w:p>
    <w:p w14:paraId="36B5A74D" w14:textId="77777777" w:rsidR="00CE5C35" w:rsidRDefault="00CE5C35" w:rsidP="007F5D62">
      <w:pPr>
        <w:rPr>
          <w:rFonts w:ascii="Times New Roman" w:hAnsi="Times New Roman" w:cs="Times New Roman"/>
          <w:szCs w:val="21"/>
        </w:rPr>
      </w:pPr>
    </w:p>
    <w:p w14:paraId="398B8B6B" w14:textId="77777777" w:rsidR="00CE5C35" w:rsidRDefault="00CE5C35" w:rsidP="007F5D62">
      <w:pPr>
        <w:rPr>
          <w:rFonts w:ascii="Times New Roman" w:hAnsi="Times New Roman" w:cs="Times New Roman"/>
          <w:szCs w:val="21"/>
        </w:rPr>
      </w:pPr>
    </w:p>
    <w:p w14:paraId="27D44F9E" w14:textId="77777777" w:rsidR="00CE5C35" w:rsidRDefault="00CE5C35" w:rsidP="007F5D62">
      <w:pPr>
        <w:rPr>
          <w:rFonts w:ascii="Times New Roman" w:hAnsi="Times New Roman" w:cs="Times New Roman"/>
          <w:szCs w:val="21"/>
        </w:rPr>
      </w:pPr>
    </w:p>
    <w:p w14:paraId="56A3DC44" w14:textId="77777777" w:rsidR="00CE5C35" w:rsidRDefault="00CE5C35" w:rsidP="007F5D62">
      <w:pPr>
        <w:rPr>
          <w:rFonts w:ascii="Times New Roman" w:hAnsi="Times New Roman" w:cs="Times New Roman"/>
          <w:szCs w:val="21"/>
        </w:rPr>
      </w:pPr>
    </w:p>
    <w:p w14:paraId="01D686C2" w14:textId="77777777" w:rsidR="00CE5C35" w:rsidRDefault="00CE5C35" w:rsidP="007F5D62">
      <w:pPr>
        <w:rPr>
          <w:rFonts w:ascii="Times New Roman" w:hAnsi="Times New Roman" w:cs="Times New Roman"/>
          <w:szCs w:val="21"/>
        </w:rPr>
      </w:pPr>
    </w:p>
    <w:p w14:paraId="79C26042" w14:textId="77777777" w:rsidR="00CE5C35" w:rsidRDefault="00CE5C35" w:rsidP="007F5D62">
      <w:pPr>
        <w:rPr>
          <w:rFonts w:ascii="Times New Roman" w:hAnsi="Times New Roman" w:cs="Times New Roman"/>
          <w:szCs w:val="21"/>
        </w:rPr>
      </w:pPr>
    </w:p>
    <w:p w14:paraId="131E8602" w14:textId="15B0BA34" w:rsidR="00CE5C35" w:rsidRPr="00CE5C35" w:rsidRDefault="00CE5C35" w:rsidP="007F5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Pr="00F5119F">
        <w:rPr>
          <w:rFonts w:ascii="Times New Roman" w:hAnsi="Times New Roman" w:cs="Times New Roman"/>
          <w:sz w:val="24"/>
          <w:szCs w:val="24"/>
        </w:rPr>
        <w:t xml:space="preserve">upplementary </w:t>
      </w:r>
      <w:r>
        <w:rPr>
          <w:rFonts w:ascii="Times New Roman" w:hAnsi="Times New Roman" w:cs="Times New Roman"/>
          <w:sz w:val="24"/>
          <w:szCs w:val="24"/>
        </w:rPr>
        <w:t>Figure S5.</w:t>
      </w:r>
      <w:r w:rsidRPr="00CE5C35">
        <w:t xml:space="preserve"> </w:t>
      </w:r>
      <w:r w:rsidRPr="00CE5C35">
        <w:rPr>
          <w:rFonts w:ascii="Times New Roman" w:hAnsi="Times New Roman" w:cs="Times New Roman"/>
          <w:sz w:val="24"/>
          <w:szCs w:val="24"/>
        </w:rPr>
        <w:t xml:space="preserve">Results of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E5C35">
        <w:rPr>
          <w:rFonts w:ascii="Times New Roman" w:hAnsi="Times New Roman" w:cs="Times New Roman"/>
          <w:sz w:val="24"/>
          <w:szCs w:val="24"/>
        </w:rPr>
        <w:t xml:space="preserve">robability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E5C35">
        <w:rPr>
          <w:rFonts w:ascii="Times New Roman" w:hAnsi="Times New Roman" w:cs="Times New Roman"/>
          <w:sz w:val="24"/>
          <w:szCs w:val="24"/>
        </w:rPr>
        <w:t xml:space="preserve">ssessment of </w:t>
      </w:r>
      <w:r>
        <w:rPr>
          <w:rFonts w:ascii="Times New Roman" w:hAnsi="Times New Roman" w:cs="Times New Roman"/>
          <w:sz w:val="24"/>
          <w:szCs w:val="24"/>
        </w:rPr>
        <w:t>Cd</w:t>
      </w:r>
    </w:p>
    <w:p w14:paraId="418D889A" w14:textId="0B5D0543" w:rsidR="007F5D62" w:rsidRDefault="007F5D62" w:rsidP="007F5D6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A9F8E5F" wp14:editId="26257A60">
            <wp:extent cx="4297680" cy="2682240"/>
            <wp:effectExtent l="0" t="0" r="7620" b="3810"/>
            <wp:docPr id="3" name="图表 3">
              <a:extLst xmlns:a="http://schemas.openxmlformats.org/drawingml/2006/main">
                <a:ext uri="{FF2B5EF4-FFF2-40B4-BE49-F238E27FC236}">
                  <a16:creationId xmlns:a16="http://schemas.microsoft.com/office/drawing/2014/main" id="{E8CD06CF-9518-1840-6210-AC58AC85735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F5DFF42" w14:textId="0FE2059A" w:rsidR="007F5D62" w:rsidRPr="007F5D62" w:rsidRDefault="007F5D62" w:rsidP="007F5D62">
      <w:pPr>
        <w:rPr>
          <w:rFonts w:ascii="Times New Roman" w:hAnsi="Times New Roman" w:cs="Times New Roman"/>
          <w:szCs w:val="21"/>
        </w:rPr>
      </w:pPr>
      <w:r w:rsidRPr="007F5D62">
        <w:rPr>
          <w:rFonts w:ascii="Times New Roman" w:hAnsi="Times New Roman" w:cs="Times New Roman"/>
          <w:szCs w:val="21"/>
        </w:rPr>
        <w:t>The level of certainty is 99.</w:t>
      </w:r>
      <w:r>
        <w:rPr>
          <w:rFonts w:ascii="Times New Roman" w:hAnsi="Times New Roman" w:cs="Times New Roman"/>
          <w:szCs w:val="21"/>
        </w:rPr>
        <w:t>99</w:t>
      </w:r>
      <w:r w:rsidRPr="007F5D62">
        <w:rPr>
          <w:rFonts w:ascii="Times New Roman" w:hAnsi="Times New Roman" w:cs="Times New Roman"/>
          <w:szCs w:val="21"/>
        </w:rPr>
        <w:t>%.</w:t>
      </w:r>
    </w:p>
    <w:p w14:paraId="44164E4F" w14:textId="4C971566" w:rsidR="007F5D62" w:rsidRPr="007F5D62" w:rsidRDefault="007F5D62" w:rsidP="007F5D62">
      <w:pPr>
        <w:rPr>
          <w:rFonts w:ascii="Times New Roman" w:hAnsi="Times New Roman" w:cs="Times New Roman"/>
          <w:szCs w:val="21"/>
        </w:rPr>
      </w:pPr>
      <w:r w:rsidRPr="007F5D62">
        <w:rPr>
          <w:rFonts w:ascii="Times New Roman" w:hAnsi="Times New Roman" w:cs="Times New Roman"/>
          <w:szCs w:val="21"/>
        </w:rPr>
        <w:t xml:space="preserve">The range of certainty is from -∞ to </w:t>
      </w:r>
      <w:r>
        <w:rPr>
          <w:rFonts w:ascii="Times New Roman" w:hAnsi="Times New Roman" w:cs="Times New Roman"/>
          <w:szCs w:val="21"/>
        </w:rPr>
        <w:t>0.02</w:t>
      </w:r>
    </w:p>
    <w:p w14:paraId="0C675DE1" w14:textId="77777777" w:rsidR="007F5D62" w:rsidRDefault="007F5D62" w:rsidP="007F5D62">
      <w:pPr>
        <w:rPr>
          <w:rFonts w:ascii="Times New Roman" w:hAnsi="Times New Roman" w:cs="Times New Roman"/>
          <w:sz w:val="24"/>
          <w:szCs w:val="24"/>
        </w:rPr>
      </w:pPr>
    </w:p>
    <w:p w14:paraId="472CD0EF" w14:textId="77777777" w:rsidR="007F5D62" w:rsidRDefault="007F5D62" w:rsidP="007F5D62">
      <w:pPr>
        <w:rPr>
          <w:rFonts w:ascii="Times New Roman" w:hAnsi="Times New Roman" w:cs="Times New Roman"/>
          <w:sz w:val="24"/>
          <w:szCs w:val="24"/>
        </w:rPr>
      </w:pPr>
    </w:p>
    <w:p w14:paraId="5F33B8E2" w14:textId="77777777" w:rsidR="007F5D62" w:rsidRDefault="007F5D62" w:rsidP="007F5D62">
      <w:pPr>
        <w:rPr>
          <w:rFonts w:ascii="Times New Roman" w:hAnsi="Times New Roman" w:cs="Times New Roman"/>
          <w:sz w:val="24"/>
          <w:szCs w:val="24"/>
        </w:rPr>
      </w:pPr>
    </w:p>
    <w:p w14:paraId="25C8E88C" w14:textId="77777777" w:rsidR="007F5D62" w:rsidRDefault="007F5D62" w:rsidP="007F5D62">
      <w:pPr>
        <w:rPr>
          <w:rFonts w:ascii="Times New Roman" w:hAnsi="Times New Roman" w:cs="Times New Roman"/>
          <w:sz w:val="24"/>
          <w:szCs w:val="24"/>
        </w:rPr>
      </w:pPr>
    </w:p>
    <w:p w14:paraId="37E40F3E" w14:textId="576A386E" w:rsidR="00CE5C35" w:rsidRPr="00CE5C35" w:rsidRDefault="00CE5C35" w:rsidP="00CE5C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F5119F">
        <w:rPr>
          <w:rFonts w:ascii="Times New Roman" w:hAnsi="Times New Roman" w:cs="Times New Roman"/>
          <w:sz w:val="24"/>
          <w:szCs w:val="24"/>
        </w:rPr>
        <w:t xml:space="preserve">upplementary </w:t>
      </w:r>
      <w:r>
        <w:rPr>
          <w:rFonts w:ascii="Times New Roman" w:hAnsi="Times New Roman" w:cs="Times New Roman"/>
          <w:sz w:val="24"/>
          <w:szCs w:val="24"/>
        </w:rPr>
        <w:t>Figure S6.</w:t>
      </w:r>
      <w:r w:rsidRPr="00CE5C35">
        <w:t xml:space="preserve"> </w:t>
      </w:r>
      <w:r w:rsidRPr="00CE5C35">
        <w:rPr>
          <w:rFonts w:ascii="Times New Roman" w:hAnsi="Times New Roman" w:cs="Times New Roman"/>
          <w:sz w:val="24"/>
          <w:szCs w:val="24"/>
        </w:rPr>
        <w:t xml:space="preserve">Results of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E5C35">
        <w:rPr>
          <w:rFonts w:ascii="Times New Roman" w:hAnsi="Times New Roman" w:cs="Times New Roman"/>
          <w:sz w:val="24"/>
          <w:szCs w:val="24"/>
        </w:rPr>
        <w:t xml:space="preserve">robability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E5C35">
        <w:rPr>
          <w:rFonts w:ascii="Times New Roman" w:hAnsi="Times New Roman" w:cs="Times New Roman"/>
          <w:sz w:val="24"/>
          <w:szCs w:val="24"/>
        </w:rPr>
        <w:t xml:space="preserve">ssessment of </w:t>
      </w:r>
      <w:r>
        <w:rPr>
          <w:rFonts w:ascii="Times New Roman" w:hAnsi="Times New Roman" w:cs="Times New Roman"/>
          <w:sz w:val="24"/>
          <w:szCs w:val="24"/>
        </w:rPr>
        <w:t>Mn</w:t>
      </w:r>
    </w:p>
    <w:p w14:paraId="0CA30DBF" w14:textId="77777777" w:rsidR="007F5D62" w:rsidRPr="00CE5C35" w:rsidRDefault="007F5D62" w:rsidP="007F5D62">
      <w:pPr>
        <w:rPr>
          <w:rFonts w:ascii="Times New Roman" w:hAnsi="Times New Roman" w:cs="Times New Roman"/>
          <w:sz w:val="24"/>
          <w:szCs w:val="24"/>
        </w:rPr>
      </w:pPr>
    </w:p>
    <w:p w14:paraId="1934C365" w14:textId="1838ABAC" w:rsidR="007F5D62" w:rsidRDefault="007F5D62" w:rsidP="007F5D6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11E9EE1" wp14:editId="1EC1FCD3">
            <wp:extent cx="4297680" cy="2682240"/>
            <wp:effectExtent l="0" t="0" r="7620" b="3810"/>
            <wp:docPr id="6" name="图表 6">
              <a:extLst xmlns:a="http://schemas.openxmlformats.org/drawingml/2006/main">
                <a:ext uri="{FF2B5EF4-FFF2-40B4-BE49-F238E27FC236}">
                  <a16:creationId xmlns:a16="http://schemas.microsoft.com/office/drawing/2014/main" id="{46E72388-F59D-3C27-08F2-527FC3C1E6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37801E7" w14:textId="20A59467" w:rsidR="007F5D62" w:rsidRPr="007F5D62" w:rsidRDefault="007F5D62" w:rsidP="007F5D62">
      <w:pPr>
        <w:rPr>
          <w:rFonts w:ascii="Times New Roman" w:hAnsi="Times New Roman" w:cs="Times New Roman"/>
          <w:szCs w:val="21"/>
        </w:rPr>
      </w:pPr>
      <w:r w:rsidRPr="007F5D62">
        <w:rPr>
          <w:rFonts w:ascii="Times New Roman" w:hAnsi="Times New Roman" w:cs="Times New Roman"/>
          <w:szCs w:val="21"/>
        </w:rPr>
        <w:t xml:space="preserve">The level of certainty is </w:t>
      </w:r>
      <w:r>
        <w:rPr>
          <w:rFonts w:ascii="Times New Roman" w:hAnsi="Times New Roman" w:cs="Times New Roman"/>
          <w:szCs w:val="21"/>
        </w:rPr>
        <w:t>68.77</w:t>
      </w:r>
      <w:r w:rsidRPr="007F5D62">
        <w:rPr>
          <w:rFonts w:ascii="Times New Roman" w:hAnsi="Times New Roman" w:cs="Times New Roman"/>
          <w:szCs w:val="21"/>
        </w:rPr>
        <w:t>%.</w:t>
      </w:r>
    </w:p>
    <w:p w14:paraId="1DEDCDB7" w14:textId="6E4B6145" w:rsidR="007F5D62" w:rsidRDefault="007F5D62" w:rsidP="007F5D62">
      <w:pPr>
        <w:rPr>
          <w:rFonts w:ascii="Times New Roman" w:hAnsi="Times New Roman" w:cs="Times New Roman"/>
          <w:szCs w:val="21"/>
        </w:rPr>
      </w:pPr>
      <w:r w:rsidRPr="007F5D62">
        <w:rPr>
          <w:rFonts w:ascii="Times New Roman" w:hAnsi="Times New Roman" w:cs="Times New Roman"/>
          <w:szCs w:val="21"/>
        </w:rPr>
        <w:t xml:space="preserve">The range of certainty is from -∞ to </w:t>
      </w:r>
      <w:r>
        <w:rPr>
          <w:rFonts w:ascii="Times New Roman" w:hAnsi="Times New Roman" w:cs="Times New Roman"/>
          <w:szCs w:val="21"/>
        </w:rPr>
        <w:t>0.05</w:t>
      </w:r>
    </w:p>
    <w:p w14:paraId="5ED70CB9" w14:textId="77777777" w:rsidR="00AC4EB2" w:rsidRDefault="00AC4EB2" w:rsidP="007F5D62">
      <w:pPr>
        <w:rPr>
          <w:rFonts w:ascii="Times New Roman" w:hAnsi="Times New Roman" w:cs="Times New Roman"/>
          <w:szCs w:val="21"/>
        </w:rPr>
      </w:pPr>
    </w:p>
    <w:p w14:paraId="2DD3CB37" w14:textId="77777777" w:rsidR="00AC4EB2" w:rsidRDefault="00AC4EB2" w:rsidP="007F5D62">
      <w:pPr>
        <w:rPr>
          <w:rFonts w:ascii="Times New Roman" w:hAnsi="Times New Roman" w:cs="Times New Roman"/>
          <w:szCs w:val="21"/>
        </w:rPr>
      </w:pPr>
    </w:p>
    <w:p w14:paraId="5B8F3FD4" w14:textId="77777777" w:rsidR="00AC4EB2" w:rsidRDefault="00AC4EB2" w:rsidP="007F5D62">
      <w:pPr>
        <w:rPr>
          <w:rFonts w:ascii="Times New Roman" w:hAnsi="Times New Roman" w:cs="Times New Roman"/>
          <w:szCs w:val="21"/>
        </w:rPr>
      </w:pPr>
    </w:p>
    <w:p w14:paraId="4217261B" w14:textId="77777777" w:rsidR="00AC4EB2" w:rsidRDefault="00AC4EB2" w:rsidP="007F5D62">
      <w:pPr>
        <w:rPr>
          <w:rFonts w:ascii="Times New Roman" w:hAnsi="Times New Roman" w:cs="Times New Roman"/>
          <w:szCs w:val="21"/>
        </w:rPr>
      </w:pPr>
    </w:p>
    <w:p w14:paraId="492B25D6" w14:textId="77777777" w:rsidR="00AC4EB2" w:rsidRDefault="00AC4EB2" w:rsidP="007F5D62">
      <w:pPr>
        <w:rPr>
          <w:rFonts w:ascii="Times New Roman" w:hAnsi="Times New Roman" w:cs="Times New Roman"/>
          <w:szCs w:val="21"/>
        </w:rPr>
      </w:pPr>
    </w:p>
    <w:p w14:paraId="0E0BCBDB" w14:textId="7E25FFC5" w:rsidR="00AC4EB2" w:rsidRPr="00AC4EB2" w:rsidRDefault="00AC4EB2" w:rsidP="007F5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Pr="00F5119F">
        <w:rPr>
          <w:rFonts w:ascii="Times New Roman" w:hAnsi="Times New Roman" w:cs="Times New Roman"/>
          <w:sz w:val="24"/>
          <w:szCs w:val="24"/>
        </w:rPr>
        <w:t xml:space="preserve">upplementary </w:t>
      </w:r>
      <w:r>
        <w:rPr>
          <w:rFonts w:ascii="Times New Roman" w:hAnsi="Times New Roman" w:cs="Times New Roman"/>
          <w:sz w:val="24"/>
          <w:szCs w:val="24"/>
        </w:rPr>
        <w:t>Figure S7.</w:t>
      </w:r>
      <w:r w:rsidRPr="00CE5C35">
        <w:t xml:space="preserve"> </w:t>
      </w:r>
      <w:r w:rsidRPr="00CE5C35">
        <w:rPr>
          <w:rFonts w:ascii="Times New Roman" w:hAnsi="Times New Roman" w:cs="Times New Roman"/>
          <w:sz w:val="24"/>
          <w:szCs w:val="24"/>
        </w:rPr>
        <w:t xml:space="preserve">Results of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E5C35">
        <w:rPr>
          <w:rFonts w:ascii="Times New Roman" w:hAnsi="Times New Roman" w:cs="Times New Roman"/>
          <w:sz w:val="24"/>
          <w:szCs w:val="24"/>
        </w:rPr>
        <w:t xml:space="preserve">robability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E5C35">
        <w:rPr>
          <w:rFonts w:ascii="Times New Roman" w:hAnsi="Times New Roman" w:cs="Times New Roman"/>
          <w:sz w:val="24"/>
          <w:szCs w:val="24"/>
        </w:rPr>
        <w:t xml:space="preserve">ssessment of </w:t>
      </w:r>
      <w:r>
        <w:rPr>
          <w:rFonts w:ascii="Times New Roman" w:hAnsi="Times New Roman" w:cs="Times New Roman"/>
          <w:sz w:val="24"/>
          <w:szCs w:val="24"/>
        </w:rPr>
        <w:t>Pb</w:t>
      </w:r>
    </w:p>
    <w:p w14:paraId="240BBCF6" w14:textId="6CD92294" w:rsidR="007F5D62" w:rsidRDefault="00384774" w:rsidP="007F5D6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1108545" wp14:editId="51D58B7F">
            <wp:extent cx="4297680" cy="2682240"/>
            <wp:effectExtent l="0" t="0" r="7620" b="3810"/>
            <wp:docPr id="9" name="图表 9">
              <a:extLst xmlns:a="http://schemas.openxmlformats.org/drawingml/2006/main">
                <a:ext uri="{FF2B5EF4-FFF2-40B4-BE49-F238E27FC236}">
                  <a16:creationId xmlns:a16="http://schemas.microsoft.com/office/drawing/2014/main" id="{1BF28C40-1DBA-7FFC-7116-AB70B63A60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EC76DCA" w14:textId="667BEEE4" w:rsidR="00384774" w:rsidRPr="007F5D62" w:rsidRDefault="00384774" w:rsidP="00384774">
      <w:pPr>
        <w:rPr>
          <w:rFonts w:ascii="Times New Roman" w:hAnsi="Times New Roman" w:cs="Times New Roman"/>
          <w:szCs w:val="21"/>
        </w:rPr>
      </w:pPr>
      <w:r w:rsidRPr="007F5D62">
        <w:rPr>
          <w:rFonts w:ascii="Times New Roman" w:hAnsi="Times New Roman" w:cs="Times New Roman"/>
          <w:szCs w:val="21"/>
        </w:rPr>
        <w:t xml:space="preserve">The level of certainty is </w:t>
      </w:r>
      <w:r>
        <w:rPr>
          <w:rFonts w:ascii="Times New Roman" w:hAnsi="Times New Roman" w:cs="Times New Roman"/>
          <w:szCs w:val="21"/>
        </w:rPr>
        <w:t>98.80</w:t>
      </w:r>
      <w:r w:rsidRPr="007F5D62">
        <w:rPr>
          <w:rFonts w:ascii="Times New Roman" w:hAnsi="Times New Roman" w:cs="Times New Roman"/>
          <w:szCs w:val="21"/>
        </w:rPr>
        <w:t>%.</w:t>
      </w:r>
    </w:p>
    <w:p w14:paraId="43CBECB6" w14:textId="3469931E" w:rsidR="00384774" w:rsidRPr="007F5D62" w:rsidRDefault="00384774" w:rsidP="00384774">
      <w:pPr>
        <w:rPr>
          <w:rFonts w:ascii="Times New Roman" w:hAnsi="Times New Roman" w:cs="Times New Roman"/>
          <w:szCs w:val="21"/>
        </w:rPr>
      </w:pPr>
      <w:r w:rsidRPr="007F5D62">
        <w:rPr>
          <w:rFonts w:ascii="Times New Roman" w:hAnsi="Times New Roman" w:cs="Times New Roman"/>
          <w:szCs w:val="21"/>
        </w:rPr>
        <w:t xml:space="preserve">The range of certainty is from -∞ to </w:t>
      </w:r>
      <w:r>
        <w:rPr>
          <w:rFonts w:ascii="Times New Roman" w:hAnsi="Times New Roman" w:cs="Times New Roman"/>
          <w:szCs w:val="21"/>
        </w:rPr>
        <w:t>0.50</w:t>
      </w:r>
    </w:p>
    <w:p w14:paraId="7B081D73" w14:textId="77777777" w:rsidR="00384774" w:rsidRDefault="00384774" w:rsidP="007F5D62">
      <w:pPr>
        <w:rPr>
          <w:rFonts w:ascii="Times New Roman" w:hAnsi="Times New Roman" w:cs="Times New Roman"/>
          <w:sz w:val="24"/>
          <w:szCs w:val="24"/>
        </w:rPr>
      </w:pPr>
    </w:p>
    <w:p w14:paraId="695D3D68" w14:textId="77777777" w:rsidR="00384774" w:rsidRDefault="00384774" w:rsidP="007F5D62">
      <w:pPr>
        <w:rPr>
          <w:rFonts w:ascii="Times New Roman" w:hAnsi="Times New Roman" w:cs="Times New Roman"/>
          <w:sz w:val="24"/>
          <w:szCs w:val="24"/>
        </w:rPr>
      </w:pPr>
    </w:p>
    <w:p w14:paraId="45CB3CE6" w14:textId="77777777" w:rsidR="00384774" w:rsidRDefault="00384774" w:rsidP="007F5D62">
      <w:pPr>
        <w:rPr>
          <w:rFonts w:ascii="Times New Roman" w:hAnsi="Times New Roman" w:cs="Times New Roman"/>
          <w:sz w:val="24"/>
          <w:szCs w:val="24"/>
        </w:rPr>
      </w:pPr>
    </w:p>
    <w:p w14:paraId="1F66C3E3" w14:textId="77777777" w:rsidR="00384774" w:rsidRDefault="00384774" w:rsidP="007F5D62">
      <w:pPr>
        <w:rPr>
          <w:rFonts w:ascii="Times New Roman" w:hAnsi="Times New Roman" w:cs="Times New Roman"/>
          <w:sz w:val="24"/>
          <w:szCs w:val="24"/>
        </w:rPr>
      </w:pPr>
    </w:p>
    <w:p w14:paraId="12D21C7C" w14:textId="7FE05A18" w:rsidR="00AC4EB2" w:rsidRPr="00CE5C35" w:rsidRDefault="00AC4EB2" w:rsidP="00AC4E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F5119F">
        <w:rPr>
          <w:rFonts w:ascii="Times New Roman" w:hAnsi="Times New Roman" w:cs="Times New Roman"/>
          <w:sz w:val="24"/>
          <w:szCs w:val="24"/>
        </w:rPr>
        <w:t xml:space="preserve">upplementary </w:t>
      </w:r>
      <w:r>
        <w:rPr>
          <w:rFonts w:ascii="Times New Roman" w:hAnsi="Times New Roman" w:cs="Times New Roman"/>
          <w:sz w:val="24"/>
          <w:szCs w:val="24"/>
        </w:rPr>
        <w:t>Figure S8.</w:t>
      </w:r>
      <w:r w:rsidRPr="00CE5C35">
        <w:t xml:space="preserve"> </w:t>
      </w:r>
      <w:r w:rsidRPr="00CE5C35">
        <w:rPr>
          <w:rFonts w:ascii="Times New Roman" w:hAnsi="Times New Roman" w:cs="Times New Roman"/>
          <w:sz w:val="24"/>
          <w:szCs w:val="24"/>
        </w:rPr>
        <w:t xml:space="preserve">Results of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E5C35">
        <w:rPr>
          <w:rFonts w:ascii="Times New Roman" w:hAnsi="Times New Roman" w:cs="Times New Roman"/>
          <w:sz w:val="24"/>
          <w:szCs w:val="24"/>
        </w:rPr>
        <w:t xml:space="preserve">robability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E5C35">
        <w:rPr>
          <w:rFonts w:ascii="Times New Roman" w:hAnsi="Times New Roman" w:cs="Times New Roman"/>
          <w:sz w:val="24"/>
          <w:szCs w:val="24"/>
        </w:rPr>
        <w:t xml:space="preserve">ssessment of </w:t>
      </w:r>
      <w:r>
        <w:rPr>
          <w:rFonts w:ascii="Times New Roman" w:hAnsi="Times New Roman" w:cs="Times New Roman"/>
          <w:sz w:val="24"/>
          <w:szCs w:val="24"/>
        </w:rPr>
        <w:t>Cu</w:t>
      </w:r>
    </w:p>
    <w:p w14:paraId="71B96E84" w14:textId="77777777" w:rsidR="00384774" w:rsidRPr="00AC4EB2" w:rsidRDefault="00384774" w:rsidP="007F5D62">
      <w:pPr>
        <w:rPr>
          <w:rFonts w:ascii="Times New Roman" w:hAnsi="Times New Roman" w:cs="Times New Roman"/>
          <w:sz w:val="24"/>
          <w:szCs w:val="24"/>
        </w:rPr>
      </w:pPr>
    </w:p>
    <w:p w14:paraId="13E0D415" w14:textId="1C3C9EDD" w:rsidR="00384774" w:rsidRDefault="00384774" w:rsidP="007F5D6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CA745EC" wp14:editId="18324D12">
            <wp:extent cx="4297680" cy="2682240"/>
            <wp:effectExtent l="0" t="0" r="0" b="0"/>
            <wp:docPr id="11" name="图表 11">
              <a:extLst xmlns:a="http://schemas.openxmlformats.org/drawingml/2006/main">
                <a:ext uri="{FF2B5EF4-FFF2-40B4-BE49-F238E27FC236}">
                  <a16:creationId xmlns:a16="http://schemas.microsoft.com/office/drawing/2014/main" id="{E1D5C7F7-ACAA-FFCD-655D-B0EBCF1863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E66D94B" w14:textId="6F3BFA4F" w:rsidR="00384774" w:rsidRPr="007F5D62" w:rsidRDefault="00384774" w:rsidP="00384774">
      <w:pPr>
        <w:rPr>
          <w:rFonts w:ascii="Times New Roman" w:hAnsi="Times New Roman" w:cs="Times New Roman"/>
          <w:szCs w:val="21"/>
        </w:rPr>
      </w:pPr>
      <w:r w:rsidRPr="007F5D62">
        <w:rPr>
          <w:rFonts w:ascii="Times New Roman" w:hAnsi="Times New Roman" w:cs="Times New Roman"/>
          <w:szCs w:val="21"/>
        </w:rPr>
        <w:t xml:space="preserve">The level of certainty is </w:t>
      </w:r>
      <w:r>
        <w:rPr>
          <w:rFonts w:ascii="Times New Roman" w:hAnsi="Times New Roman" w:cs="Times New Roman"/>
          <w:szCs w:val="21"/>
        </w:rPr>
        <w:t>22.43</w:t>
      </w:r>
      <w:r w:rsidRPr="007F5D62">
        <w:rPr>
          <w:rFonts w:ascii="Times New Roman" w:hAnsi="Times New Roman" w:cs="Times New Roman"/>
          <w:szCs w:val="21"/>
        </w:rPr>
        <w:t>%.</w:t>
      </w:r>
    </w:p>
    <w:p w14:paraId="3AAACEF0" w14:textId="6E37D66D" w:rsidR="00384774" w:rsidRDefault="00384774" w:rsidP="00384774">
      <w:pPr>
        <w:rPr>
          <w:rFonts w:ascii="Times New Roman" w:hAnsi="Times New Roman" w:cs="Times New Roman"/>
          <w:szCs w:val="21"/>
        </w:rPr>
      </w:pPr>
      <w:r w:rsidRPr="007F5D62">
        <w:rPr>
          <w:rFonts w:ascii="Times New Roman" w:hAnsi="Times New Roman" w:cs="Times New Roman"/>
          <w:szCs w:val="21"/>
        </w:rPr>
        <w:t xml:space="preserve">The range of certainty is from -∞ to </w:t>
      </w:r>
      <w:r>
        <w:rPr>
          <w:rFonts w:ascii="Times New Roman" w:hAnsi="Times New Roman" w:cs="Times New Roman"/>
          <w:szCs w:val="21"/>
        </w:rPr>
        <w:t>0.04</w:t>
      </w:r>
    </w:p>
    <w:p w14:paraId="144C497C" w14:textId="77777777" w:rsidR="00AC4EB2" w:rsidRDefault="00AC4EB2" w:rsidP="00384774">
      <w:pPr>
        <w:rPr>
          <w:rFonts w:ascii="Times New Roman" w:hAnsi="Times New Roman" w:cs="Times New Roman"/>
          <w:szCs w:val="21"/>
        </w:rPr>
      </w:pPr>
    </w:p>
    <w:p w14:paraId="5442F07A" w14:textId="77777777" w:rsidR="00AC4EB2" w:rsidRDefault="00AC4EB2" w:rsidP="00384774">
      <w:pPr>
        <w:rPr>
          <w:rFonts w:ascii="Times New Roman" w:hAnsi="Times New Roman" w:cs="Times New Roman"/>
          <w:szCs w:val="21"/>
        </w:rPr>
      </w:pPr>
    </w:p>
    <w:p w14:paraId="3BD2F689" w14:textId="77777777" w:rsidR="00AC4EB2" w:rsidRDefault="00AC4EB2" w:rsidP="00384774">
      <w:pPr>
        <w:rPr>
          <w:rFonts w:ascii="Times New Roman" w:hAnsi="Times New Roman" w:cs="Times New Roman"/>
          <w:szCs w:val="21"/>
        </w:rPr>
      </w:pPr>
    </w:p>
    <w:p w14:paraId="2D5BB04D" w14:textId="77777777" w:rsidR="00AC4EB2" w:rsidRDefault="00AC4EB2" w:rsidP="00384774">
      <w:pPr>
        <w:rPr>
          <w:rFonts w:ascii="Times New Roman" w:hAnsi="Times New Roman" w:cs="Times New Roman"/>
          <w:szCs w:val="21"/>
        </w:rPr>
      </w:pPr>
    </w:p>
    <w:p w14:paraId="2E7F118E" w14:textId="77777777" w:rsidR="00AC4EB2" w:rsidRDefault="00AC4EB2" w:rsidP="00384774">
      <w:pPr>
        <w:rPr>
          <w:rFonts w:ascii="Times New Roman" w:hAnsi="Times New Roman" w:cs="Times New Roman"/>
          <w:szCs w:val="21"/>
        </w:rPr>
      </w:pPr>
    </w:p>
    <w:p w14:paraId="080819C8" w14:textId="26B018AB" w:rsidR="00AC4EB2" w:rsidRPr="00AC4EB2" w:rsidRDefault="00AC4EB2" w:rsidP="003847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Pr="00F5119F">
        <w:rPr>
          <w:rFonts w:ascii="Times New Roman" w:hAnsi="Times New Roman" w:cs="Times New Roman"/>
          <w:sz w:val="24"/>
          <w:szCs w:val="24"/>
        </w:rPr>
        <w:t xml:space="preserve">upplementary </w:t>
      </w:r>
      <w:r>
        <w:rPr>
          <w:rFonts w:ascii="Times New Roman" w:hAnsi="Times New Roman" w:cs="Times New Roman"/>
          <w:sz w:val="24"/>
          <w:szCs w:val="24"/>
        </w:rPr>
        <w:t>Figure S9.</w:t>
      </w:r>
      <w:r w:rsidRPr="00CE5C35">
        <w:t xml:space="preserve"> </w:t>
      </w:r>
      <w:r w:rsidRPr="00CE5C35">
        <w:rPr>
          <w:rFonts w:ascii="Times New Roman" w:hAnsi="Times New Roman" w:cs="Times New Roman"/>
          <w:sz w:val="24"/>
          <w:szCs w:val="24"/>
        </w:rPr>
        <w:t xml:space="preserve">Results of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E5C35">
        <w:rPr>
          <w:rFonts w:ascii="Times New Roman" w:hAnsi="Times New Roman" w:cs="Times New Roman"/>
          <w:sz w:val="24"/>
          <w:szCs w:val="24"/>
        </w:rPr>
        <w:t xml:space="preserve">robability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E5C35">
        <w:rPr>
          <w:rFonts w:ascii="Times New Roman" w:hAnsi="Times New Roman" w:cs="Times New Roman"/>
          <w:sz w:val="24"/>
          <w:szCs w:val="24"/>
        </w:rPr>
        <w:t xml:space="preserve">ssessment of </w:t>
      </w:r>
      <w:r>
        <w:rPr>
          <w:rFonts w:ascii="Times New Roman" w:hAnsi="Times New Roman" w:cs="Times New Roman"/>
          <w:sz w:val="24"/>
          <w:szCs w:val="24"/>
        </w:rPr>
        <w:t>Ni</w:t>
      </w:r>
    </w:p>
    <w:p w14:paraId="50C74CBE" w14:textId="57F93A9C" w:rsidR="00384774" w:rsidRDefault="00384774" w:rsidP="007F5D6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F4A4F83" wp14:editId="30D90A17">
            <wp:extent cx="4297680" cy="2682240"/>
            <wp:effectExtent l="0" t="0" r="7620" b="3810"/>
            <wp:docPr id="8" name="图表 8">
              <a:extLst xmlns:a="http://schemas.openxmlformats.org/drawingml/2006/main">
                <a:ext uri="{FF2B5EF4-FFF2-40B4-BE49-F238E27FC236}">
                  <a16:creationId xmlns:a16="http://schemas.microsoft.com/office/drawing/2014/main" id="{C45F082F-6184-BC73-CE72-E1BBB0F0B5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1BAEBF9" w14:textId="0AD5F9E4" w:rsidR="00384774" w:rsidRPr="007F5D62" w:rsidRDefault="00384774" w:rsidP="00384774">
      <w:pPr>
        <w:rPr>
          <w:rFonts w:ascii="Times New Roman" w:hAnsi="Times New Roman" w:cs="Times New Roman"/>
          <w:szCs w:val="21"/>
        </w:rPr>
      </w:pPr>
      <w:r w:rsidRPr="007F5D62">
        <w:rPr>
          <w:rFonts w:ascii="Times New Roman" w:hAnsi="Times New Roman" w:cs="Times New Roman"/>
          <w:szCs w:val="21"/>
        </w:rPr>
        <w:t xml:space="preserve">The level of certainty is </w:t>
      </w:r>
      <w:r>
        <w:rPr>
          <w:rFonts w:ascii="Times New Roman" w:hAnsi="Times New Roman" w:cs="Times New Roman"/>
          <w:szCs w:val="21"/>
        </w:rPr>
        <w:t>43.03</w:t>
      </w:r>
      <w:r w:rsidRPr="007F5D62">
        <w:rPr>
          <w:rFonts w:ascii="Times New Roman" w:hAnsi="Times New Roman" w:cs="Times New Roman"/>
          <w:szCs w:val="21"/>
        </w:rPr>
        <w:t>%.</w:t>
      </w:r>
    </w:p>
    <w:p w14:paraId="4AFB6ED9" w14:textId="2FFFFEFF" w:rsidR="00384774" w:rsidRPr="007F5D62" w:rsidRDefault="00384774" w:rsidP="00384774">
      <w:pPr>
        <w:rPr>
          <w:rFonts w:ascii="Times New Roman" w:hAnsi="Times New Roman" w:cs="Times New Roman"/>
          <w:szCs w:val="21"/>
        </w:rPr>
      </w:pPr>
      <w:r w:rsidRPr="007F5D62">
        <w:rPr>
          <w:rFonts w:ascii="Times New Roman" w:hAnsi="Times New Roman" w:cs="Times New Roman"/>
          <w:szCs w:val="21"/>
        </w:rPr>
        <w:t xml:space="preserve">The range of certainty is from -∞ to </w:t>
      </w:r>
      <w:r>
        <w:rPr>
          <w:rFonts w:ascii="Times New Roman" w:hAnsi="Times New Roman" w:cs="Times New Roman"/>
          <w:szCs w:val="21"/>
        </w:rPr>
        <w:t>0.01</w:t>
      </w:r>
    </w:p>
    <w:p w14:paraId="4C2710C3" w14:textId="77777777" w:rsidR="00384774" w:rsidRDefault="00384774" w:rsidP="007F5D62">
      <w:pPr>
        <w:rPr>
          <w:rFonts w:ascii="Times New Roman" w:hAnsi="Times New Roman" w:cs="Times New Roman"/>
          <w:sz w:val="24"/>
          <w:szCs w:val="24"/>
        </w:rPr>
      </w:pPr>
    </w:p>
    <w:p w14:paraId="3D4089A7" w14:textId="77777777" w:rsidR="00384774" w:rsidRDefault="00384774" w:rsidP="007F5D62">
      <w:pPr>
        <w:rPr>
          <w:rFonts w:ascii="Times New Roman" w:hAnsi="Times New Roman" w:cs="Times New Roman"/>
          <w:sz w:val="24"/>
          <w:szCs w:val="24"/>
        </w:rPr>
      </w:pPr>
    </w:p>
    <w:p w14:paraId="0C51EE20" w14:textId="77777777" w:rsidR="00384774" w:rsidRDefault="00384774" w:rsidP="007F5D62">
      <w:pPr>
        <w:rPr>
          <w:rFonts w:ascii="Times New Roman" w:hAnsi="Times New Roman" w:cs="Times New Roman"/>
          <w:sz w:val="24"/>
          <w:szCs w:val="24"/>
        </w:rPr>
      </w:pPr>
    </w:p>
    <w:p w14:paraId="43A33FE0" w14:textId="77777777" w:rsidR="00384774" w:rsidRDefault="00384774" w:rsidP="007F5D62">
      <w:pPr>
        <w:rPr>
          <w:rFonts w:ascii="Times New Roman" w:hAnsi="Times New Roman" w:cs="Times New Roman"/>
          <w:sz w:val="24"/>
          <w:szCs w:val="24"/>
        </w:rPr>
      </w:pPr>
    </w:p>
    <w:p w14:paraId="030188F2" w14:textId="4CAF26DF" w:rsidR="00384774" w:rsidRPr="00AC4EB2" w:rsidRDefault="00AC4EB2" w:rsidP="007F5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F5119F">
        <w:rPr>
          <w:rFonts w:ascii="Times New Roman" w:hAnsi="Times New Roman" w:cs="Times New Roman"/>
          <w:sz w:val="24"/>
          <w:szCs w:val="24"/>
        </w:rPr>
        <w:t xml:space="preserve">upplementary </w:t>
      </w:r>
      <w:r>
        <w:rPr>
          <w:rFonts w:ascii="Times New Roman" w:hAnsi="Times New Roman" w:cs="Times New Roman"/>
          <w:sz w:val="24"/>
          <w:szCs w:val="24"/>
        </w:rPr>
        <w:t>Figure S10.</w:t>
      </w:r>
      <w:r w:rsidRPr="00CE5C35">
        <w:t xml:space="preserve"> </w:t>
      </w:r>
      <w:r w:rsidRPr="00CE5C35">
        <w:rPr>
          <w:rFonts w:ascii="Times New Roman" w:hAnsi="Times New Roman" w:cs="Times New Roman"/>
          <w:sz w:val="24"/>
          <w:szCs w:val="24"/>
        </w:rPr>
        <w:t xml:space="preserve">Results of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E5C35">
        <w:rPr>
          <w:rFonts w:ascii="Times New Roman" w:hAnsi="Times New Roman" w:cs="Times New Roman"/>
          <w:sz w:val="24"/>
          <w:szCs w:val="24"/>
        </w:rPr>
        <w:t xml:space="preserve">robability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E5C35">
        <w:rPr>
          <w:rFonts w:ascii="Times New Roman" w:hAnsi="Times New Roman" w:cs="Times New Roman"/>
          <w:sz w:val="24"/>
          <w:szCs w:val="24"/>
        </w:rPr>
        <w:t xml:space="preserve">ssessment of </w:t>
      </w:r>
      <w:r>
        <w:rPr>
          <w:rFonts w:ascii="Times New Roman" w:hAnsi="Times New Roman" w:cs="Times New Roman"/>
          <w:sz w:val="24"/>
          <w:szCs w:val="24"/>
        </w:rPr>
        <w:t>Cr</w:t>
      </w:r>
    </w:p>
    <w:p w14:paraId="36FA47B1" w14:textId="4C9CD70D" w:rsidR="00384774" w:rsidRDefault="00384774" w:rsidP="007F5D6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7F2D907" wp14:editId="7A7CAA12">
            <wp:extent cx="4297680" cy="2682240"/>
            <wp:effectExtent l="0" t="0" r="7620" b="3810"/>
            <wp:docPr id="7" name="图表 7">
              <a:extLst xmlns:a="http://schemas.openxmlformats.org/drawingml/2006/main">
                <a:ext uri="{FF2B5EF4-FFF2-40B4-BE49-F238E27FC236}">
                  <a16:creationId xmlns:a16="http://schemas.microsoft.com/office/drawing/2014/main" id="{1E3808BE-B0DD-FADE-0D2C-96E0D1AD3E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79851E6" w14:textId="69A7D3F9" w:rsidR="00384774" w:rsidRPr="007F5D62" w:rsidRDefault="00384774" w:rsidP="00384774">
      <w:pPr>
        <w:rPr>
          <w:rFonts w:ascii="Times New Roman" w:hAnsi="Times New Roman" w:cs="Times New Roman"/>
          <w:szCs w:val="21"/>
        </w:rPr>
      </w:pPr>
      <w:r w:rsidRPr="007F5D62">
        <w:rPr>
          <w:rFonts w:ascii="Times New Roman" w:hAnsi="Times New Roman" w:cs="Times New Roman"/>
          <w:szCs w:val="21"/>
        </w:rPr>
        <w:t xml:space="preserve">The level of certainty is </w:t>
      </w:r>
      <w:r>
        <w:rPr>
          <w:rFonts w:ascii="Times New Roman" w:hAnsi="Times New Roman" w:cs="Times New Roman"/>
          <w:szCs w:val="21"/>
        </w:rPr>
        <w:t>92.77</w:t>
      </w:r>
      <w:r w:rsidRPr="007F5D62">
        <w:rPr>
          <w:rFonts w:ascii="Times New Roman" w:hAnsi="Times New Roman" w:cs="Times New Roman"/>
          <w:szCs w:val="21"/>
        </w:rPr>
        <w:t>%.</w:t>
      </w:r>
    </w:p>
    <w:p w14:paraId="098ABB7A" w14:textId="77777777" w:rsidR="00384774" w:rsidRPr="007F5D62" w:rsidRDefault="00384774" w:rsidP="00384774">
      <w:pPr>
        <w:rPr>
          <w:rFonts w:ascii="Times New Roman" w:hAnsi="Times New Roman" w:cs="Times New Roman"/>
          <w:szCs w:val="21"/>
        </w:rPr>
      </w:pPr>
      <w:r w:rsidRPr="007F5D62">
        <w:rPr>
          <w:rFonts w:ascii="Times New Roman" w:hAnsi="Times New Roman" w:cs="Times New Roman"/>
          <w:szCs w:val="21"/>
        </w:rPr>
        <w:t xml:space="preserve">The range of certainty is from -∞ to </w:t>
      </w:r>
      <w:r>
        <w:rPr>
          <w:rFonts w:ascii="Times New Roman" w:hAnsi="Times New Roman" w:cs="Times New Roman"/>
          <w:szCs w:val="21"/>
        </w:rPr>
        <w:t>0.01</w:t>
      </w:r>
    </w:p>
    <w:p w14:paraId="57C5BAB3" w14:textId="77777777" w:rsidR="00384774" w:rsidRPr="00384774" w:rsidRDefault="00384774" w:rsidP="007F5D62">
      <w:pPr>
        <w:rPr>
          <w:rFonts w:ascii="Times New Roman" w:hAnsi="Times New Roman" w:cs="Times New Roman"/>
          <w:sz w:val="24"/>
          <w:szCs w:val="24"/>
        </w:rPr>
      </w:pPr>
    </w:p>
    <w:sectPr w:rsidR="00384774" w:rsidRPr="003847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DEFAA" w14:textId="77777777" w:rsidR="00D80DF8" w:rsidRDefault="00D80DF8" w:rsidP="00997A52">
      <w:r>
        <w:separator/>
      </w:r>
    </w:p>
  </w:endnote>
  <w:endnote w:type="continuationSeparator" w:id="0">
    <w:p w14:paraId="214D6612" w14:textId="77777777" w:rsidR="00D80DF8" w:rsidRDefault="00D80DF8" w:rsidP="00997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91E6" w14:textId="77777777" w:rsidR="00D80DF8" w:rsidRDefault="00D80DF8" w:rsidP="00997A52">
      <w:r>
        <w:separator/>
      </w:r>
    </w:p>
  </w:footnote>
  <w:footnote w:type="continuationSeparator" w:id="0">
    <w:p w14:paraId="0E3AD39A" w14:textId="77777777" w:rsidR="00D80DF8" w:rsidRDefault="00D80DF8" w:rsidP="00997A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135"/>
    <w:rsid w:val="000E22B9"/>
    <w:rsid w:val="00122AF7"/>
    <w:rsid w:val="00207F2F"/>
    <w:rsid w:val="00214EDA"/>
    <w:rsid w:val="00287C6B"/>
    <w:rsid w:val="003539A8"/>
    <w:rsid w:val="00384774"/>
    <w:rsid w:val="00411A57"/>
    <w:rsid w:val="00431135"/>
    <w:rsid w:val="00483045"/>
    <w:rsid w:val="00486D4E"/>
    <w:rsid w:val="00780576"/>
    <w:rsid w:val="007F5D62"/>
    <w:rsid w:val="008228D3"/>
    <w:rsid w:val="00866BD5"/>
    <w:rsid w:val="009045DD"/>
    <w:rsid w:val="00997A52"/>
    <w:rsid w:val="00AB750D"/>
    <w:rsid w:val="00AC4EB2"/>
    <w:rsid w:val="00BC5B0C"/>
    <w:rsid w:val="00C36375"/>
    <w:rsid w:val="00CB18C9"/>
    <w:rsid w:val="00CE5C35"/>
    <w:rsid w:val="00CF1E36"/>
    <w:rsid w:val="00D03A69"/>
    <w:rsid w:val="00D3040E"/>
    <w:rsid w:val="00D76876"/>
    <w:rsid w:val="00D80DF8"/>
    <w:rsid w:val="00E61DCE"/>
    <w:rsid w:val="00E66249"/>
    <w:rsid w:val="00E9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72B6A"/>
  <w15:chartTrackingRefBased/>
  <w15:docId w15:val="{B316A023-2E7A-46A8-A730-2C59B772F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A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A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7A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7A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7A52"/>
    <w:rPr>
      <w:sz w:val="18"/>
      <w:szCs w:val="18"/>
    </w:rPr>
  </w:style>
  <w:style w:type="table" w:styleId="a7">
    <w:name w:val="Table Grid"/>
    <w:basedOn w:val="a1"/>
    <w:uiPriority w:val="39"/>
    <w:rsid w:val="00997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0.bin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2.bin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3.bin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4.bin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5.bin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6.bin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7.bin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8.bin"/><Relationship Id="rId1" Type="http://schemas.openxmlformats.org/officeDocument/2006/relationships/themeOverride" Target="../theme/themeOverride1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9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altLang="zh-CN" sz="1200"/>
            </a:pPr>
            <a:r>
              <a:rPr lang="en-US" sz="1200"/>
              <a:t>Formaldehyde</a:t>
            </a:r>
          </a:p>
        </c:rich>
      </c:tx>
      <c:layout>
        <c:manualLayout>
          <c:xMode val="edge"/>
          <c:yMode val="edge"/>
          <c:x val="0.40625732953593569"/>
          <c:y val="2.840909090909090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5173186463394203"/>
          <c:y val="0.1261837121212121"/>
          <c:w val="0.80886129260438189"/>
          <c:h val="0.77276641911238364"/>
        </c:manualLayout>
      </c:layout>
      <c:barChart>
        <c:barDir val="col"/>
        <c:grouping val="stacked"/>
        <c:varyColors val="0"/>
        <c:ser>
          <c:idx val="0"/>
          <c:order val="0"/>
          <c:spPr>
            <a:solidFill>
              <a:srgbClr val="1932EB"/>
            </a:solidFill>
            <a:ln w="0">
              <a:solidFill>
                <a:srgbClr val="969696"/>
              </a:solidFill>
            </a:ln>
          </c:spPr>
          <c:invertIfNegative val="0"/>
          <c:cat>
            <c:numRef>
              <c:f>[REPORT1]报表!$Z$5:$Z$79</c:f>
              <c:numCache>
                <c:formatCode>General</c:formatCode>
                <c:ptCount val="75"/>
                <c:pt idx="0" formatCode="#,##0.00">
                  <c:v>0.54327311293024894</c:v>
                </c:pt>
                <c:pt idx="18" formatCode="#,##0.00">
                  <c:v>20.209541161969693</c:v>
                </c:pt>
                <c:pt idx="36" formatCode="#,##0.00">
                  <c:v>39.875809211009134</c:v>
                </c:pt>
                <c:pt idx="54" formatCode="#,##0.00">
                  <c:v>59.542077260048579</c:v>
                </c:pt>
                <c:pt idx="74" formatCode="#,##0.00">
                  <c:v>81.393486203425738</c:v>
                </c:pt>
              </c:numCache>
            </c:numRef>
          </c:cat>
          <c:val>
            <c:numRef>
              <c:f>[REPORT1]报表!$AA$5:$AA$79</c:f>
              <c:numCache>
                <c:formatCode>####0</c:formatCode>
                <c:ptCount val="75"/>
                <c:pt idx="0">
                  <c:v>3881</c:v>
                </c:pt>
                <c:pt idx="1">
                  <c:v>1631</c:v>
                </c:pt>
                <c:pt idx="2">
                  <c:v>951</c:v>
                </c:pt>
                <c:pt idx="3">
                  <c:v>626</c:v>
                </c:pt>
                <c:pt idx="4">
                  <c:v>454</c:v>
                </c:pt>
                <c:pt idx="5">
                  <c:v>306</c:v>
                </c:pt>
                <c:pt idx="6">
                  <c:v>249</c:v>
                </c:pt>
                <c:pt idx="7">
                  <c:v>203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CF-40BC-8B7B-9BA9F864541D}"/>
            </c:ext>
          </c:extLst>
        </c:ser>
        <c:ser>
          <c:idx val="1"/>
          <c:order val="1"/>
          <c:spPr>
            <a:pattFill prst="pct5">
              <a:fgClr>
                <a:srgbClr val="808080"/>
              </a:fgClr>
              <a:bgClr>
                <a:srgbClr val="FF8080"/>
              </a:bgClr>
            </a:pattFill>
            <a:ln w="0">
              <a:solidFill>
                <a:srgbClr val="969696"/>
              </a:solidFill>
              <a:prstDash val="solid"/>
            </a:ln>
          </c:spPr>
          <c:invertIfNegative val="0"/>
          <c:cat>
            <c:numRef>
              <c:f>[REPORT1]报表!$Z$5:$Z$79</c:f>
              <c:numCache>
                <c:formatCode>General</c:formatCode>
                <c:ptCount val="75"/>
                <c:pt idx="0" formatCode="#,##0.00">
                  <c:v>0.54327311293024894</c:v>
                </c:pt>
                <c:pt idx="18" formatCode="#,##0.00">
                  <c:v>20.209541161969693</c:v>
                </c:pt>
                <c:pt idx="36" formatCode="#,##0.00">
                  <c:v>39.875809211009134</c:v>
                </c:pt>
                <c:pt idx="54" formatCode="#,##0.00">
                  <c:v>59.542077260048579</c:v>
                </c:pt>
                <c:pt idx="74" formatCode="#,##0.00">
                  <c:v>81.393486203425738</c:v>
                </c:pt>
              </c:numCache>
            </c:numRef>
          </c:cat>
          <c:val>
            <c:numRef>
              <c:f>[REPORT1]报表!$AB$5:$AB$79</c:f>
              <c:numCache>
                <c:formatCode>General</c:formatCode>
                <c:ptCount val="75"/>
                <c:pt idx="8" formatCode="####0">
                  <c:v>164</c:v>
                </c:pt>
                <c:pt idx="9" formatCode="####0">
                  <c:v>148</c:v>
                </c:pt>
                <c:pt idx="10" formatCode="####0">
                  <c:v>136</c:v>
                </c:pt>
                <c:pt idx="11" formatCode="####0">
                  <c:v>96</c:v>
                </c:pt>
                <c:pt idx="12" formatCode="####0">
                  <c:v>78</c:v>
                </c:pt>
                <c:pt idx="13" formatCode="####0">
                  <c:v>84</c:v>
                </c:pt>
                <c:pt idx="14" formatCode="####0">
                  <c:v>62</c:v>
                </c:pt>
                <c:pt idx="15" formatCode="####0">
                  <c:v>46</c:v>
                </c:pt>
                <c:pt idx="16" formatCode="####0">
                  <c:v>56</c:v>
                </c:pt>
                <c:pt idx="17" formatCode="####0">
                  <c:v>48</c:v>
                </c:pt>
                <c:pt idx="18" formatCode="####0">
                  <c:v>50</c:v>
                </c:pt>
                <c:pt idx="19" formatCode="####0">
                  <c:v>44</c:v>
                </c:pt>
                <c:pt idx="20" formatCode="####0">
                  <c:v>36</c:v>
                </c:pt>
                <c:pt idx="21" formatCode="####0">
                  <c:v>38</c:v>
                </c:pt>
                <c:pt idx="22" formatCode="####0">
                  <c:v>33</c:v>
                </c:pt>
                <c:pt idx="23" formatCode="####0">
                  <c:v>40</c:v>
                </c:pt>
                <c:pt idx="24" formatCode="####0">
                  <c:v>30</c:v>
                </c:pt>
                <c:pt idx="25" formatCode="####0">
                  <c:v>26</c:v>
                </c:pt>
                <c:pt idx="26" formatCode="####0">
                  <c:v>19</c:v>
                </c:pt>
                <c:pt idx="27" formatCode="####0">
                  <c:v>20</c:v>
                </c:pt>
                <c:pt idx="28" formatCode="####0">
                  <c:v>20</c:v>
                </c:pt>
                <c:pt idx="29" formatCode="####0">
                  <c:v>15</c:v>
                </c:pt>
                <c:pt idx="30" formatCode="####0">
                  <c:v>16</c:v>
                </c:pt>
                <c:pt idx="31" formatCode="####0">
                  <c:v>15</c:v>
                </c:pt>
                <c:pt idx="32" formatCode="####0">
                  <c:v>13</c:v>
                </c:pt>
                <c:pt idx="33" formatCode="####0">
                  <c:v>13</c:v>
                </c:pt>
                <c:pt idx="34" formatCode="####0">
                  <c:v>14</c:v>
                </c:pt>
                <c:pt idx="35" formatCode="####0">
                  <c:v>14</c:v>
                </c:pt>
                <c:pt idx="36" formatCode="####0">
                  <c:v>14</c:v>
                </c:pt>
                <c:pt idx="37" formatCode="####0">
                  <c:v>10</c:v>
                </c:pt>
                <c:pt idx="38" formatCode="####0">
                  <c:v>5</c:v>
                </c:pt>
                <c:pt idx="39" formatCode="####0">
                  <c:v>9</c:v>
                </c:pt>
                <c:pt idx="40" formatCode="####0">
                  <c:v>7</c:v>
                </c:pt>
                <c:pt idx="41" formatCode="####0">
                  <c:v>9</c:v>
                </c:pt>
                <c:pt idx="42" formatCode="####0">
                  <c:v>16</c:v>
                </c:pt>
                <c:pt idx="43" formatCode="####0">
                  <c:v>12</c:v>
                </c:pt>
                <c:pt idx="44" formatCode="####0">
                  <c:v>7</c:v>
                </c:pt>
                <c:pt idx="45" formatCode="####0">
                  <c:v>7</c:v>
                </c:pt>
                <c:pt idx="46" formatCode="####0">
                  <c:v>7</c:v>
                </c:pt>
                <c:pt idx="47" formatCode="####0">
                  <c:v>7</c:v>
                </c:pt>
                <c:pt idx="48" formatCode="####0">
                  <c:v>7</c:v>
                </c:pt>
                <c:pt idx="49" formatCode="####0">
                  <c:v>7</c:v>
                </c:pt>
                <c:pt idx="50" formatCode="####0">
                  <c:v>7</c:v>
                </c:pt>
                <c:pt idx="51" formatCode="####0">
                  <c:v>3</c:v>
                </c:pt>
                <c:pt idx="52" formatCode="####0">
                  <c:v>6</c:v>
                </c:pt>
                <c:pt idx="53" formatCode="####0">
                  <c:v>3</c:v>
                </c:pt>
                <c:pt idx="54" formatCode="####0">
                  <c:v>5</c:v>
                </c:pt>
                <c:pt idx="55" formatCode="####0">
                  <c:v>5</c:v>
                </c:pt>
                <c:pt idx="56" formatCode="####0">
                  <c:v>5</c:v>
                </c:pt>
                <c:pt idx="57" formatCode="####0">
                  <c:v>5</c:v>
                </c:pt>
                <c:pt idx="58" formatCode="####0">
                  <c:v>3</c:v>
                </c:pt>
                <c:pt idx="59" formatCode="####0">
                  <c:v>3</c:v>
                </c:pt>
                <c:pt idx="60" formatCode="####0">
                  <c:v>2</c:v>
                </c:pt>
                <c:pt idx="61" formatCode="####0">
                  <c:v>5</c:v>
                </c:pt>
                <c:pt idx="62" formatCode="####0">
                  <c:v>5</c:v>
                </c:pt>
                <c:pt idx="63" formatCode="####0">
                  <c:v>1</c:v>
                </c:pt>
                <c:pt idx="64" formatCode="####0">
                  <c:v>4</c:v>
                </c:pt>
                <c:pt idx="65" formatCode="####0">
                  <c:v>4</c:v>
                </c:pt>
                <c:pt idx="66" formatCode="####0">
                  <c:v>3</c:v>
                </c:pt>
                <c:pt idx="67" formatCode="####0">
                  <c:v>6</c:v>
                </c:pt>
                <c:pt idx="68" formatCode="####0">
                  <c:v>7</c:v>
                </c:pt>
                <c:pt idx="69" formatCode="####0">
                  <c:v>5</c:v>
                </c:pt>
                <c:pt idx="70" formatCode="####0">
                  <c:v>2</c:v>
                </c:pt>
                <c:pt idx="71" formatCode="####0">
                  <c:v>1</c:v>
                </c:pt>
                <c:pt idx="72" formatCode="####0">
                  <c:v>3</c:v>
                </c:pt>
                <c:pt idx="73" formatCode="####0">
                  <c:v>7</c:v>
                </c:pt>
                <c:pt idx="74" formatCode="####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CF-40BC-8B7B-9BA9F86454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1580652160"/>
        <c:axId val="1580653120"/>
      </c:barChart>
      <c:catAx>
        <c:axId val="1580652160"/>
        <c:scaling>
          <c:orientation val="minMax"/>
        </c:scaling>
        <c:delete val="0"/>
        <c:axPos val="b"/>
        <c:numFmt formatCode="#,##0.0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/>
            </a:pPr>
            <a:endParaRPr lang="zh-CN"/>
          </a:p>
        </c:txPr>
        <c:crossAx val="1580653120"/>
        <c:crosses val="autoZero"/>
        <c:auto val="1"/>
        <c:lblAlgn val="ctr"/>
        <c:lblOffset val="100"/>
        <c:tickLblSkip val="3"/>
        <c:tickMarkSkip val="7"/>
        <c:noMultiLvlLbl val="0"/>
      </c:catAx>
      <c:valAx>
        <c:axId val="1580653120"/>
        <c:scaling>
          <c:orientation val="minMax"/>
          <c:min val="0"/>
        </c:scaling>
        <c:delete val="0"/>
        <c:axPos val="l"/>
        <c:majorGridlines>
          <c:spPr>
            <a:ln>
              <a:noFill/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altLang="zh-CN" sz="1000" b="0"/>
                </a:pPr>
                <a:r>
                  <a:rPr lang="en-US" altLang="zh-CN" sz="1000" b="0"/>
                  <a:t>Frequencies</a:t>
                </a:r>
                <a:endParaRPr lang="zh-CN" altLang="en-US" sz="1000" b="0"/>
              </a:p>
            </c:rich>
          </c:tx>
          <c:layout>
            <c:manualLayout>
              <c:xMode val="edge"/>
              <c:yMode val="edge"/>
              <c:x val="2.3640661938534278E-2"/>
              <c:y val="0.41686388988308282"/>
            </c:manualLayout>
          </c:layout>
          <c:overlay val="0"/>
        </c:title>
        <c:numFmt formatCode="####0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zh-CN"/>
          </a:p>
        </c:txPr>
        <c:crossAx val="1580652160"/>
        <c:crosses val="autoZero"/>
        <c:crossBetween val="between"/>
      </c:valAx>
      <c:spPr>
        <a:solidFill>
          <a:srgbClr val="FFFFFF"/>
        </a:solidFill>
        <a:ln>
          <a:noFill/>
        </a:ln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altLang="zh-CN" sz="1000"/>
            </a:pPr>
            <a:r>
              <a:rPr lang="en-US" altLang="zh-CN"/>
              <a:t>Cr</a:t>
            </a:r>
            <a:endParaRPr lang="zh-CN" altLang="en-US"/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rgbClr val="1932EB"/>
            </a:solidFill>
            <a:ln w="0">
              <a:solidFill>
                <a:srgbClr val="969696"/>
              </a:solidFill>
              <a:prstDash val="solid"/>
            </a:ln>
          </c:spPr>
          <c:invertIfNegative val="0"/>
          <c:cat>
            <c:numRef>
              <c:f>报表!$Z$5:$Z$79</c:f>
              <c:numCache>
                <c:formatCode>General</c:formatCode>
                <c:ptCount val="75"/>
                <c:pt idx="0" formatCode="#,##0.00">
                  <c:v>2.0314244085054689E-4</c:v>
                </c:pt>
                <c:pt idx="18" formatCode="#,##0.00">
                  <c:v>7.4437144280990108E-3</c:v>
                </c:pt>
                <c:pt idx="36" formatCode="#,##0.00">
                  <c:v>1.4684286415347475E-2</c:v>
                </c:pt>
                <c:pt idx="54" formatCode="#,##0.00">
                  <c:v>2.1924858402595941E-2</c:v>
                </c:pt>
                <c:pt idx="74" formatCode="#,##0.00">
                  <c:v>2.9969938388427566E-2</c:v>
                </c:pt>
              </c:numCache>
            </c:numRef>
          </c:cat>
          <c:val>
            <c:numRef>
              <c:f>报表!$AA$5:$AA$79</c:f>
              <c:numCache>
                <c:formatCode>####0</c:formatCode>
                <c:ptCount val="75"/>
                <c:pt idx="0">
                  <c:v>3621</c:v>
                </c:pt>
                <c:pt idx="1">
                  <c:v>1588</c:v>
                </c:pt>
                <c:pt idx="2">
                  <c:v>945</c:v>
                </c:pt>
                <c:pt idx="3">
                  <c:v>639</c:v>
                </c:pt>
                <c:pt idx="4">
                  <c:v>422</c:v>
                </c:pt>
                <c:pt idx="5">
                  <c:v>363</c:v>
                </c:pt>
                <c:pt idx="6">
                  <c:v>297</c:v>
                </c:pt>
                <c:pt idx="7">
                  <c:v>237</c:v>
                </c:pt>
                <c:pt idx="8">
                  <c:v>178</c:v>
                </c:pt>
                <c:pt idx="9">
                  <c:v>146</c:v>
                </c:pt>
                <c:pt idx="10">
                  <c:v>109</c:v>
                </c:pt>
                <c:pt idx="11">
                  <c:v>124</c:v>
                </c:pt>
                <c:pt idx="12">
                  <c:v>108</c:v>
                </c:pt>
                <c:pt idx="13">
                  <c:v>90</c:v>
                </c:pt>
                <c:pt idx="14">
                  <c:v>72</c:v>
                </c:pt>
                <c:pt idx="15">
                  <c:v>81</c:v>
                </c:pt>
                <c:pt idx="16">
                  <c:v>54</c:v>
                </c:pt>
                <c:pt idx="17">
                  <c:v>67</c:v>
                </c:pt>
                <c:pt idx="18">
                  <c:v>56</c:v>
                </c:pt>
                <c:pt idx="19">
                  <c:v>45</c:v>
                </c:pt>
                <c:pt idx="20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D5-4EA0-AADE-E978AD2C21EB}"/>
            </c:ext>
          </c:extLst>
        </c:ser>
        <c:ser>
          <c:idx val="1"/>
          <c:order val="1"/>
          <c:spPr>
            <a:pattFill prst="pct5">
              <a:fgClr>
                <a:srgbClr val="808080"/>
              </a:fgClr>
              <a:bgClr>
                <a:srgbClr val="FF8080"/>
              </a:bgClr>
            </a:pattFill>
            <a:ln w="0">
              <a:solidFill>
                <a:srgbClr val="969696"/>
              </a:solidFill>
              <a:prstDash val="solid"/>
            </a:ln>
          </c:spPr>
          <c:invertIfNegative val="0"/>
          <c:cat>
            <c:numRef>
              <c:f>报表!$Z$5:$Z$79</c:f>
              <c:numCache>
                <c:formatCode>General</c:formatCode>
                <c:ptCount val="75"/>
                <c:pt idx="0" formatCode="#,##0.00">
                  <c:v>2.0314244085054689E-4</c:v>
                </c:pt>
                <c:pt idx="18" formatCode="#,##0.00">
                  <c:v>7.4437144280990108E-3</c:v>
                </c:pt>
                <c:pt idx="36" formatCode="#,##0.00">
                  <c:v>1.4684286415347475E-2</c:v>
                </c:pt>
                <c:pt idx="54" formatCode="#,##0.00">
                  <c:v>2.1924858402595941E-2</c:v>
                </c:pt>
                <c:pt idx="74" formatCode="#,##0.00">
                  <c:v>2.9969938388427566E-2</c:v>
                </c:pt>
              </c:numCache>
            </c:numRef>
          </c:cat>
          <c:val>
            <c:numRef>
              <c:f>报表!$AB$5:$AB$79</c:f>
              <c:numCache>
                <c:formatCode>General</c:formatCode>
                <c:ptCount val="75"/>
                <c:pt idx="21" formatCode="####0">
                  <c:v>28</c:v>
                </c:pt>
                <c:pt idx="22" formatCode="####0">
                  <c:v>23</c:v>
                </c:pt>
                <c:pt idx="23" formatCode="####0">
                  <c:v>29</c:v>
                </c:pt>
                <c:pt idx="24" formatCode="####0">
                  <c:v>25</c:v>
                </c:pt>
                <c:pt idx="25" formatCode="####0">
                  <c:v>21</c:v>
                </c:pt>
                <c:pt idx="26" formatCode="####0">
                  <c:v>29</c:v>
                </c:pt>
                <c:pt idx="27" formatCode="####0">
                  <c:v>22</c:v>
                </c:pt>
                <c:pt idx="28" formatCode="####0">
                  <c:v>27</c:v>
                </c:pt>
                <c:pt idx="29" formatCode="####0">
                  <c:v>17</c:v>
                </c:pt>
                <c:pt idx="30" formatCode="####0">
                  <c:v>18</c:v>
                </c:pt>
                <c:pt idx="31" formatCode="####0">
                  <c:v>19</c:v>
                </c:pt>
                <c:pt idx="32" formatCode="####0">
                  <c:v>19</c:v>
                </c:pt>
                <c:pt idx="33" formatCode="####0">
                  <c:v>19</c:v>
                </c:pt>
                <c:pt idx="34" formatCode="####0">
                  <c:v>15</c:v>
                </c:pt>
                <c:pt idx="35" formatCode="####0">
                  <c:v>10</c:v>
                </c:pt>
                <c:pt idx="36" formatCode="####0">
                  <c:v>13</c:v>
                </c:pt>
                <c:pt idx="37" formatCode="####0">
                  <c:v>9</c:v>
                </c:pt>
                <c:pt idx="38" formatCode="####0">
                  <c:v>12</c:v>
                </c:pt>
                <c:pt idx="39" formatCode="####0">
                  <c:v>7</c:v>
                </c:pt>
                <c:pt idx="40" formatCode="####0">
                  <c:v>10</c:v>
                </c:pt>
                <c:pt idx="41" formatCode="####0">
                  <c:v>5</c:v>
                </c:pt>
                <c:pt idx="42" formatCode="####0">
                  <c:v>8</c:v>
                </c:pt>
                <c:pt idx="43" formatCode="####0">
                  <c:v>11</c:v>
                </c:pt>
                <c:pt idx="44" formatCode="####0">
                  <c:v>8</c:v>
                </c:pt>
                <c:pt idx="45" formatCode="####0">
                  <c:v>13</c:v>
                </c:pt>
                <c:pt idx="46" formatCode="####0">
                  <c:v>5</c:v>
                </c:pt>
                <c:pt idx="47" formatCode="####0">
                  <c:v>13</c:v>
                </c:pt>
                <c:pt idx="48" formatCode="####0">
                  <c:v>7</c:v>
                </c:pt>
                <c:pt idx="49" formatCode="####0">
                  <c:v>10</c:v>
                </c:pt>
                <c:pt idx="50" formatCode="####0">
                  <c:v>7</c:v>
                </c:pt>
                <c:pt idx="51" formatCode="####0">
                  <c:v>10</c:v>
                </c:pt>
                <c:pt idx="52" formatCode="####0">
                  <c:v>9</c:v>
                </c:pt>
                <c:pt idx="53" formatCode="####0">
                  <c:v>6</c:v>
                </c:pt>
                <c:pt idx="54" formatCode="####0">
                  <c:v>6</c:v>
                </c:pt>
                <c:pt idx="55" formatCode="####0">
                  <c:v>6</c:v>
                </c:pt>
                <c:pt idx="56" formatCode="####0">
                  <c:v>8</c:v>
                </c:pt>
                <c:pt idx="57" formatCode="####0">
                  <c:v>7</c:v>
                </c:pt>
                <c:pt idx="58" formatCode="####0">
                  <c:v>2</c:v>
                </c:pt>
                <c:pt idx="59" formatCode="####0">
                  <c:v>4</c:v>
                </c:pt>
                <c:pt idx="60" formatCode="####0">
                  <c:v>3</c:v>
                </c:pt>
                <c:pt idx="61" formatCode="####0">
                  <c:v>4</c:v>
                </c:pt>
                <c:pt idx="62" formatCode="####0">
                  <c:v>5</c:v>
                </c:pt>
                <c:pt idx="63" formatCode="####0">
                  <c:v>5</c:v>
                </c:pt>
                <c:pt idx="64" formatCode="####0">
                  <c:v>5</c:v>
                </c:pt>
                <c:pt idx="65" formatCode="####0">
                  <c:v>8</c:v>
                </c:pt>
                <c:pt idx="66" formatCode="####0">
                  <c:v>5</c:v>
                </c:pt>
                <c:pt idx="67" formatCode="####0">
                  <c:v>5</c:v>
                </c:pt>
                <c:pt idx="68" formatCode="####0">
                  <c:v>5</c:v>
                </c:pt>
                <c:pt idx="69" formatCode="####0">
                  <c:v>7</c:v>
                </c:pt>
                <c:pt idx="70" formatCode="####0">
                  <c:v>1</c:v>
                </c:pt>
                <c:pt idx="71" formatCode="####0">
                  <c:v>6</c:v>
                </c:pt>
                <c:pt idx="72" formatCode="####0">
                  <c:v>1</c:v>
                </c:pt>
                <c:pt idx="73" formatCode="####0">
                  <c:v>1</c:v>
                </c:pt>
                <c:pt idx="74" formatCode="####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ED5-4EA0-AADE-E978AD2C21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1674060896"/>
        <c:axId val="1674058016"/>
      </c:barChart>
      <c:catAx>
        <c:axId val="1674060896"/>
        <c:scaling>
          <c:orientation val="minMax"/>
        </c:scaling>
        <c:delete val="0"/>
        <c:axPos val="b"/>
        <c:numFmt formatCode="#,##0.0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/>
            </a:pPr>
            <a:endParaRPr lang="zh-CN"/>
          </a:p>
        </c:txPr>
        <c:crossAx val="1674058016"/>
        <c:crosses val="autoZero"/>
        <c:auto val="1"/>
        <c:lblAlgn val="ctr"/>
        <c:lblOffset val="100"/>
        <c:tickLblSkip val="3"/>
        <c:tickMarkSkip val="7"/>
        <c:noMultiLvlLbl val="0"/>
      </c:catAx>
      <c:valAx>
        <c:axId val="1674058016"/>
        <c:scaling>
          <c:orientation val="minMax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altLang="zh-CN" sz="800"/>
                </a:pPr>
                <a:r>
                  <a:rPr lang="en-US" altLang="zh-CN" sz="800" b="0" i="0" u="none" strike="noStrike" baseline="0">
                    <a:effectLst/>
                  </a:rPr>
                  <a:t>Frequencies</a:t>
                </a:r>
                <a:endParaRPr lang="zh-CN" altLang="en-US"/>
              </a:p>
            </c:rich>
          </c:tx>
          <c:overlay val="0"/>
        </c:title>
        <c:numFmt formatCode="####0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zh-CN"/>
          </a:p>
        </c:txPr>
        <c:crossAx val="1674060896"/>
        <c:crosses val="autoZero"/>
        <c:crossBetween val="between"/>
      </c:valAx>
      <c:spPr>
        <a:solidFill>
          <a:srgbClr val="FFFFFF"/>
        </a:solidFill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altLang="zh-CN" sz="1000"/>
            </a:pPr>
            <a:r>
              <a:rPr lang="en-US" altLang="zh-CN" sz="1000" b="1" i="0" u="none" strike="noStrike" baseline="0">
                <a:effectLst/>
              </a:rPr>
              <a:t>Acetaldehyde</a:t>
            </a:r>
            <a:endParaRPr lang="en-US" altLang="zh-CN"/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rgbClr val="1932EB"/>
            </a:solidFill>
            <a:ln w="0">
              <a:solidFill>
                <a:srgbClr val="969696"/>
              </a:solidFill>
              <a:prstDash val="solid"/>
            </a:ln>
          </c:spPr>
          <c:invertIfNegative val="0"/>
          <c:cat>
            <c:numRef>
              <c:f>报表!$AR$5:$AR$79</c:f>
              <c:numCache>
                <c:formatCode>General</c:formatCode>
                <c:ptCount val="75"/>
                <c:pt idx="0" formatCode="#,##0.00">
                  <c:v>0.44099559579794234</c:v>
                </c:pt>
                <c:pt idx="18" formatCode="#,##0.00">
                  <c:v>16.564897314151704</c:v>
                </c:pt>
                <c:pt idx="36" formatCode="#,##0.00">
                  <c:v>32.688799032505464</c:v>
                </c:pt>
                <c:pt idx="54" formatCode="#,##0.00">
                  <c:v>48.812700750859229</c:v>
                </c:pt>
                <c:pt idx="74" formatCode="#,##0.00">
                  <c:v>66.728147104585631</c:v>
                </c:pt>
              </c:numCache>
            </c:numRef>
          </c:cat>
          <c:val>
            <c:numRef>
              <c:f>报表!$AS$5:$AS$79</c:f>
              <c:numCache>
                <c:formatCode>####0</c:formatCode>
                <c:ptCount val="75"/>
                <c:pt idx="0">
                  <c:v>4128</c:v>
                </c:pt>
                <c:pt idx="1">
                  <c:v>1637</c:v>
                </c:pt>
                <c:pt idx="2">
                  <c:v>892</c:v>
                </c:pt>
                <c:pt idx="3">
                  <c:v>583</c:v>
                </c:pt>
                <c:pt idx="4">
                  <c:v>405</c:v>
                </c:pt>
                <c:pt idx="5">
                  <c:v>318</c:v>
                </c:pt>
                <c:pt idx="6">
                  <c:v>241</c:v>
                </c:pt>
                <c:pt idx="7">
                  <c:v>204</c:v>
                </c:pt>
                <c:pt idx="8">
                  <c:v>175</c:v>
                </c:pt>
                <c:pt idx="9">
                  <c:v>147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E0-451F-9470-69B9C0DEE568}"/>
            </c:ext>
          </c:extLst>
        </c:ser>
        <c:ser>
          <c:idx val="1"/>
          <c:order val="1"/>
          <c:spPr>
            <a:pattFill prst="pct5">
              <a:fgClr>
                <a:srgbClr val="808080"/>
              </a:fgClr>
              <a:bgClr>
                <a:srgbClr val="FF8080"/>
              </a:bgClr>
            </a:pattFill>
            <a:ln w="0">
              <a:solidFill>
                <a:srgbClr val="969696"/>
              </a:solidFill>
              <a:prstDash val="solid"/>
            </a:ln>
          </c:spPr>
          <c:invertIfNegative val="0"/>
          <c:cat>
            <c:numRef>
              <c:f>报表!$AR$5:$AR$79</c:f>
              <c:numCache>
                <c:formatCode>General</c:formatCode>
                <c:ptCount val="75"/>
                <c:pt idx="0" formatCode="#,##0.00">
                  <c:v>0.44099559579794234</c:v>
                </c:pt>
                <c:pt idx="18" formatCode="#,##0.00">
                  <c:v>16.564897314151704</c:v>
                </c:pt>
                <c:pt idx="36" formatCode="#,##0.00">
                  <c:v>32.688799032505464</c:v>
                </c:pt>
                <c:pt idx="54" formatCode="#,##0.00">
                  <c:v>48.812700750859229</c:v>
                </c:pt>
                <c:pt idx="74" formatCode="#,##0.00">
                  <c:v>66.728147104585631</c:v>
                </c:pt>
              </c:numCache>
            </c:numRef>
          </c:cat>
          <c:val>
            <c:numRef>
              <c:f>报表!$AT$5:$AT$79</c:f>
              <c:numCache>
                <c:formatCode>General</c:formatCode>
                <c:ptCount val="75"/>
                <c:pt idx="10" formatCode="####0">
                  <c:v>127</c:v>
                </c:pt>
                <c:pt idx="11" formatCode="####0">
                  <c:v>100</c:v>
                </c:pt>
                <c:pt idx="12" formatCode="####0">
                  <c:v>84</c:v>
                </c:pt>
                <c:pt idx="13" formatCode="####0">
                  <c:v>65</c:v>
                </c:pt>
                <c:pt idx="14" formatCode="####0">
                  <c:v>61</c:v>
                </c:pt>
                <c:pt idx="15" formatCode="####0">
                  <c:v>51</c:v>
                </c:pt>
                <c:pt idx="16" formatCode="####0">
                  <c:v>39</c:v>
                </c:pt>
                <c:pt idx="17" formatCode="####0">
                  <c:v>40</c:v>
                </c:pt>
                <c:pt idx="18" formatCode="####0">
                  <c:v>49</c:v>
                </c:pt>
                <c:pt idx="19" formatCode="####0">
                  <c:v>40</c:v>
                </c:pt>
                <c:pt idx="20" formatCode="####0">
                  <c:v>37</c:v>
                </c:pt>
                <c:pt idx="21" formatCode="####0">
                  <c:v>26</c:v>
                </c:pt>
                <c:pt idx="22" formatCode="####0">
                  <c:v>27</c:v>
                </c:pt>
                <c:pt idx="23" formatCode="####0">
                  <c:v>31</c:v>
                </c:pt>
                <c:pt idx="24" formatCode="####0">
                  <c:v>24</c:v>
                </c:pt>
                <c:pt idx="25" formatCode="####0">
                  <c:v>20</c:v>
                </c:pt>
                <c:pt idx="26" formatCode="####0">
                  <c:v>23</c:v>
                </c:pt>
                <c:pt idx="27" formatCode="####0">
                  <c:v>15</c:v>
                </c:pt>
                <c:pt idx="28" formatCode="####0">
                  <c:v>11</c:v>
                </c:pt>
                <c:pt idx="29" formatCode="####0">
                  <c:v>18</c:v>
                </c:pt>
                <c:pt idx="30" formatCode="####0">
                  <c:v>17</c:v>
                </c:pt>
                <c:pt idx="31" formatCode="####0">
                  <c:v>18</c:v>
                </c:pt>
                <c:pt idx="32" formatCode="####0">
                  <c:v>15</c:v>
                </c:pt>
                <c:pt idx="33" formatCode="####0">
                  <c:v>8</c:v>
                </c:pt>
                <c:pt idx="34" formatCode="####0">
                  <c:v>13</c:v>
                </c:pt>
                <c:pt idx="35" formatCode="####0">
                  <c:v>7</c:v>
                </c:pt>
                <c:pt idx="36" formatCode="####0">
                  <c:v>16</c:v>
                </c:pt>
                <c:pt idx="37" formatCode="####0">
                  <c:v>11</c:v>
                </c:pt>
                <c:pt idx="38" formatCode="####0">
                  <c:v>10</c:v>
                </c:pt>
                <c:pt idx="39" formatCode="####0">
                  <c:v>11</c:v>
                </c:pt>
                <c:pt idx="40" formatCode="####0">
                  <c:v>4</c:v>
                </c:pt>
                <c:pt idx="41" formatCode="####0">
                  <c:v>5</c:v>
                </c:pt>
                <c:pt idx="42" formatCode="####0">
                  <c:v>9</c:v>
                </c:pt>
                <c:pt idx="43" formatCode="####0">
                  <c:v>5</c:v>
                </c:pt>
                <c:pt idx="44" formatCode="####0">
                  <c:v>2</c:v>
                </c:pt>
                <c:pt idx="45" formatCode="####0">
                  <c:v>7</c:v>
                </c:pt>
                <c:pt idx="46" formatCode="####0">
                  <c:v>7</c:v>
                </c:pt>
                <c:pt idx="47" formatCode="####0">
                  <c:v>6</c:v>
                </c:pt>
                <c:pt idx="48" formatCode="####0">
                  <c:v>2</c:v>
                </c:pt>
                <c:pt idx="49" formatCode="####0">
                  <c:v>11</c:v>
                </c:pt>
                <c:pt idx="50" formatCode="####0">
                  <c:v>4</c:v>
                </c:pt>
                <c:pt idx="51" formatCode="####0">
                  <c:v>4</c:v>
                </c:pt>
                <c:pt idx="52" formatCode="####0">
                  <c:v>4</c:v>
                </c:pt>
                <c:pt idx="53" formatCode="####0">
                  <c:v>7</c:v>
                </c:pt>
                <c:pt idx="54" formatCode="####0">
                  <c:v>5</c:v>
                </c:pt>
                <c:pt idx="55" formatCode="####0">
                  <c:v>7</c:v>
                </c:pt>
                <c:pt idx="56" formatCode="####0">
                  <c:v>2</c:v>
                </c:pt>
                <c:pt idx="57" formatCode="####0">
                  <c:v>4</c:v>
                </c:pt>
                <c:pt idx="58" formatCode="####0">
                  <c:v>2</c:v>
                </c:pt>
                <c:pt idx="59" formatCode="####0">
                  <c:v>4</c:v>
                </c:pt>
                <c:pt idx="60" formatCode="####0">
                  <c:v>4</c:v>
                </c:pt>
                <c:pt idx="61" formatCode="####0">
                  <c:v>3</c:v>
                </c:pt>
                <c:pt idx="62" formatCode="####0">
                  <c:v>3</c:v>
                </c:pt>
                <c:pt idx="63" formatCode="####0">
                  <c:v>3</c:v>
                </c:pt>
                <c:pt idx="64" formatCode="####0">
                  <c:v>3</c:v>
                </c:pt>
                <c:pt idx="65" formatCode="####0">
                  <c:v>4</c:v>
                </c:pt>
                <c:pt idx="66" formatCode="####0">
                  <c:v>3</c:v>
                </c:pt>
                <c:pt idx="67" formatCode="####0">
                  <c:v>4</c:v>
                </c:pt>
                <c:pt idx="68" formatCode="####0">
                  <c:v>3</c:v>
                </c:pt>
                <c:pt idx="69" formatCode="####0">
                  <c:v>2</c:v>
                </c:pt>
                <c:pt idx="70" formatCode="####0">
                  <c:v>2</c:v>
                </c:pt>
                <c:pt idx="71" formatCode="####0">
                  <c:v>3</c:v>
                </c:pt>
                <c:pt idx="72" formatCode="####0">
                  <c:v>2</c:v>
                </c:pt>
                <c:pt idx="73" formatCode="####0">
                  <c:v>1</c:v>
                </c:pt>
                <c:pt idx="74" formatCode="####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3E0-451F-9470-69B9C0DEE5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1669743248"/>
        <c:axId val="1669743728"/>
      </c:barChart>
      <c:catAx>
        <c:axId val="1669743248"/>
        <c:scaling>
          <c:orientation val="minMax"/>
        </c:scaling>
        <c:delete val="0"/>
        <c:axPos val="b"/>
        <c:numFmt formatCode="#,##0.0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/>
            </a:pPr>
            <a:endParaRPr lang="zh-CN"/>
          </a:p>
        </c:txPr>
        <c:crossAx val="1669743728"/>
        <c:crosses val="autoZero"/>
        <c:auto val="1"/>
        <c:lblAlgn val="ctr"/>
        <c:lblOffset val="100"/>
        <c:tickLblSkip val="3"/>
        <c:tickMarkSkip val="7"/>
        <c:noMultiLvlLbl val="0"/>
      </c:catAx>
      <c:valAx>
        <c:axId val="1669743728"/>
        <c:scaling>
          <c:orientation val="minMax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altLang="zh-CN" sz="800"/>
                </a:pPr>
                <a:r>
                  <a:rPr lang="en-US" altLang="zh-CN" sz="800" b="0" i="0" u="none" strike="noStrike" baseline="0">
                    <a:effectLst/>
                  </a:rPr>
                  <a:t>Frequencies</a:t>
                </a:r>
                <a:endParaRPr lang="zh-CN" altLang="en-US"/>
              </a:p>
            </c:rich>
          </c:tx>
          <c:overlay val="0"/>
        </c:title>
        <c:numFmt formatCode="####0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zh-CN"/>
          </a:p>
        </c:txPr>
        <c:crossAx val="1669743248"/>
        <c:crosses val="autoZero"/>
        <c:crossBetween val="between"/>
      </c:valAx>
      <c:spPr>
        <a:solidFill>
          <a:srgbClr val="FFFFFF"/>
        </a:solidFill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altLang="zh-CN" sz="1000"/>
            </a:pPr>
            <a:r>
              <a:rPr lang="en-US" altLang="zh-CN" sz="1000" b="1" i="0" u="none" strike="noStrike" baseline="0">
                <a:effectLst/>
              </a:rPr>
              <a:t>Acrolein</a:t>
            </a:r>
            <a:endParaRPr lang="zh-CN" altLang="en-US"/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rgbClr val="1932EB"/>
            </a:solidFill>
            <a:ln w="12700">
              <a:solidFill>
                <a:srgbClr val="969696"/>
              </a:solidFill>
              <a:prstDash val="solid"/>
            </a:ln>
          </c:spPr>
          <c:invertIfNegative val="0"/>
          <c:cat>
            <c:numRef>
              <c:f>报表!$T$5:$T$79</c:f>
              <c:numCache>
                <c:formatCode>General</c:formatCode>
                <c:ptCount val="75"/>
                <c:pt idx="0" formatCode="#,##0.00">
                  <c:v>0.14466224260563984</c:v>
                </c:pt>
                <c:pt idx="18" formatCode="#,##0.00">
                  <c:v>5.0779592251053982</c:v>
                </c:pt>
                <c:pt idx="36" formatCode="#,##0.00">
                  <c:v>10.011256207605156</c:v>
                </c:pt>
                <c:pt idx="54" formatCode="#,##0.00">
                  <c:v>14.944553190104914</c:v>
                </c:pt>
                <c:pt idx="74" formatCode="#,##0.00">
                  <c:v>20.425994281771313</c:v>
                </c:pt>
              </c:numCache>
            </c:numRef>
          </c:cat>
          <c:val>
            <c:numRef>
              <c:f>报表!$U$5:$U$79</c:f>
              <c:numCache>
                <c:formatCode>General</c:formatCode>
                <c:ptCount val="75"/>
              </c:numCache>
            </c:numRef>
          </c:val>
          <c:extLst>
            <c:ext xmlns:c16="http://schemas.microsoft.com/office/drawing/2014/chart" uri="{C3380CC4-5D6E-409C-BE32-E72D297353CC}">
              <c16:uniqueId val="{00000000-0EDD-4D61-8A7E-DF570282CCF7}"/>
            </c:ext>
          </c:extLst>
        </c:ser>
        <c:ser>
          <c:idx val="1"/>
          <c:order val="1"/>
          <c:spPr>
            <a:pattFill prst="pct5">
              <a:fgClr>
                <a:srgbClr val="808080"/>
              </a:fgClr>
              <a:bgClr>
                <a:srgbClr val="FF8080"/>
              </a:bgClr>
            </a:pattFill>
            <a:ln w="0">
              <a:solidFill>
                <a:srgbClr val="969696"/>
              </a:solidFill>
              <a:prstDash val="solid"/>
            </a:ln>
          </c:spPr>
          <c:invertIfNegative val="0"/>
          <c:cat>
            <c:numRef>
              <c:f>报表!$T$5:$T$79</c:f>
              <c:numCache>
                <c:formatCode>General</c:formatCode>
                <c:ptCount val="75"/>
                <c:pt idx="0" formatCode="#,##0.00">
                  <c:v>0.14466224260563984</c:v>
                </c:pt>
                <c:pt idx="18" formatCode="#,##0.00">
                  <c:v>5.0779592251053982</c:v>
                </c:pt>
                <c:pt idx="36" formatCode="#,##0.00">
                  <c:v>10.011256207605156</c:v>
                </c:pt>
                <c:pt idx="54" formatCode="#,##0.00">
                  <c:v>14.944553190104914</c:v>
                </c:pt>
                <c:pt idx="74" formatCode="#,##0.00">
                  <c:v>20.425994281771313</c:v>
                </c:pt>
              </c:numCache>
            </c:numRef>
          </c:cat>
          <c:val>
            <c:numRef>
              <c:f>报表!$V$5:$V$79</c:f>
              <c:numCache>
                <c:formatCode>####0</c:formatCode>
                <c:ptCount val="75"/>
                <c:pt idx="0">
                  <c:v>1085</c:v>
                </c:pt>
                <c:pt idx="1">
                  <c:v>1370</c:v>
                </c:pt>
                <c:pt idx="2">
                  <c:v>1092</c:v>
                </c:pt>
                <c:pt idx="3">
                  <c:v>865</c:v>
                </c:pt>
                <c:pt idx="4">
                  <c:v>682</c:v>
                </c:pt>
                <c:pt idx="5">
                  <c:v>577</c:v>
                </c:pt>
                <c:pt idx="6">
                  <c:v>422</c:v>
                </c:pt>
                <c:pt idx="7">
                  <c:v>407</c:v>
                </c:pt>
                <c:pt idx="8">
                  <c:v>342</c:v>
                </c:pt>
                <c:pt idx="9">
                  <c:v>305</c:v>
                </c:pt>
                <c:pt idx="10">
                  <c:v>233</c:v>
                </c:pt>
                <c:pt idx="11">
                  <c:v>227</c:v>
                </c:pt>
                <c:pt idx="12">
                  <c:v>192</c:v>
                </c:pt>
                <c:pt idx="13">
                  <c:v>133</c:v>
                </c:pt>
                <c:pt idx="14">
                  <c:v>147</c:v>
                </c:pt>
                <c:pt idx="15">
                  <c:v>128</c:v>
                </c:pt>
                <c:pt idx="16">
                  <c:v>122</c:v>
                </c:pt>
                <c:pt idx="17">
                  <c:v>100</c:v>
                </c:pt>
                <c:pt idx="18">
                  <c:v>96</c:v>
                </c:pt>
                <c:pt idx="19">
                  <c:v>102</c:v>
                </c:pt>
                <c:pt idx="20">
                  <c:v>87</c:v>
                </c:pt>
                <c:pt idx="21">
                  <c:v>79</c:v>
                </c:pt>
                <c:pt idx="22">
                  <c:v>53</c:v>
                </c:pt>
                <c:pt idx="23">
                  <c:v>68</c:v>
                </c:pt>
                <c:pt idx="24">
                  <c:v>50</c:v>
                </c:pt>
                <c:pt idx="25">
                  <c:v>72</c:v>
                </c:pt>
                <c:pt idx="26">
                  <c:v>54</c:v>
                </c:pt>
                <c:pt idx="27">
                  <c:v>40</c:v>
                </c:pt>
                <c:pt idx="28">
                  <c:v>42</c:v>
                </c:pt>
                <c:pt idx="29">
                  <c:v>38</c:v>
                </c:pt>
                <c:pt idx="30">
                  <c:v>29</c:v>
                </c:pt>
                <c:pt idx="31">
                  <c:v>39</c:v>
                </c:pt>
                <c:pt idx="32">
                  <c:v>31</c:v>
                </c:pt>
                <c:pt idx="33">
                  <c:v>40</c:v>
                </c:pt>
                <c:pt idx="34">
                  <c:v>33</c:v>
                </c:pt>
                <c:pt idx="35">
                  <c:v>30</c:v>
                </c:pt>
                <c:pt idx="36">
                  <c:v>24</c:v>
                </c:pt>
                <c:pt idx="37">
                  <c:v>24</c:v>
                </c:pt>
                <c:pt idx="38">
                  <c:v>14</c:v>
                </c:pt>
                <c:pt idx="39">
                  <c:v>26</c:v>
                </c:pt>
                <c:pt idx="40">
                  <c:v>19</c:v>
                </c:pt>
                <c:pt idx="41">
                  <c:v>23</c:v>
                </c:pt>
                <c:pt idx="42">
                  <c:v>16</c:v>
                </c:pt>
                <c:pt idx="43">
                  <c:v>16</c:v>
                </c:pt>
                <c:pt idx="44">
                  <c:v>25</c:v>
                </c:pt>
                <c:pt idx="45">
                  <c:v>18</c:v>
                </c:pt>
                <c:pt idx="46">
                  <c:v>13</c:v>
                </c:pt>
                <c:pt idx="47">
                  <c:v>13</c:v>
                </c:pt>
                <c:pt idx="48">
                  <c:v>15</c:v>
                </c:pt>
                <c:pt idx="49">
                  <c:v>11</c:v>
                </c:pt>
                <c:pt idx="50">
                  <c:v>7</c:v>
                </c:pt>
                <c:pt idx="51">
                  <c:v>12</c:v>
                </c:pt>
                <c:pt idx="52">
                  <c:v>15</c:v>
                </c:pt>
                <c:pt idx="53">
                  <c:v>11</c:v>
                </c:pt>
                <c:pt idx="54">
                  <c:v>8</c:v>
                </c:pt>
                <c:pt idx="55">
                  <c:v>11</c:v>
                </c:pt>
                <c:pt idx="56">
                  <c:v>7</c:v>
                </c:pt>
                <c:pt idx="57">
                  <c:v>9</c:v>
                </c:pt>
                <c:pt idx="58">
                  <c:v>7</c:v>
                </c:pt>
                <c:pt idx="59">
                  <c:v>11</c:v>
                </c:pt>
                <c:pt idx="60">
                  <c:v>9</c:v>
                </c:pt>
                <c:pt idx="61">
                  <c:v>5</c:v>
                </c:pt>
                <c:pt idx="62">
                  <c:v>6</c:v>
                </c:pt>
                <c:pt idx="63">
                  <c:v>7</c:v>
                </c:pt>
                <c:pt idx="64">
                  <c:v>4</c:v>
                </c:pt>
                <c:pt idx="65">
                  <c:v>6</c:v>
                </c:pt>
                <c:pt idx="66">
                  <c:v>7</c:v>
                </c:pt>
                <c:pt idx="67">
                  <c:v>5</c:v>
                </c:pt>
                <c:pt idx="68">
                  <c:v>7</c:v>
                </c:pt>
                <c:pt idx="69">
                  <c:v>1</c:v>
                </c:pt>
                <c:pt idx="70">
                  <c:v>5</c:v>
                </c:pt>
                <c:pt idx="71">
                  <c:v>5</c:v>
                </c:pt>
                <c:pt idx="72">
                  <c:v>3</c:v>
                </c:pt>
                <c:pt idx="73">
                  <c:v>1</c:v>
                </c:pt>
                <c:pt idx="7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EDD-4D61-8A7E-DF570282CC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1468914784"/>
        <c:axId val="1468912864"/>
      </c:barChart>
      <c:catAx>
        <c:axId val="1468914784"/>
        <c:scaling>
          <c:orientation val="minMax"/>
        </c:scaling>
        <c:delete val="0"/>
        <c:axPos val="b"/>
        <c:numFmt formatCode="#,##0.0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/>
            </a:pPr>
            <a:endParaRPr lang="zh-CN"/>
          </a:p>
        </c:txPr>
        <c:crossAx val="1468912864"/>
        <c:crosses val="autoZero"/>
        <c:auto val="1"/>
        <c:lblAlgn val="ctr"/>
        <c:lblOffset val="100"/>
        <c:tickLblSkip val="3"/>
        <c:tickMarkSkip val="7"/>
        <c:noMultiLvlLbl val="0"/>
      </c:catAx>
      <c:valAx>
        <c:axId val="1468912864"/>
        <c:scaling>
          <c:orientation val="minMax"/>
          <c:min val="0"/>
        </c:scaling>
        <c:delete val="0"/>
        <c:axPos val="l"/>
        <c:title>
          <c:tx>
            <c:rich>
              <a:bodyPr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altLang="zh-CN"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baseline="0">
                    <a:effectLst/>
                  </a:rPr>
                  <a:t>Frequencies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zh-CN"/>
          </a:p>
        </c:txPr>
        <c:crossAx val="1468914784"/>
        <c:crosses val="autoZero"/>
        <c:crossBetween val="between"/>
      </c:valAx>
      <c:spPr>
        <a:solidFill>
          <a:srgbClr val="FFFFFF"/>
        </a:solidFill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altLang="zh-CN" sz="1000"/>
            </a:pPr>
            <a:r>
              <a:rPr lang="en-US" altLang="zh-CN"/>
              <a:t>As</a:t>
            </a:r>
            <a:endParaRPr lang="zh-CN" altLang="en-US"/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rgbClr val="1932EB"/>
            </a:solidFill>
            <a:ln w="0">
              <a:solidFill>
                <a:srgbClr val="969696"/>
              </a:solidFill>
              <a:prstDash val="solid"/>
            </a:ln>
          </c:spPr>
          <c:invertIfNegative val="0"/>
          <c:cat>
            <c:numRef>
              <c:f>报表!$AL$5:$AL$79</c:f>
              <c:numCache>
                <c:formatCode>General</c:formatCode>
                <c:ptCount val="75"/>
                <c:pt idx="0" formatCode="#,##0.00">
                  <c:v>8.2166465581728226E-5</c:v>
                </c:pt>
                <c:pt idx="18" formatCode="#,##0.00">
                  <c:v>2.6893026438067043E-3</c:v>
                </c:pt>
                <c:pt idx="36" formatCode="#,##0.00">
                  <c:v>5.2964388220316802E-3</c:v>
                </c:pt>
                <c:pt idx="54" formatCode="#,##0.00">
                  <c:v>7.903575000256657E-3</c:v>
                </c:pt>
                <c:pt idx="74" formatCode="#,##0.00">
                  <c:v>1.0800392976062185E-2</c:v>
                </c:pt>
              </c:numCache>
            </c:numRef>
          </c:cat>
          <c:val>
            <c:numRef>
              <c:f>报表!$AM$5:$AM$79</c:f>
              <c:numCache>
                <c:formatCode>####0</c:formatCode>
                <c:ptCount val="75"/>
                <c:pt idx="0">
                  <c:v>432</c:v>
                </c:pt>
                <c:pt idx="1">
                  <c:v>840</c:v>
                </c:pt>
                <c:pt idx="2">
                  <c:v>875</c:v>
                </c:pt>
                <c:pt idx="3">
                  <c:v>868</c:v>
                </c:pt>
                <c:pt idx="4">
                  <c:v>690</c:v>
                </c:pt>
                <c:pt idx="5">
                  <c:v>628</c:v>
                </c:pt>
                <c:pt idx="6">
                  <c:v>546</c:v>
                </c:pt>
                <c:pt idx="7">
                  <c:v>459</c:v>
                </c:pt>
                <c:pt idx="8">
                  <c:v>429</c:v>
                </c:pt>
                <c:pt idx="9">
                  <c:v>335</c:v>
                </c:pt>
                <c:pt idx="10">
                  <c:v>329</c:v>
                </c:pt>
                <c:pt idx="11">
                  <c:v>274</c:v>
                </c:pt>
                <c:pt idx="12">
                  <c:v>277</c:v>
                </c:pt>
                <c:pt idx="13">
                  <c:v>218</c:v>
                </c:pt>
                <c:pt idx="14">
                  <c:v>204</c:v>
                </c:pt>
                <c:pt idx="15">
                  <c:v>197</c:v>
                </c:pt>
                <c:pt idx="16">
                  <c:v>164</c:v>
                </c:pt>
                <c:pt idx="17">
                  <c:v>160</c:v>
                </c:pt>
                <c:pt idx="18">
                  <c:v>141</c:v>
                </c:pt>
                <c:pt idx="19">
                  <c:v>116</c:v>
                </c:pt>
                <c:pt idx="20">
                  <c:v>109</c:v>
                </c:pt>
                <c:pt idx="21">
                  <c:v>92</c:v>
                </c:pt>
                <c:pt idx="22">
                  <c:v>101</c:v>
                </c:pt>
                <c:pt idx="23">
                  <c:v>71</c:v>
                </c:pt>
                <c:pt idx="24">
                  <c:v>81</c:v>
                </c:pt>
                <c:pt idx="25">
                  <c:v>76</c:v>
                </c:pt>
                <c:pt idx="26">
                  <c:v>70</c:v>
                </c:pt>
                <c:pt idx="27">
                  <c:v>69</c:v>
                </c:pt>
                <c:pt idx="28">
                  <c:v>54</c:v>
                </c:pt>
                <c:pt idx="29">
                  <c:v>66</c:v>
                </c:pt>
                <c:pt idx="30">
                  <c:v>51</c:v>
                </c:pt>
                <c:pt idx="31">
                  <c:v>49</c:v>
                </c:pt>
                <c:pt idx="32">
                  <c:v>51</c:v>
                </c:pt>
                <c:pt idx="33">
                  <c:v>39</c:v>
                </c:pt>
                <c:pt idx="34">
                  <c:v>39</c:v>
                </c:pt>
                <c:pt idx="35">
                  <c:v>33</c:v>
                </c:pt>
                <c:pt idx="36">
                  <c:v>37</c:v>
                </c:pt>
                <c:pt idx="37">
                  <c:v>31</c:v>
                </c:pt>
                <c:pt idx="38">
                  <c:v>40</c:v>
                </c:pt>
                <c:pt idx="39">
                  <c:v>23</c:v>
                </c:pt>
                <c:pt idx="40">
                  <c:v>24</c:v>
                </c:pt>
                <c:pt idx="41">
                  <c:v>24</c:v>
                </c:pt>
                <c:pt idx="42">
                  <c:v>25</c:v>
                </c:pt>
                <c:pt idx="43">
                  <c:v>23</c:v>
                </c:pt>
                <c:pt idx="44">
                  <c:v>16</c:v>
                </c:pt>
                <c:pt idx="45">
                  <c:v>25</c:v>
                </c:pt>
                <c:pt idx="46">
                  <c:v>21</c:v>
                </c:pt>
                <c:pt idx="47">
                  <c:v>17</c:v>
                </c:pt>
                <c:pt idx="48">
                  <c:v>15</c:v>
                </c:pt>
                <c:pt idx="49">
                  <c:v>19</c:v>
                </c:pt>
                <c:pt idx="50">
                  <c:v>16</c:v>
                </c:pt>
                <c:pt idx="51">
                  <c:v>9</c:v>
                </c:pt>
                <c:pt idx="52">
                  <c:v>16</c:v>
                </c:pt>
                <c:pt idx="53">
                  <c:v>15</c:v>
                </c:pt>
                <c:pt idx="54">
                  <c:v>12</c:v>
                </c:pt>
                <c:pt idx="55">
                  <c:v>12</c:v>
                </c:pt>
                <c:pt idx="56">
                  <c:v>11</c:v>
                </c:pt>
                <c:pt idx="57">
                  <c:v>11</c:v>
                </c:pt>
                <c:pt idx="58">
                  <c:v>13</c:v>
                </c:pt>
                <c:pt idx="59">
                  <c:v>15</c:v>
                </c:pt>
                <c:pt idx="60">
                  <c:v>6</c:v>
                </c:pt>
                <c:pt idx="61">
                  <c:v>7</c:v>
                </c:pt>
                <c:pt idx="62">
                  <c:v>6</c:v>
                </c:pt>
                <c:pt idx="63">
                  <c:v>13</c:v>
                </c:pt>
                <c:pt idx="64">
                  <c:v>12</c:v>
                </c:pt>
                <c:pt idx="65">
                  <c:v>8</c:v>
                </c:pt>
                <c:pt idx="66">
                  <c:v>5</c:v>
                </c:pt>
                <c:pt idx="67">
                  <c:v>8</c:v>
                </c:pt>
                <c:pt idx="68">
                  <c:v>10</c:v>
                </c:pt>
                <c:pt idx="69">
                  <c:v>10</c:v>
                </c:pt>
                <c:pt idx="70">
                  <c:v>2</c:v>
                </c:pt>
                <c:pt idx="71">
                  <c:v>5</c:v>
                </c:pt>
                <c:pt idx="72">
                  <c:v>2</c:v>
                </c:pt>
                <c:pt idx="73">
                  <c:v>3</c:v>
                </c:pt>
                <c:pt idx="7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45-4172-93B4-659C23ECE9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1675487712"/>
        <c:axId val="1675485312"/>
      </c:barChart>
      <c:catAx>
        <c:axId val="1675487712"/>
        <c:scaling>
          <c:orientation val="minMax"/>
        </c:scaling>
        <c:delete val="0"/>
        <c:axPos val="b"/>
        <c:numFmt formatCode="#,##0.0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/>
            </a:pPr>
            <a:endParaRPr lang="zh-CN"/>
          </a:p>
        </c:txPr>
        <c:crossAx val="1675485312"/>
        <c:crosses val="autoZero"/>
        <c:auto val="1"/>
        <c:lblAlgn val="ctr"/>
        <c:lblOffset val="100"/>
        <c:tickLblSkip val="3"/>
        <c:tickMarkSkip val="7"/>
        <c:noMultiLvlLbl val="0"/>
      </c:catAx>
      <c:valAx>
        <c:axId val="1675485312"/>
        <c:scaling>
          <c:orientation val="minMax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altLang="zh-CN" sz="800"/>
                </a:pPr>
                <a:r>
                  <a:rPr lang="en-US" altLang="zh-CN" sz="800" b="0" i="0" u="none" strike="noStrike" baseline="0">
                    <a:effectLst/>
                  </a:rPr>
                  <a:t>Frequencies</a:t>
                </a:r>
                <a:endParaRPr lang="zh-CN" altLang="en-US"/>
              </a:p>
            </c:rich>
          </c:tx>
          <c:overlay val="0"/>
        </c:title>
        <c:numFmt formatCode="####0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zh-CN"/>
          </a:p>
        </c:txPr>
        <c:crossAx val="1675487712"/>
        <c:crosses val="autoZero"/>
        <c:crossBetween val="between"/>
      </c:valAx>
      <c:spPr>
        <a:solidFill>
          <a:srgbClr val="FFFFFF"/>
        </a:solidFill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altLang="zh-CN" sz="1000"/>
            </a:pPr>
            <a:r>
              <a:rPr lang="en-US" altLang="zh-CN"/>
              <a:t>Cd</a:t>
            </a:r>
            <a:endParaRPr lang="zh-CN" altLang="en-US"/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rgbClr val="1932EB"/>
            </a:solidFill>
            <a:ln w="12700">
              <a:solidFill>
                <a:srgbClr val="969696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1932EB"/>
              </a:solidFill>
              <a:ln w="0">
                <a:solidFill>
                  <a:srgbClr val="969696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87C2-4C95-89E3-5B722A565B73}"/>
              </c:ext>
            </c:extLst>
          </c:dPt>
          <c:cat>
            <c:numRef>
              <c:f>报表!$W$5:$W$79</c:f>
              <c:numCache>
                <c:formatCode>General</c:formatCode>
                <c:ptCount val="75"/>
                <c:pt idx="0" formatCode="0.00E+00">
                  <c:v>1.6676864328524071E-5</c:v>
                </c:pt>
                <c:pt idx="18" formatCode="0.00E+00">
                  <c:v>6.170439801553634E-4</c:v>
                </c:pt>
                <c:pt idx="36" formatCode="0.00E+00">
                  <c:v>1.2174110959822027E-3</c:v>
                </c:pt>
                <c:pt idx="54" formatCode="0.00E+00">
                  <c:v>1.817778211809042E-3</c:v>
                </c:pt>
                <c:pt idx="74" formatCode="0.00E+00">
                  <c:v>2.4848527849499749E-3</c:v>
                </c:pt>
              </c:numCache>
            </c:numRef>
          </c:cat>
          <c:val>
            <c:numRef>
              <c:f>报表!$X$5:$X$79</c:f>
              <c:numCache>
                <c:formatCode>####0</c:formatCode>
                <c:ptCount val="75"/>
                <c:pt idx="0">
                  <c:v>9923</c:v>
                </c:pt>
                <c:pt idx="1">
                  <c:v>31</c:v>
                </c:pt>
                <c:pt idx="2">
                  <c:v>13</c:v>
                </c:pt>
                <c:pt idx="3">
                  <c:v>5</c:v>
                </c:pt>
                <c:pt idx="4">
                  <c:v>5</c:v>
                </c:pt>
                <c:pt idx="5">
                  <c:v>2</c:v>
                </c:pt>
                <c:pt idx="6">
                  <c:v>0</c:v>
                </c:pt>
                <c:pt idx="7">
                  <c:v>2</c:v>
                </c:pt>
                <c:pt idx="8">
                  <c:v>2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3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1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1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1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7C2-4C95-89E3-5B722A565B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2121019008"/>
        <c:axId val="2121017088"/>
      </c:barChart>
      <c:catAx>
        <c:axId val="2121019008"/>
        <c:scaling>
          <c:orientation val="minMax"/>
        </c:scaling>
        <c:delete val="0"/>
        <c:axPos val="b"/>
        <c:numFmt formatCode="0.00E+0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/>
            </a:pPr>
            <a:endParaRPr lang="zh-CN"/>
          </a:p>
        </c:txPr>
        <c:crossAx val="2121017088"/>
        <c:crosses val="autoZero"/>
        <c:auto val="1"/>
        <c:lblAlgn val="ctr"/>
        <c:lblOffset val="100"/>
        <c:tickLblSkip val="3"/>
        <c:tickMarkSkip val="7"/>
        <c:noMultiLvlLbl val="0"/>
      </c:catAx>
      <c:valAx>
        <c:axId val="2121017088"/>
        <c:scaling>
          <c:orientation val="minMax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altLang="zh-CN" sz="800"/>
                </a:pPr>
                <a:r>
                  <a:rPr lang="en-US" altLang="zh-CN" sz="800" b="0" i="0" u="none" strike="noStrike" baseline="0">
                    <a:effectLst/>
                  </a:rPr>
                  <a:t>Frequencies</a:t>
                </a:r>
                <a:endParaRPr lang="zh-CN" altLang="en-US"/>
              </a:p>
            </c:rich>
          </c:tx>
          <c:overlay val="0"/>
        </c:title>
        <c:numFmt formatCode="####0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zh-CN"/>
          </a:p>
        </c:txPr>
        <c:crossAx val="2121019008"/>
        <c:crosses val="autoZero"/>
        <c:crossBetween val="between"/>
      </c:valAx>
      <c:spPr>
        <a:solidFill>
          <a:srgbClr val="FFFFFF"/>
        </a:solidFill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altLang="zh-CN" sz="1000"/>
            </a:pPr>
            <a:r>
              <a:rPr lang="en-US" altLang="zh-CN"/>
              <a:t>Mn</a:t>
            </a:r>
            <a:endParaRPr lang="zh-CN" altLang="en-US"/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rgbClr val="1932EB"/>
            </a:solidFill>
            <a:ln w="0">
              <a:solidFill>
                <a:srgbClr val="969696"/>
              </a:solidFill>
              <a:prstDash val="solid"/>
            </a:ln>
          </c:spPr>
          <c:invertIfNegative val="0"/>
          <c:cat>
            <c:numRef>
              <c:f>报表!$AC$5:$AC$79</c:f>
              <c:numCache>
                <c:formatCode>General</c:formatCode>
                <c:ptCount val="75"/>
                <c:pt idx="0" formatCode="#,##0.00">
                  <c:v>2.2553435342194568E-3</c:v>
                </c:pt>
                <c:pt idx="18" formatCode="#,##0.00">
                  <c:v>7.007274512875071E-2</c:v>
                </c:pt>
                <c:pt idx="36" formatCode="#,##0.00">
                  <c:v>0.13789014672328193</c:v>
                </c:pt>
                <c:pt idx="54" formatCode="#,##0.00">
                  <c:v>0.20570754831781318</c:v>
                </c:pt>
                <c:pt idx="74" formatCode="#,##0.00">
                  <c:v>0.2810602167561812</c:v>
                </c:pt>
              </c:numCache>
            </c:numRef>
          </c:cat>
          <c:val>
            <c:numRef>
              <c:f>报表!$AD$5:$AD$79</c:f>
              <c:numCache>
                <c:formatCode>####0</c:formatCode>
                <c:ptCount val="75"/>
                <c:pt idx="0">
                  <c:v>483</c:v>
                </c:pt>
                <c:pt idx="1">
                  <c:v>854</c:v>
                </c:pt>
                <c:pt idx="2">
                  <c:v>874</c:v>
                </c:pt>
                <c:pt idx="3">
                  <c:v>723</c:v>
                </c:pt>
                <c:pt idx="4">
                  <c:v>688</c:v>
                </c:pt>
                <c:pt idx="5">
                  <c:v>568</c:v>
                </c:pt>
                <c:pt idx="6">
                  <c:v>521</c:v>
                </c:pt>
                <c:pt idx="7">
                  <c:v>444</c:v>
                </c:pt>
                <c:pt idx="8">
                  <c:v>417</c:v>
                </c:pt>
                <c:pt idx="9">
                  <c:v>363</c:v>
                </c:pt>
                <c:pt idx="10">
                  <c:v>340</c:v>
                </c:pt>
                <c:pt idx="11">
                  <c:v>299</c:v>
                </c:pt>
                <c:pt idx="12">
                  <c:v>257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F8-447F-98B9-061DD5885944}"/>
            </c:ext>
          </c:extLst>
        </c:ser>
        <c:ser>
          <c:idx val="1"/>
          <c:order val="1"/>
          <c:spPr>
            <a:pattFill prst="pct5">
              <a:fgClr>
                <a:srgbClr val="808080"/>
              </a:fgClr>
              <a:bgClr>
                <a:srgbClr val="FF8080"/>
              </a:bgClr>
            </a:pattFill>
            <a:ln w="0">
              <a:solidFill>
                <a:srgbClr val="969696"/>
              </a:solidFill>
              <a:prstDash val="solid"/>
            </a:ln>
          </c:spPr>
          <c:invertIfNegative val="0"/>
          <c:cat>
            <c:numRef>
              <c:f>报表!$AC$5:$AC$79</c:f>
              <c:numCache>
                <c:formatCode>General</c:formatCode>
                <c:ptCount val="75"/>
                <c:pt idx="0" formatCode="#,##0.00">
                  <c:v>2.2553435342194568E-3</c:v>
                </c:pt>
                <c:pt idx="18" formatCode="#,##0.00">
                  <c:v>7.007274512875071E-2</c:v>
                </c:pt>
                <c:pt idx="36" formatCode="#,##0.00">
                  <c:v>0.13789014672328193</c:v>
                </c:pt>
                <c:pt idx="54" formatCode="#,##0.00">
                  <c:v>0.20570754831781318</c:v>
                </c:pt>
                <c:pt idx="74" formatCode="#,##0.00">
                  <c:v>0.2810602167561812</c:v>
                </c:pt>
              </c:numCache>
            </c:numRef>
          </c:cat>
          <c:val>
            <c:numRef>
              <c:f>报表!$AE$5:$AE$79</c:f>
              <c:numCache>
                <c:formatCode>General</c:formatCode>
                <c:ptCount val="75"/>
                <c:pt idx="13" formatCode="####0">
                  <c:v>230</c:v>
                </c:pt>
                <c:pt idx="14" formatCode="####0">
                  <c:v>216</c:v>
                </c:pt>
                <c:pt idx="15" formatCode="####0">
                  <c:v>177</c:v>
                </c:pt>
                <c:pt idx="16" formatCode="####0">
                  <c:v>181</c:v>
                </c:pt>
                <c:pt idx="17" formatCode="####0">
                  <c:v>127</c:v>
                </c:pt>
                <c:pt idx="18" formatCode="####0">
                  <c:v>143</c:v>
                </c:pt>
                <c:pt idx="19" formatCode="####0">
                  <c:v>127</c:v>
                </c:pt>
                <c:pt idx="20" formatCode="####0">
                  <c:v>112</c:v>
                </c:pt>
                <c:pt idx="21" formatCode="####0">
                  <c:v>129</c:v>
                </c:pt>
                <c:pt idx="22" formatCode="####0">
                  <c:v>106</c:v>
                </c:pt>
                <c:pt idx="23" formatCode="####0">
                  <c:v>83</c:v>
                </c:pt>
                <c:pt idx="24" formatCode="####0">
                  <c:v>74</c:v>
                </c:pt>
                <c:pt idx="25" formatCode="####0">
                  <c:v>79</c:v>
                </c:pt>
                <c:pt idx="26" formatCode="####0">
                  <c:v>78</c:v>
                </c:pt>
                <c:pt idx="27" formatCode="####0">
                  <c:v>62</c:v>
                </c:pt>
                <c:pt idx="28" formatCode="####0">
                  <c:v>59</c:v>
                </c:pt>
                <c:pt idx="29" formatCode="####0">
                  <c:v>63</c:v>
                </c:pt>
                <c:pt idx="30" formatCode="####0">
                  <c:v>62</c:v>
                </c:pt>
                <c:pt idx="31" formatCode="####0">
                  <c:v>47</c:v>
                </c:pt>
                <c:pt idx="32" formatCode="####0">
                  <c:v>59</c:v>
                </c:pt>
                <c:pt idx="33" formatCode="####0">
                  <c:v>37</c:v>
                </c:pt>
                <c:pt idx="34" formatCode="####0">
                  <c:v>41</c:v>
                </c:pt>
                <c:pt idx="35" formatCode="####0">
                  <c:v>36</c:v>
                </c:pt>
                <c:pt idx="36" formatCode="####0">
                  <c:v>23</c:v>
                </c:pt>
                <c:pt idx="37" formatCode="####0">
                  <c:v>27</c:v>
                </c:pt>
                <c:pt idx="38" formatCode="####0">
                  <c:v>37</c:v>
                </c:pt>
                <c:pt idx="39" formatCode="####0">
                  <c:v>36</c:v>
                </c:pt>
                <c:pt idx="40" formatCode="####0">
                  <c:v>27</c:v>
                </c:pt>
                <c:pt idx="41" formatCode="####0">
                  <c:v>26</c:v>
                </c:pt>
                <c:pt idx="42" formatCode="####0">
                  <c:v>36</c:v>
                </c:pt>
                <c:pt idx="43" formatCode="####0">
                  <c:v>25</c:v>
                </c:pt>
                <c:pt idx="44" formatCode="####0">
                  <c:v>26</c:v>
                </c:pt>
                <c:pt idx="45" formatCode="####0">
                  <c:v>24</c:v>
                </c:pt>
                <c:pt idx="46" formatCode="####0">
                  <c:v>23</c:v>
                </c:pt>
                <c:pt idx="47" formatCode="####0">
                  <c:v>16</c:v>
                </c:pt>
                <c:pt idx="48" formatCode="####0">
                  <c:v>18</c:v>
                </c:pt>
                <c:pt idx="49" formatCode="####0">
                  <c:v>12</c:v>
                </c:pt>
                <c:pt idx="50" formatCode="####0">
                  <c:v>21</c:v>
                </c:pt>
                <c:pt idx="51" formatCode="####0">
                  <c:v>27</c:v>
                </c:pt>
                <c:pt idx="52" formatCode="####0">
                  <c:v>22</c:v>
                </c:pt>
                <c:pt idx="53" formatCode="####0">
                  <c:v>19</c:v>
                </c:pt>
                <c:pt idx="54" formatCode="####0">
                  <c:v>10</c:v>
                </c:pt>
                <c:pt idx="55" formatCode="####0">
                  <c:v>9</c:v>
                </c:pt>
                <c:pt idx="56" formatCode="####0">
                  <c:v>11</c:v>
                </c:pt>
                <c:pt idx="57" formatCode="####0">
                  <c:v>12</c:v>
                </c:pt>
                <c:pt idx="58" formatCode="####0">
                  <c:v>12</c:v>
                </c:pt>
                <c:pt idx="59" formatCode="####0">
                  <c:v>16</c:v>
                </c:pt>
                <c:pt idx="60" formatCode="####0">
                  <c:v>8</c:v>
                </c:pt>
                <c:pt idx="61" formatCode="####0">
                  <c:v>8</c:v>
                </c:pt>
                <c:pt idx="62" formatCode="####0">
                  <c:v>8</c:v>
                </c:pt>
                <c:pt idx="63" formatCode="####0">
                  <c:v>8</c:v>
                </c:pt>
                <c:pt idx="64" formatCode="####0">
                  <c:v>14</c:v>
                </c:pt>
                <c:pt idx="65" formatCode="####0">
                  <c:v>13</c:v>
                </c:pt>
                <c:pt idx="66" formatCode="####0">
                  <c:v>7</c:v>
                </c:pt>
                <c:pt idx="67" formatCode="####0">
                  <c:v>7</c:v>
                </c:pt>
                <c:pt idx="68" formatCode="####0">
                  <c:v>6</c:v>
                </c:pt>
                <c:pt idx="69" formatCode="####0">
                  <c:v>9</c:v>
                </c:pt>
                <c:pt idx="70" formatCode="####0">
                  <c:v>13</c:v>
                </c:pt>
                <c:pt idx="71" formatCode="####0">
                  <c:v>7</c:v>
                </c:pt>
                <c:pt idx="72" formatCode="####0">
                  <c:v>5</c:v>
                </c:pt>
                <c:pt idx="73" formatCode="####0">
                  <c:v>4</c:v>
                </c:pt>
                <c:pt idx="74" formatCode="####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F8-447F-98B9-061DD58859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1674057536"/>
        <c:axId val="1674058496"/>
      </c:barChart>
      <c:catAx>
        <c:axId val="1674057536"/>
        <c:scaling>
          <c:orientation val="minMax"/>
        </c:scaling>
        <c:delete val="0"/>
        <c:axPos val="b"/>
        <c:numFmt formatCode="#,##0.0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/>
            </a:pPr>
            <a:endParaRPr lang="zh-CN"/>
          </a:p>
        </c:txPr>
        <c:crossAx val="1674058496"/>
        <c:crosses val="autoZero"/>
        <c:auto val="1"/>
        <c:lblAlgn val="ctr"/>
        <c:lblOffset val="100"/>
        <c:tickLblSkip val="3"/>
        <c:tickMarkSkip val="7"/>
        <c:noMultiLvlLbl val="0"/>
      </c:catAx>
      <c:valAx>
        <c:axId val="1674058496"/>
        <c:scaling>
          <c:orientation val="minMax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altLang="zh-CN" sz="800"/>
                </a:pPr>
                <a:r>
                  <a:rPr lang="en-US" altLang="zh-CN" sz="800" b="0" i="0" u="none" strike="noStrike" baseline="0">
                    <a:effectLst/>
                  </a:rPr>
                  <a:t>Frequencies</a:t>
                </a:r>
                <a:endParaRPr lang="zh-CN" altLang="en-US"/>
              </a:p>
            </c:rich>
          </c:tx>
          <c:overlay val="0"/>
        </c:title>
        <c:numFmt formatCode="####0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zh-CN"/>
          </a:p>
        </c:txPr>
        <c:crossAx val="1674057536"/>
        <c:crosses val="autoZero"/>
        <c:crossBetween val="between"/>
      </c:valAx>
      <c:spPr>
        <a:solidFill>
          <a:srgbClr val="FFFFFF"/>
        </a:solidFill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>
      <a:solidFill>
        <a:schemeClr val="bg1"/>
      </a:solidFill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altLang="zh-CN" sz="1000"/>
            </a:pPr>
            <a:r>
              <a:rPr lang="en-US" altLang="zh-CN"/>
              <a:t>Pb</a:t>
            </a:r>
            <a:endParaRPr lang="zh-CN" altLang="en-US"/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rgbClr val="1932EB"/>
            </a:solidFill>
            <a:ln w="0">
              <a:solidFill>
                <a:srgbClr val="969696"/>
              </a:solidFill>
              <a:prstDash val="solid"/>
            </a:ln>
          </c:spPr>
          <c:invertIfNegative val="0"/>
          <c:cat>
            <c:numRef>
              <c:f>报表!$AI$5:$AI$79</c:f>
              <c:numCache>
                <c:formatCode>General</c:formatCode>
                <c:ptCount val="75"/>
                <c:pt idx="0" formatCode="#,##0.00">
                  <c:v>-7.1542836978590067E-3</c:v>
                </c:pt>
                <c:pt idx="18" formatCode="#,##0.00">
                  <c:v>0.17185209929053541</c:v>
                </c:pt>
                <c:pt idx="36" formatCode="#,##0.00">
                  <c:v>0.3508584822789298</c:v>
                </c:pt>
                <c:pt idx="54" formatCode="#,##0.00">
                  <c:v>0.52986486526732424</c:v>
                </c:pt>
                <c:pt idx="74" formatCode="#,##0.00">
                  <c:v>0.72876084636554028</c:v>
                </c:pt>
              </c:numCache>
            </c:numRef>
          </c:cat>
          <c:val>
            <c:numRef>
              <c:f>报表!$AJ$5:$AJ$79</c:f>
              <c:numCache>
                <c:formatCode>####0</c:formatCode>
                <c:ptCount val="75"/>
                <c:pt idx="0">
                  <c:v>4363</c:v>
                </c:pt>
                <c:pt idx="1">
                  <c:v>2225</c:v>
                </c:pt>
                <c:pt idx="2">
                  <c:v>932</c:v>
                </c:pt>
                <c:pt idx="3">
                  <c:v>484</c:v>
                </c:pt>
                <c:pt idx="4">
                  <c:v>349</c:v>
                </c:pt>
                <c:pt idx="5">
                  <c:v>231</c:v>
                </c:pt>
                <c:pt idx="6">
                  <c:v>188</c:v>
                </c:pt>
                <c:pt idx="7">
                  <c:v>139</c:v>
                </c:pt>
                <c:pt idx="8">
                  <c:v>119</c:v>
                </c:pt>
                <c:pt idx="9">
                  <c:v>98</c:v>
                </c:pt>
                <c:pt idx="10">
                  <c:v>74</c:v>
                </c:pt>
                <c:pt idx="11">
                  <c:v>74</c:v>
                </c:pt>
                <c:pt idx="12">
                  <c:v>71</c:v>
                </c:pt>
                <c:pt idx="13">
                  <c:v>64</c:v>
                </c:pt>
                <c:pt idx="14">
                  <c:v>43</c:v>
                </c:pt>
                <c:pt idx="15">
                  <c:v>41</c:v>
                </c:pt>
                <c:pt idx="16">
                  <c:v>39</c:v>
                </c:pt>
                <c:pt idx="17">
                  <c:v>30</c:v>
                </c:pt>
                <c:pt idx="18">
                  <c:v>27</c:v>
                </c:pt>
                <c:pt idx="19">
                  <c:v>21</c:v>
                </c:pt>
                <c:pt idx="20">
                  <c:v>22</c:v>
                </c:pt>
                <c:pt idx="21">
                  <c:v>25</c:v>
                </c:pt>
                <c:pt idx="22">
                  <c:v>19</c:v>
                </c:pt>
                <c:pt idx="23">
                  <c:v>15</c:v>
                </c:pt>
                <c:pt idx="24">
                  <c:v>11</c:v>
                </c:pt>
                <c:pt idx="25">
                  <c:v>19</c:v>
                </c:pt>
                <c:pt idx="26">
                  <c:v>12</c:v>
                </c:pt>
                <c:pt idx="27">
                  <c:v>9</c:v>
                </c:pt>
                <c:pt idx="28">
                  <c:v>12</c:v>
                </c:pt>
                <c:pt idx="29">
                  <c:v>5</c:v>
                </c:pt>
                <c:pt idx="30">
                  <c:v>12</c:v>
                </c:pt>
                <c:pt idx="31">
                  <c:v>10</c:v>
                </c:pt>
                <c:pt idx="32">
                  <c:v>11</c:v>
                </c:pt>
                <c:pt idx="33">
                  <c:v>7</c:v>
                </c:pt>
                <c:pt idx="34">
                  <c:v>4</c:v>
                </c:pt>
                <c:pt idx="35">
                  <c:v>8</c:v>
                </c:pt>
                <c:pt idx="36">
                  <c:v>6</c:v>
                </c:pt>
                <c:pt idx="37">
                  <c:v>7</c:v>
                </c:pt>
                <c:pt idx="38">
                  <c:v>9</c:v>
                </c:pt>
                <c:pt idx="39">
                  <c:v>5</c:v>
                </c:pt>
                <c:pt idx="40">
                  <c:v>3</c:v>
                </c:pt>
                <c:pt idx="41">
                  <c:v>4</c:v>
                </c:pt>
                <c:pt idx="42">
                  <c:v>7</c:v>
                </c:pt>
                <c:pt idx="43">
                  <c:v>7</c:v>
                </c:pt>
                <c:pt idx="44">
                  <c:v>2</c:v>
                </c:pt>
                <c:pt idx="45">
                  <c:v>3</c:v>
                </c:pt>
                <c:pt idx="46">
                  <c:v>3</c:v>
                </c:pt>
                <c:pt idx="47">
                  <c:v>3</c:v>
                </c:pt>
                <c:pt idx="48">
                  <c:v>4</c:v>
                </c:pt>
                <c:pt idx="49">
                  <c:v>3</c:v>
                </c:pt>
                <c:pt idx="5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A5-453A-A1BC-E247456DDC21}"/>
            </c:ext>
          </c:extLst>
        </c:ser>
        <c:ser>
          <c:idx val="1"/>
          <c:order val="1"/>
          <c:spPr>
            <a:pattFill prst="pct5">
              <a:fgClr>
                <a:srgbClr val="808080"/>
              </a:fgClr>
              <a:bgClr>
                <a:srgbClr val="FF8080"/>
              </a:bgClr>
            </a:pattFill>
            <a:ln w="0">
              <a:solidFill>
                <a:srgbClr val="969696"/>
              </a:solidFill>
              <a:prstDash val="solid"/>
            </a:ln>
          </c:spPr>
          <c:invertIfNegative val="0"/>
          <c:cat>
            <c:numRef>
              <c:f>报表!$AI$5:$AI$79</c:f>
              <c:numCache>
                <c:formatCode>General</c:formatCode>
                <c:ptCount val="75"/>
                <c:pt idx="0" formatCode="#,##0.00">
                  <c:v>-7.1542836978590067E-3</c:v>
                </c:pt>
                <c:pt idx="18" formatCode="#,##0.00">
                  <c:v>0.17185209929053541</c:v>
                </c:pt>
                <c:pt idx="36" formatCode="#,##0.00">
                  <c:v>0.3508584822789298</c:v>
                </c:pt>
                <c:pt idx="54" formatCode="#,##0.00">
                  <c:v>0.52986486526732424</c:v>
                </c:pt>
                <c:pt idx="74" formatCode="#,##0.00">
                  <c:v>0.72876084636554028</c:v>
                </c:pt>
              </c:numCache>
            </c:numRef>
          </c:cat>
          <c:val>
            <c:numRef>
              <c:f>报表!$AK$5:$AK$79</c:f>
              <c:numCache>
                <c:formatCode>General</c:formatCode>
                <c:ptCount val="75"/>
                <c:pt idx="51" formatCode="####0">
                  <c:v>3</c:v>
                </c:pt>
                <c:pt idx="52" formatCode="####0">
                  <c:v>2</c:v>
                </c:pt>
                <c:pt idx="53" formatCode="####0">
                  <c:v>3</c:v>
                </c:pt>
                <c:pt idx="54" formatCode="####0">
                  <c:v>4</c:v>
                </c:pt>
                <c:pt idx="55" formatCode="####0">
                  <c:v>3</c:v>
                </c:pt>
                <c:pt idx="56" formatCode="####0">
                  <c:v>1</c:v>
                </c:pt>
                <c:pt idx="57" formatCode="####0">
                  <c:v>3</c:v>
                </c:pt>
                <c:pt idx="58" formatCode="####0">
                  <c:v>5</c:v>
                </c:pt>
                <c:pt idx="59" formatCode="####0">
                  <c:v>3</c:v>
                </c:pt>
                <c:pt idx="60" formatCode="####0">
                  <c:v>1</c:v>
                </c:pt>
                <c:pt idx="61" formatCode="####0">
                  <c:v>3</c:v>
                </c:pt>
                <c:pt idx="62" formatCode="####0">
                  <c:v>2</c:v>
                </c:pt>
                <c:pt idx="63" formatCode="####0">
                  <c:v>2</c:v>
                </c:pt>
                <c:pt idx="64" formatCode="####0">
                  <c:v>2</c:v>
                </c:pt>
                <c:pt idx="65" formatCode="####0">
                  <c:v>2</c:v>
                </c:pt>
                <c:pt idx="66" formatCode="####0">
                  <c:v>1</c:v>
                </c:pt>
                <c:pt idx="67" formatCode="####0">
                  <c:v>3</c:v>
                </c:pt>
                <c:pt idx="68" formatCode="####0">
                  <c:v>1</c:v>
                </c:pt>
                <c:pt idx="69" formatCode="####0">
                  <c:v>2</c:v>
                </c:pt>
                <c:pt idx="70" formatCode="####0">
                  <c:v>2</c:v>
                </c:pt>
                <c:pt idx="71" formatCode="####0">
                  <c:v>2</c:v>
                </c:pt>
                <c:pt idx="72" formatCode="####0">
                  <c:v>2</c:v>
                </c:pt>
                <c:pt idx="73" formatCode="####0">
                  <c:v>2</c:v>
                </c:pt>
                <c:pt idx="74" formatCode="####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A5-453A-A1BC-E247456DDC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546926224"/>
        <c:axId val="546926704"/>
      </c:barChart>
      <c:catAx>
        <c:axId val="546926224"/>
        <c:scaling>
          <c:orientation val="minMax"/>
        </c:scaling>
        <c:delete val="0"/>
        <c:axPos val="b"/>
        <c:numFmt formatCode="#,##0.0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/>
            </a:pPr>
            <a:endParaRPr lang="zh-CN"/>
          </a:p>
        </c:txPr>
        <c:crossAx val="546926704"/>
        <c:crosses val="autoZero"/>
        <c:auto val="1"/>
        <c:lblAlgn val="ctr"/>
        <c:lblOffset val="100"/>
        <c:tickLblSkip val="3"/>
        <c:tickMarkSkip val="7"/>
        <c:noMultiLvlLbl val="0"/>
      </c:catAx>
      <c:valAx>
        <c:axId val="546926704"/>
        <c:scaling>
          <c:orientation val="minMax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altLang="zh-CN" sz="800"/>
                </a:pPr>
                <a:r>
                  <a:rPr lang="en-US" altLang="zh-CN" sz="800" b="0" i="0" u="none" strike="noStrike" baseline="0">
                    <a:effectLst/>
                  </a:rPr>
                  <a:t>Frequencies</a:t>
                </a:r>
                <a:endParaRPr lang="zh-CN" altLang="en-US"/>
              </a:p>
            </c:rich>
          </c:tx>
          <c:overlay val="0"/>
        </c:title>
        <c:numFmt formatCode="####0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zh-CN"/>
          </a:p>
        </c:txPr>
        <c:crossAx val="546926224"/>
        <c:crosses val="autoZero"/>
        <c:crossBetween val="between"/>
      </c:valAx>
      <c:spPr>
        <a:solidFill>
          <a:srgbClr val="FFFFFF"/>
        </a:solidFill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altLang="zh-CN" sz="1000"/>
            </a:pPr>
            <a:r>
              <a:rPr lang="en-US" altLang="zh-CN"/>
              <a:t>Cu</a:t>
            </a:r>
            <a:endParaRPr lang="zh-CN" altLang="en-US"/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rgbClr val="1932EB"/>
            </a:solidFill>
            <a:ln w="0">
              <a:solidFill>
                <a:srgbClr val="969696"/>
              </a:solidFill>
              <a:prstDash val="solid"/>
            </a:ln>
          </c:spPr>
          <c:invertIfNegative val="0"/>
          <c:cat>
            <c:numRef>
              <c:f>报表!$AO$5:$AO$79</c:f>
              <c:numCache>
                <c:formatCode>General</c:formatCode>
                <c:ptCount val="75"/>
                <c:pt idx="0" formatCode="#,##0.00">
                  <c:v>1.4646537125946362E-2</c:v>
                </c:pt>
                <c:pt idx="18" formatCode="#,##0.00">
                  <c:v>0.5029057376647571</c:v>
                </c:pt>
                <c:pt idx="36" formatCode="#,##0.00">
                  <c:v>0.99116493820356788</c:v>
                </c:pt>
                <c:pt idx="54" formatCode="#,##0.00">
                  <c:v>1.4794241387423785</c:v>
                </c:pt>
                <c:pt idx="74" formatCode="#,##0.00">
                  <c:v>2.0219343615632797</c:v>
                </c:pt>
              </c:numCache>
            </c:numRef>
          </c:cat>
          <c:val>
            <c:numRef>
              <c:f>报表!$AP$5:$AP$79</c:f>
              <c:numCache>
                <c:formatCode>General</c:formatCode>
                <c:ptCount val="75"/>
                <c:pt idx="0" formatCode="####0">
                  <c:v>1550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4E-4440-B7EF-04794ED528F9}"/>
            </c:ext>
          </c:extLst>
        </c:ser>
        <c:ser>
          <c:idx val="1"/>
          <c:order val="1"/>
          <c:spPr>
            <a:pattFill prst="pct5">
              <a:fgClr>
                <a:srgbClr val="808080"/>
              </a:fgClr>
              <a:bgClr>
                <a:srgbClr val="FF8080"/>
              </a:bgClr>
            </a:pattFill>
            <a:ln w="0">
              <a:solidFill>
                <a:srgbClr val="969696"/>
              </a:solidFill>
              <a:prstDash val="solid"/>
            </a:ln>
          </c:spPr>
          <c:invertIfNegative val="0"/>
          <c:cat>
            <c:numRef>
              <c:f>报表!$AO$5:$AO$79</c:f>
              <c:numCache>
                <c:formatCode>General</c:formatCode>
                <c:ptCount val="75"/>
                <c:pt idx="0" formatCode="#,##0.00">
                  <c:v>1.4646537125946362E-2</c:v>
                </c:pt>
                <c:pt idx="18" formatCode="#,##0.00">
                  <c:v>0.5029057376647571</c:v>
                </c:pt>
                <c:pt idx="36" formatCode="#,##0.00">
                  <c:v>0.99116493820356788</c:v>
                </c:pt>
                <c:pt idx="54" formatCode="#,##0.00">
                  <c:v>1.4794241387423785</c:v>
                </c:pt>
                <c:pt idx="74" formatCode="#,##0.00">
                  <c:v>2.0219343615632797</c:v>
                </c:pt>
              </c:numCache>
            </c:numRef>
          </c:cat>
          <c:val>
            <c:numRef>
              <c:f>报表!$AQ$5:$AQ$79</c:f>
              <c:numCache>
                <c:formatCode>####0</c:formatCode>
                <c:ptCount val="75"/>
                <c:pt idx="1">
                  <c:v>1439</c:v>
                </c:pt>
                <c:pt idx="2">
                  <c:v>1061</c:v>
                </c:pt>
                <c:pt idx="3">
                  <c:v>869</c:v>
                </c:pt>
                <c:pt idx="4">
                  <c:v>644</c:v>
                </c:pt>
                <c:pt idx="5">
                  <c:v>500</c:v>
                </c:pt>
                <c:pt idx="6">
                  <c:v>428</c:v>
                </c:pt>
                <c:pt idx="7">
                  <c:v>350</c:v>
                </c:pt>
                <c:pt idx="8">
                  <c:v>321</c:v>
                </c:pt>
                <c:pt idx="9">
                  <c:v>252</c:v>
                </c:pt>
                <c:pt idx="10">
                  <c:v>227</c:v>
                </c:pt>
                <c:pt idx="11">
                  <c:v>184</c:v>
                </c:pt>
                <c:pt idx="12">
                  <c:v>169</c:v>
                </c:pt>
                <c:pt idx="13">
                  <c:v>166</c:v>
                </c:pt>
                <c:pt idx="14">
                  <c:v>133</c:v>
                </c:pt>
                <c:pt idx="15">
                  <c:v>98</c:v>
                </c:pt>
                <c:pt idx="16">
                  <c:v>113</c:v>
                </c:pt>
                <c:pt idx="17">
                  <c:v>91</c:v>
                </c:pt>
                <c:pt idx="18">
                  <c:v>68</c:v>
                </c:pt>
                <c:pt idx="19">
                  <c:v>91</c:v>
                </c:pt>
                <c:pt idx="20">
                  <c:v>74</c:v>
                </c:pt>
                <c:pt idx="21">
                  <c:v>76</c:v>
                </c:pt>
                <c:pt idx="22">
                  <c:v>58</c:v>
                </c:pt>
                <c:pt idx="23">
                  <c:v>56</c:v>
                </c:pt>
                <c:pt idx="24">
                  <c:v>51</c:v>
                </c:pt>
                <c:pt idx="25">
                  <c:v>54</c:v>
                </c:pt>
                <c:pt idx="26">
                  <c:v>37</c:v>
                </c:pt>
                <c:pt idx="27">
                  <c:v>36</c:v>
                </c:pt>
                <c:pt idx="28">
                  <c:v>46</c:v>
                </c:pt>
                <c:pt idx="29">
                  <c:v>45</c:v>
                </c:pt>
                <c:pt idx="30">
                  <c:v>44</c:v>
                </c:pt>
                <c:pt idx="31">
                  <c:v>29</c:v>
                </c:pt>
                <c:pt idx="32">
                  <c:v>26</c:v>
                </c:pt>
                <c:pt idx="33">
                  <c:v>28</c:v>
                </c:pt>
                <c:pt idx="34">
                  <c:v>22</c:v>
                </c:pt>
                <c:pt idx="35">
                  <c:v>20</c:v>
                </c:pt>
                <c:pt idx="36">
                  <c:v>20</c:v>
                </c:pt>
                <c:pt idx="37">
                  <c:v>22</c:v>
                </c:pt>
                <c:pt idx="38">
                  <c:v>17</c:v>
                </c:pt>
                <c:pt idx="39">
                  <c:v>20</c:v>
                </c:pt>
                <c:pt idx="40">
                  <c:v>12</c:v>
                </c:pt>
                <c:pt idx="41">
                  <c:v>14</c:v>
                </c:pt>
                <c:pt idx="42">
                  <c:v>14</c:v>
                </c:pt>
                <c:pt idx="43">
                  <c:v>16</c:v>
                </c:pt>
                <c:pt idx="44">
                  <c:v>11</c:v>
                </c:pt>
                <c:pt idx="45">
                  <c:v>15</c:v>
                </c:pt>
                <c:pt idx="46">
                  <c:v>7</c:v>
                </c:pt>
                <c:pt idx="47">
                  <c:v>15</c:v>
                </c:pt>
                <c:pt idx="48">
                  <c:v>11</c:v>
                </c:pt>
                <c:pt idx="49">
                  <c:v>10</c:v>
                </c:pt>
                <c:pt idx="50">
                  <c:v>7</c:v>
                </c:pt>
                <c:pt idx="51">
                  <c:v>11</c:v>
                </c:pt>
                <c:pt idx="52">
                  <c:v>17</c:v>
                </c:pt>
                <c:pt idx="53">
                  <c:v>7</c:v>
                </c:pt>
                <c:pt idx="54">
                  <c:v>10</c:v>
                </c:pt>
                <c:pt idx="55">
                  <c:v>7</c:v>
                </c:pt>
                <c:pt idx="56">
                  <c:v>10</c:v>
                </c:pt>
                <c:pt idx="57">
                  <c:v>8</c:v>
                </c:pt>
                <c:pt idx="58">
                  <c:v>4</c:v>
                </c:pt>
                <c:pt idx="59">
                  <c:v>7</c:v>
                </c:pt>
                <c:pt idx="60">
                  <c:v>8</c:v>
                </c:pt>
                <c:pt idx="61">
                  <c:v>9</c:v>
                </c:pt>
                <c:pt idx="62">
                  <c:v>7</c:v>
                </c:pt>
                <c:pt idx="63">
                  <c:v>7</c:v>
                </c:pt>
                <c:pt idx="64">
                  <c:v>7</c:v>
                </c:pt>
                <c:pt idx="65">
                  <c:v>8</c:v>
                </c:pt>
                <c:pt idx="66">
                  <c:v>1</c:v>
                </c:pt>
                <c:pt idx="67">
                  <c:v>6</c:v>
                </c:pt>
                <c:pt idx="68">
                  <c:v>4</c:v>
                </c:pt>
                <c:pt idx="69">
                  <c:v>5</c:v>
                </c:pt>
                <c:pt idx="70">
                  <c:v>4</c:v>
                </c:pt>
                <c:pt idx="71">
                  <c:v>2</c:v>
                </c:pt>
                <c:pt idx="72">
                  <c:v>3</c:v>
                </c:pt>
                <c:pt idx="73">
                  <c:v>6</c:v>
                </c:pt>
                <c:pt idx="7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4E-4440-B7EF-04794ED528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1675486272"/>
        <c:axId val="1675488192"/>
      </c:barChart>
      <c:catAx>
        <c:axId val="1675486272"/>
        <c:scaling>
          <c:orientation val="minMax"/>
        </c:scaling>
        <c:delete val="0"/>
        <c:axPos val="b"/>
        <c:numFmt formatCode="#,##0.0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/>
            </a:pPr>
            <a:endParaRPr lang="zh-CN"/>
          </a:p>
        </c:txPr>
        <c:crossAx val="1675488192"/>
        <c:crosses val="autoZero"/>
        <c:auto val="1"/>
        <c:lblAlgn val="ctr"/>
        <c:lblOffset val="100"/>
        <c:tickLblSkip val="3"/>
        <c:tickMarkSkip val="7"/>
        <c:noMultiLvlLbl val="0"/>
      </c:catAx>
      <c:valAx>
        <c:axId val="1675488192"/>
        <c:scaling>
          <c:orientation val="minMax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altLang="zh-CN" sz="800"/>
                </a:pPr>
                <a:r>
                  <a:rPr lang="en-US" altLang="zh-CN" sz="800" b="0" i="0" u="none" strike="noStrike" baseline="0">
                    <a:effectLst/>
                  </a:rPr>
                  <a:t>Frequencies</a:t>
                </a:r>
                <a:endParaRPr lang="zh-CN" altLang="en-US"/>
              </a:p>
            </c:rich>
          </c:tx>
          <c:overlay val="0"/>
        </c:title>
        <c:numFmt formatCode="####0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zh-CN"/>
          </a:p>
        </c:txPr>
        <c:crossAx val="1675486272"/>
        <c:crosses val="autoZero"/>
        <c:crossBetween val="between"/>
      </c:valAx>
      <c:spPr>
        <a:solidFill>
          <a:srgbClr val="FFFFFF"/>
        </a:solidFill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>
      <a:noFill/>
    </a:ln>
  </c:sp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altLang="zh-CN" sz="1000"/>
            </a:pPr>
            <a:r>
              <a:rPr lang="en-US" altLang="zh-CN"/>
              <a:t>Ni</a:t>
            </a:r>
            <a:endParaRPr lang="zh-CN" altLang="en-US"/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rgbClr val="1932EB"/>
            </a:solidFill>
            <a:ln w="0">
              <a:solidFill>
                <a:srgbClr val="969696"/>
              </a:solidFill>
              <a:prstDash val="solid"/>
            </a:ln>
          </c:spPr>
          <c:invertIfNegative val="0"/>
          <c:cat>
            <c:numRef>
              <c:f>报表!$AF$5:$AF$79</c:f>
              <c:numCache>
                <c:formatCode>General</c:formatCode>
                <c:ptCount val="75"/>
                <c:pt idx="0" formatCode="#,##0.00">
                  <c:v>9.1884459998485216E-3</c:v>
                </c:pt>
                <c:pt idx="18" formatCode="#,##0.00">
                  <c:v>0.33964353279985565</c:v>
                </c:pt>
                <c:pt idx="36" formatCode="#,##0.00">
                  <c:v>0.67009861959986294</c:v>
                </c:pt>
                <c:pt idx="54" formatCode="#,##0.00">
                  <c:v>1.00055370639987</c:v>
                </c:pt>
                <c:pt idx="74" formatCode="#,##0.00">
                  <c:v>1.3677260250665446</c:v>
                </c:pt>
              </c:numCache>
            </c:numRef>
          </c:cat>
          <c:val>
            <c:numRef>
              <c:f>报表!$AG$5:$AG$79</c:f>
              <c:numCache>
                <c:formatCode>General</c:formatCode>
                <c:ptCount val="75"/>
                <c:pt idx="0" formatCode="####0">
                  <c:v>4846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2F-4739-B810-5CEE05656DF9}"/>
            </c:ext>
          </c:extLst>
        </c:ser>
        <c:ser>
          <c:idx val="1"/>
          <c:order val="1"/>
          <c:spPr>
            <a:pattFill prst="pct5">
              <a:fgClr>
                <a:srgbClr val="808080"/>
              </a:fgClr>
              <a:bgClr>
                <a:srgbClr val="FF8080"/>
              </a:bgClr>
            </a:pattFill>
            <a:ln w="0">
              <a:solidFill>
                <a:srgbClr val="969696"/>
              </a:solidFill>
              <a:prstDash val="solid"/>
            </a:ln>
          </c:spPr>
          <c:invertIfNegative val="0"/>
          <c:cat>
            <c:numRef>
              <c:f>报表!$AF$5:$AF$79</c:f>
              <c:numCache>
                <c:formatCode>General</c:formatCode>
                <c:ptCount val="75"/>
                <c:pt idx="0" formatCode="#,##0.00">
                  <c:v>9.1884459998485216E-3</c:v>
                </c:pt>
                <c:pt idx="18" formatCode="#,##0.00">
                  <c:v>0.33964353279985565</c:v>
                </c:pt>
                <c:pt idx="36" formatCode="#,##0.00">
                  <c:v>0.67009861959986294</c:v>
                </c:pt>
                <c:pt idx="54" formatCode="#,##0.00">
                  <c:v>1.00055370639987</c:v>
                </c:pt>
                <c:pt idx="74" formatCode="#,##0.00">
                  <c:v>1.3677260250665446</c:v>
                </c:pt>
              </c:numCache>
            </c:numRef>
          </c:cat>
          <c:val>
            <c:numRef>
              <c:f>报表!$AH$5:$AH$79</c:f>
              <c:numCache>
                <c:formatCode>####0</c:formatCode>
                <c:ptCount val="75"/>
                <c:pt idx="1">
                  <c:v>1438</c:v>
                </c:pt>
                <c:pt idx="2">
                  <c:v>785</c:v>
                </c:pt>
                <c:pt idx="3">
                  <c:v>466</c:v>
                </c:pt>
                <c:pt idx="4">
                  <c:v>340</c:v>
                </c:pt>
                <c:pt idx="5">
                  <c:v>295</c:v>
                </c:pt>
                <c:pt idx="6">
                  <c:v>213</c:v>
                </c:pt>
                <c:pt idx="7">
                  <c:v>168</c:v>
                </c:pt>
                <c:pt idx="8">
                  <c:v>133</c:v>
                </c:pt>
                <c:pt idx="9">
                  <c:v>119</c:v>
                </c:pt>
                <c:pt idx="10">
                  <c:v>105</c:v>
                </c:pt>
                <c:pt idx="11">
                  <c:v>86</c:v>
                </c:pt>
                <c:pt idx="12">
                  <c:v>73</c:v>
                </c:pt>
                <c:pt idx="13">
                  <c:v>50</c:v>
                </c:pt>
                <c:pt idx="14">
                  <c:v>57</c:v>
                </c:pt>
                <c:pt idx="15">
                  <c:v>49</c:v>
                </c:pt>
                <c:pt idx="16">
                  <c:v>52</c:v>
                </c:pt>
                <c:pt idx="17">
                  <c:v>45</c:v>
                </c:pt>
                <c:pt idx="18">
                  <c:v>37</c:v>
                </c:pt>
                <c:pt idx="19">
                  <c:v>34</c:v>
                </c:pt>
                <c:pt idx="20">
                  <c:v>34</c:v>
                </c:pt>
                <c:pt idx="21">
                  <c:v>40</c:v>
                </c:pt>
                <c:pt idx="22">
                  <c:v>32</c:v>
                </c:pt>
                <c:pt idx="23">
                  <c:v>24</c:v>
                </c:pt>
                <c:pt idx="24">
                  <c:v>14</c:v>
                </c:pt>
                <c:pt idx="25">
                  <c:v>22</c:v>
                </c:pt>
                <c:pt idx="26">
                  <c:v>21</c:v>
                </c:pt>
                <c:pt idx="27">
                  <c:v>17</c:v>
                </c:pt>
                <c:pt idx="28">
                  <c:v>12</c:v>
                </c:pt>
                <c:pt idx="29">
                  <c:v>13</c:v>
                </c:pt>
                <c:pt idx="30">
                  <c:v>12</c:v>
                </c:pt>
                <c:pt idx="31">
                  <c:v>8</c:v>
                </c:pt>
                <c:pt idx="32">
                  <c:v>13</c:v>
                </c:pt>
                <c:pt idx="33">
                  <c:v>16</c:v>
                </c:pt>
                <c:pt idx="34">
                  <c:v>12</c:v>
                </c:pt>
                <c:pt idx="35">
                  <c:v>13</c:v>
                </c:pt>
                <c:pt idx="36">
                  <c:v>10</c:v>
                </c:pt>
                <c:pt idx="37">
                  <c:v>10</c:v>
                </c:pt>
                <c:pt idx="38">
                  <c:v>7</c:v>
                </c:pt>
                <c:pt idx="39">
                  <c:v>7</c:v>
                </c:pt>
                <c:pt idx="40">
                  <c:v>11</c:v>
                </c:pt>
                <c:pt idx="41">
                  <c:v>5</c:v>
                </c:pt>
                <c:pt idx="42">
                  <c:v>9</c:v>
                </c:pt>
                <c:pt idx="43">
                  <c:v>6</c:v>
                </c:pt>
                <c:pt idx="44">
                  <c:v>6</c:v>
                </c:pt>
                <c:pt idx="45">
                  <c:v>6</c:v>
                </c:pt>
                <c:pt idx="46">
                  <c:v>9</c:v>
                </c:pt>
                <c:pt idx="47">
                  <c:v>2</c:v>
                </c:pt>
                <c:pt idx="48">
                  <c:v>7</c:v>
                </c:pt>
                <c:pt idx="49">
                  <c:v>9</c:v>
                </c:pt>
                <c:pt idx="50">
                  <c:v>3</c:v>
                </c:pt>
                <c:pt idx="51">
                  <c:v>3</c:v>
                </c:pt>
                <c:pt idx="52">
                  <c:v>4</c:v>
                </c:pt>
                <c:pt idx="53">
                  <c:v>4</c:v>
                </c:pt>
                <c:pt idx="54">
                  <c:v>7</c:v>
                </c:pt>
                <c:pt idx="55">
                  <c:v>6</c:v>
                </c:pt>
                <c:pt idx="56">
                  <c:v>6</c:v>
                </c:pt>
                <c:pt idx="57">
                  <c:v>3</c:v>
                </c:pt>
                <c:pt idx="58">
                  <c:v>5</c:v>
                </c:pt>
                <c:pt idx="59">
                  <c:v>1</c:v>
                </c:pt>
                <c:pt idx="60">
                  <c:v>4</c:v>
                </c:pt>
                <c:pt idx="61">
                  <c:v>3</c:v>
                </c:pt>
                <c:pt idx="62">
                  <c:v>3</c:v>
                </c:pt>
                <c:pt idx="63">
                  <c:v>2</c:v>
                </c:pt>
                <c:pt idx="64">
                  <c:v>4</c:v>
                </c:pt>
                <c:pt idx="65">
                  <c:v>8</c:v>
                </c:pt>
                <c:pt idx="66">
                  <c:v>1</c:v>
                </c:pt>
                <c:pt idx="67">
                  <c:v>2</c:v>
                </c:pt>
                <c:pt idx="68">
                  <c:v>3</c:v>
                </c:pt>
                <c:pt idx="69">
                  <c:v>3</c:v>
                </c:pt>
                <c:pt idx="70">
                  <c:v>0</c:v>
                </c:pt>
                <c:pt idx="71">
                  <c:v>2</c:v>
                </c:pt>
                <c:pt idx="72">
                  <c:v>2</c:v>
                </c:pt>
                <c:pt idx="73">
                  <c:v>6</c:v>
                </c:pt>
                <c:pt idx="7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2F-4739-B810-5CEE05656D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546925744"/>
        <c:axId val="546923344"/>
      </c:barChart>
      <c:catAx>
        <c:axId val="546925744"/>
        <c:scaling>
          <c:orientation val="minMax"/>
        </c:scaling>
        <c:delete val="0"/>
        <c:axPos val="b"/>
        <c:numFmt formatCode="#,##0.0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/>
            </a:pPr>
            <a:endParaRPr lang="zh-CN"/>
          </a:p>
        </c:txPr>
        <c:crossAx val="546923344"/>
        <c:crosses val="autoZero"/>
        <c:auto val="1"/>
        <c:lblAlgn val="ctr"/>
        <c:lblOffset val="100"/>
        <c:tickLblSkip val="3"/>
        <c:tickMarkSkip val="7"/>
        <c:noMultiLvlLbl val="0"/>
      </c:catAx>
      <c:valAx>
        <c:axId val="546923344"/>
        <c:scaling>
          <c:orientation val="minMax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altLang="zh-CN" sz="800"/>
                </a:pPr>
                <a:r>
                  <a:rPr lang="en-US" altLang="zh-CN" sz="800" b="0" i="0" u="none" strike="noStrike" baseline="0">
                    <a:effectLst/>
                  </a:rPr>
                  <a:t>Frequencies</a:t>
                </a:r>
                <a:endParaRPr lang="zh-CN" altLang="en-US"/>
              </a:p>
            </c:rich>
          </c:tx>
          <c:overlay val="0"/>
        </c:title>
        <c:numFmt formatCode="####0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zh-CN"/>
          </a:p>
        </c:txPr>
        <c:crossAx val="546925744"/>
        <c:crosses val="autoZero"/>
        <c:crossBetween val="between"/>
      </c:valAx>
      <c:spPr>
        <a:solidFill>
          <a:srgbClr val="FFFFFF"/>
        </a:solidFill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40000"/>
              <a:satMod val="155000"/>
            </a:schemeClr>
          </a:gs>
          <a:gs pos="65000">
            <a:schemeClr val="phClr">
              <a:shade val="85000"/>
              <a:satMod val="155000"/>
            </a:schemeClr>
          </a:gs>
          <a:gs pos="100000">
            <a:schemeClr val="phClr">
              <a:shade val="95000"/>
              <a:satMod val="155000"/>
            </a:schemeClr>
          </a:gs>
        </a:gsLst>
        <a:lin ang="16200000" scaled="0"/>
      </a:gradFill>
    </a:fillStyleLst>
    <a:lnStyleLst>
      <a:ln w="6350" cap="rnd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4925" cap="rnd" cmpd="sng" algn="ctr">
        <a:solidFill>
          <a:schemeClr val="phClr"/>
        </a:solidFill>
        <a:prstDash val="solid"/>
      </a:ln>
    </a:lnStyleLst>
    <a:effectStyleLst>
      <a:effectStyle>
        <a:effectLst>
          <a:outerShdw blurRad="50800" algn="tl" rotWithShape="0">
            <a:srgbClr val="000000">
              <a:alpha val="64000"/>
            </a:srgbClr>
          </a:outerShdw>
        </a:effectLst>
      </a:effectStyle>
      <a:effectStyle>
        <a:effectLst>
          <a:outerShdw blurRad="39000" dist="25400" dir="5400000">
            <a:srgbClr val="000000">
              <a:alpha val="35000"/>
            </a:srgbClr>
          </a:outerShdw>
        </a:effectLst>
      </a:effectStyle>
      <a:effectStyle>
        <a:effectLst>
          <a:outerShdw blurRad="39000" dist="25400" dir="5400000">
            <a:srgbClr val="000000">
              <a:alpha val="35000"/>
            </a:srgbClr>
          </a:outerShdw>
        </a:effectLst>
        <a:scene3d>
          <a:camera prst="orthographicFront" fov="0">
            <a:rot lat="0" lon="0" rev="0"/>
          </a:camera>
          <a:lightRig rig="threePt" dir="t">
            <a:rot lat="0" lon="0" rev="0"/>
          </a:lightRig>
        </a:scene3d>
        <a:sp3d prstMaterial="matte">
          <a:bevelT h="22225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shade val="50000"/>
              <a:satMod val="155000"/>
            </a:schemeClr>
          </a:gs>
          <a:gs pos="35000">
            <a:schemeClr val="phClr">
              <a:shade val="75000"/>
              <a:satMod val="155000"/>
            </a:schemeClr>
          </a:gs>
          <a:gs pos="100000">
            <a:schemeClr val="phClr">
              <a:tint val="80000"/>
              <a:satMod val="255000"/>
            </a:schemeClr>
          </a:gs>
        </a:gsLst>
        <a:lin ang="16200000" scaled="0"/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思源</dc:creator>
  <cp:keywords/>
  <dc:description/>
  <cp:lastModifiedBy>赵 思源</cp:lastModifiedBy>
  <cp:revision>12</cp:revision>
  <dcterms:created xsi:type="dcterms:W3CDTF">2023-04-24T01:44:00Z</dcterms:created>
  <dcterms:modified xsi:type="dcterms:W3CDTF">2023-05-22T12:19:00Z</dcterms:modified>
</cp:coreProperties>
</file>