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31A7" w:rsidRDefault="00AD31A7" w:rsidP="00AD31A7">
      <w:pPr>
        <w:spacing w:before="120" w:after="12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Annexure A</w:t>
      </w:r>
    </w:p>
    <w:p w:rsidR="00AD31A7" w:rsidRPr="00AD31A7" w:rsidRDefault="00AD31A7" w:rsidP="00AD31A7">
      <w:pPr>
        <w:autoSpaceDE w:val="0"/>
        <w:autoSpaceDN w:val="0"/>
        <w:adjustRightInd w:val="0"/>
        <w:spacing w:before="120" w:after="120"/>
        <w:jc w:val="center"/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</w:pPr>
      <w:r w:rsidRPr="00AD31A7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Descriptive Statistics of EPI and its correlates</w:t>
      </w:r>
    </w:p>
    <w:tbl>
      <w:tblPr>
        <w:tblW w:w="9216" w:type="dxa"/>
        <w:tblLook w:val="04A0" w:firstRow="1" w:lastRow="0" w:firstColumn="1" w:lastColumn="0" w:noHBand="0" w:noVBand="1"/>
      </w:tblPr>
      <w:tblGrid>
        <w:gridCol w:w="3297"/>
        <w:gridCol w:w="886"/>
        <w:gridCol w:w="1267"/>
        <w:gridCol w:w="1236"/>
        <w:gridCol w:w="1083"/>
        <w:gridCol w:w="1447"/>
      </w:tblGrid>
      <w:tr w:rsidR="00AD31A7" w:rsidTr="00E174E9">
        <w:trPr>
          <w:trHeight w:val="315"/>
        </w:trPr>
        <w:tc>
          <w:tcPr>
            <w:tcW w:w="32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Variables</w:t>
            </w:r>
          </w:p>
        </w:tc>
        <w:tc>
          <w:tcPr>
            <w:tcW w:w="8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Obs.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Mean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Std. Dev.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Min</w:t>
            </w:r>
          </w:p>
        </w:tc>
        <w:tc>
          <w:tcPr>
            <w:tcW w:w="1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Max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EPI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2948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51.878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16.819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16.160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90.680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Government Size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2301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6.472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1.245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0.120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9.470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Regulatory Quality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2938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-0.048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0.953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-2.630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2.260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Government Effectiveness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2938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-0.049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0.962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-2.270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2.440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Political Instability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2934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-0.090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0.943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-3.180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1.760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Control of Corruption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2941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-0.060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0.991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-1.830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2.470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Rule of Law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2941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-0.083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0.968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-1.900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2.100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Voice and Accountability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2941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-0.071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0.966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-2.260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1.800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Financial Market Development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2760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50.685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43.927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0.190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308.990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Per Capita GDP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2882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12798.670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18494.300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194.870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111968.400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Population Growth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2877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1.539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1.566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-9.080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17.510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Population Density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2882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179.005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579.284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1.570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7953.000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Energy Intensity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2426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6.312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4.436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1.140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33.810</w:t>
            </w:r>
          </w:p>
        </w:tc>
      </w:tr>
      <w:tr w:rsidR="00AD31A7" w:rsidTr="00E174E9">
        <w:trPr>
          <w:trHeight w:val="300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Urbanization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2899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56.112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22.673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8.680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100.000</w:t>
            </w:r>
          </w:p>
        </w:tc>
      </w:tr>
      <w:tr w:rsidR="00AD31A7" w:rsidTr="00E174E9">
        <w:trPr>
          <w:trHeight w:val="315"/>
        </w:trPr>
        <w:tc>
          <w:tcPr>
            <w:tcW w:w="329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Foreign Direct Investment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2837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5.969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18.145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-58.320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AD31A7" w:rsidRDefault="00AD31A7" w:rsidP="00E174E9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en-IN"/>
              </w:rPr>
              <w:t>451.640</w:t>
            </w:r>
          </w:p>
        </w:tc>
      </w:tr>
    </w:tbl>
    <w:p w:rsidR="00AD31A7" w:rsidRDefault="00AD31A7" w:rsidP="00AD31A7">
      <w:pPr>
        <w:autoSpaceDE w:val="0"/>
        <w:autoSpaceDN w:val="0"/>
        <w:adjustRightInd w:val="0"/>
        <w:spacing w:before="100"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Cs/>
          <w:color w:val="000000" w:themeColor="text1"/>
          <w:spacing w:val="-2"/>
          <w:sz w:val="20"/>
          <w:szCs w:val="24"/>
        </w:rPr>
        <w:t xml:space="preserve">Source: Researchers’ own computation using Stata 14MP </w:t>
      </w:r>
    </w:p>
    <w:p w:rsidR="00255235" w:rsidRDefault="00255235"/>
    <w:sectPr w:rsidR="00255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A7"/>
    <w:rsid w:val="00255235"/>
    <w:rsid w:val="00AD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35878"/>
  <w15:chartTrackingRefBased/>
  <w15:docId w15:val="{CEE3AC29-30C2-497A-B360-D659271E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1A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Megha Jain</dc:creator>
  <cp:keywords/>
  <dc:description/>
  <cp:lastModifiedBy>Megha Jain</cp:lastModifiedBy>
  <cp:revision>1</cp:revision>
  <dcterms:created xsi:type="dcterms:W3CDTF">2023-05-18T08:32:00Z</dcterms:created>
  <dcterms:modified xsi:type="dcterms:W3CDTF">2023-05-18T08:32:00Z</dcterms:modified>
</cp:coreProperties>
</file>