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275BD" w14:textId="77777777" w:rsidR="00373DA3" w:rsidRPr="006453EC" w:rsidRDefault="00373DA3" w:rsidP="00373DA3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  <w:r w:rsidRPr="006453EC">
        <w:rPr>
          <w:rFonts w:ascii="Arial" w:hAnsi="Arial" w:cs="Arial"/>
          <w:b/>
          <w:bCs/>
          <w:sz w:val="20"/>
        </w:rPr>
        <w:t xml:space="preserve">High dose aerosol challenge with </w:t>
      </w:r>
      <w:r w:rsidRPr="006453EC">
        <w:rPr>
          <w:rFonts w:ascii="Arial" w:hAnsi="Arial" w:cs="Arial"/>
          <w:b/>
          <w:bCs/>
          <w:i/>
          <w:iCs/>
          <w:sz w:val="20"/>
        </w:rPr>
        <w:t>Mycobacterium tuberculosis</w:t>
      </w:r>
      <w:r w:rsidRPr="006453EC">
        <w:rPr>
          <w:rFonts w:ascii="Arial" w:hAnsi="Arial" w:cs="Arial"/>
          <w:b/>
          <w:bCs/>
          <w:sz w:val="20"/>
        </w:rPr>
        <w:t xml:space="preserve"> fails to overcome BCG vaccination-induced protection in cynomolgus macaques of Chinese origin: implications of natural resistance for TB vaccine evaluation.  </w:t>
      </w:r>
    </w:p>
    <w:p w14:paraId="3EDBA34F" w14:textId="77777777" w:rsidR="00373DA3" w:rsidRDefault="00373DA3" w:rsidP="00373DA3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</w:p>
    <w:p w14:paraId="0B14EAC4" w14:textId="77777777" w:rsidR="00373DA3" w:rsidRDefault="00373DA3" w:rsidP="00373DA3">
      <w:pPr>
        <w:spacing w:line="360" w:lineRule="auto"/>
        <w:jc w:val="both"/>
        <w:rPr>
          <w:rFonts w:ascii="Arial" w:hAnsi="Arial" w:cs="Arial"/>
          <w:b/>
          <w:bCs/>
          <w:sz w:val="20"/>
        </w:rPr>
      </w:pPr>
    </w:p>
    <w:p w14:paraId="3C7F053F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bCs/>
          <w:sz w:val="20"/>
        </w:rPr>
      </w:pPr>
      <w:bookmarkStart w:id="0" w:name="_Hlk59538033"/>
      <w:r>
        <w:rPr>
          <w:rFonts w:ascii="Arial" w:hAnsi="Arial" w:cs="Arial"/>
          <w:bCs/>
          <w:sz w:val="20"/>
        </w:rPr>
        <w:t>Laura Sibley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>
        <w:rPr>
          <w:rFonts w:ascii="Arial" w:hAnsi="Arial" w:cs="Arial"/>
          <w:bCs/>
          <w:sz w:val="20"/>
          <w:vertAlign w:val="superscript"/>
        </w:rPr>
        <w:t>*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Andrew D </w:t>
      </w:r>
      <w:r w:rsidRPr="00363105">
        <w:rPr>
          <w:rFonts w:ascii="Arial" w:hAnsi="Arial" w:cs="Arial"/>
          <w:bCs/>
          <w:sz w:val="20"/>
        </w:rPr>
        <w:t>White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Karen E </w:t>
      </w:r>
      <w:r w:rsidRPr="00363105">
        <w:rPr>
          <w:rFonts w:ascii="Arial" w:hAnsi="Arial" w:cs="Arial"/>
          <w:bCs/>
          <w:sz w:val="20"/>
        </w:rPr>
        <w:t>Gooch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Lisa M </w:t>
      </w:r>
      <w:r w:rsidRPr="00363105">
        <w:rPr>
          <w:rFonts w:ascii="Arial" w:hAnsi="Arial" w:cs="Arial"/>
          <w:bCs/>
          <w:sz w:val="20"/>
        </w:rPr>
        <w:t>Stevens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Rachel </w:t>
      </w:r>
      <w:r w:rsidRPr="00363105">
        <w:rPr>
          <w:rFonts w:ascii="Arial" w:hAnsi="Arial" w:cs="Arial"/>
          <w:bCs/>
          <w:sz w:val="20"/>
        </w:rPr>
        <w:t>Tanner</w:t>
      </w:r>
      <w:r w:rsidRPr="00363105">
        <w:rPr>
          <w:rFonts w:ascii="Arial" w:hAnsi="Arial" w:cs="Arial"/>
          <w:bCs/>
          <w:sz w:val="20"/>
          <w:vertAlign w:val="superscript"/>
        </w:rPr>
        <w:t>2</w:t>
      </w:r>
      <w:r w:rsidRPr="00363105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Ashley Jacobs</w:t>
      </w:r>
      <w:r w:rsidRPr="00441562">
        <w:rPr>
          <w:rFonts w:ascii="Arial" w:hAnsi="Arial" w:cs="Arial"/>
          <w:bCs/>
          <w:sz w:val="20"/>
          <w:vertAlign w:val="superscript"/>
        </w:rPr>
        <w:t>3</w:t>
      </w:r>
      <w:r>
        <w:rPr>
          <w:rFonts w:ascii="Arial" w:hAnsi="Arial" w:cs="Arial"/>
          <w:bCs/>
          <w:sz w:val="20"/>
        </w:rPr>
        <w:t>, Owen</w:t>
      </w:r>
      <w:r w:rsidRPr="00363105">
        <w:rPr>
          <w:rFonts w:ascii="Arial" w:hAnsi="Arial" w:cs="Arial"/>
          <w:bCs/>
          <w:sz w:val="20"/>
        </w:rPr>
        <w:t xml:space="preserve"> Daykin-Pont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Fergus </w:t>
      </w:r>
      <w:r w:rsidRPr="00363105">
        <w:rPr>
          <w:rFonts w:ascii="Arial" w:hAnsi="Arial" w:cs="Arial"/>
          <w:bCs/>
          <w:sz w:val="20"/>
        </w:rPr>
        <w:t>Gleeson</w:t>
      </w:r>
      <w:r w:rsidRPr="00C9088C">
        <w:rPr>
          <w:rFonts w:ascii="Arial" w:hAnsi="Arial" w:cs="Arial"/>
          <w:bCs/>
          <w:sz w:val="20"/>
          <w:vertAlign w:val="superscript"/>
        </w:rPr>
        <w:t>4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Anthony </w:t>
      </w:r>
      <w:r w:rsidRPr="00363105">
        <w:rPr>
          <w:rFonts w:ascii="Arial" w:hAnsi="Arial" w:cs="Arial"/>
          <w:bCs/>
          <w:sz w:val="20"/>
        </w:rPr>
        <w:t>McIntyre</w:t>
      </w:r>
      <w:r>
        <w:rPr>
          <w:rFonts w:ascii="Arial" w:hAnsi="Arial" w:cs="Arial"/>
          <w:bCs/>
          <w:sz w:val="20"/>
          <w:vertAlign w:val="superscript"/>
        </w:rPr>
        <w:t>4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Randall Basaraba</w:t>
      </w:r>
      <w:r w:rsidRPr="00C9088C">
        <w:rPr>
          <w:rFonts w:ascii="Arial" w:hAnsi="Arial" w:cs="Arial"/>
          <w:bCs/>
          <w:sz w:val="20"/>
          <w:vertAlign w:val="superscript"/>
        </w:rPr>
        <w:t>5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Simon </w:t>
      </w:r>
      <w:r w:rsidRPr="00363105">
        <w:rPr>
          <w:rFonts w:ascii="Arial" w:hAnsi="Arial" w:cs="Arial"/>
          <w:bCs/>
          <w:sz w:val="20"/>
        </w:rPr>
        <w:t>Clark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Graham </w:t>
      </w:r>
      <w:r w:rsidRPr="00363105">
        <w:rPr>
          <w:rFonts w:ascii="Arial" w:hAnsi="Arial" w:cs="Arial"/>
          <w:bCs/>
          <w:sz w:val="20"/>
        </w:rPr>
        <w:t>Hal</w:t>
      </w:r>
      <w:r>
        <w:rPr>
          <w:rFonts w:ascii="Arial" w:hAnsi="Arial" w:cs="Arial"/>
          <w:bCs/>
          <w:sz w:val="20"/>
        </w:rPr>
        <w:t>l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Geoff Pearson</w:t>
      </w:r>
      <w:r w:rsidRPr="00441562">
        <w:rPr>
          <w:rFonts w:ascii="Arial" w:hAnsi="Arial" w:cs="Arial"/>
          <w:bCs/>
          <w:sz w:val="20"/>
          <w:vertAlign w:val="superscript"/>
        </w:rPr>
        <w:t>1</w:t>
      </w:r>
      <w:r>
        <w:rPr>
          <w:rFonts w:ascii="Arial" w:hAnsi="Arial" w:cs="Arial"/>
          <w:bCs/>
          <w:sz w:val="20"/>
        </w:rPr>
        <w:t xml:space="preserve">, Emma </w:t>
      </w:r>
      <w:r w:rsidRPr="00363105">
        <w:rPr>
          <w:rFonts w:ascii="Arial" w:hAnsi="Arial" w:cs="Arial"/>
          <w:bCs/>
          <w:sz w:val="20"/>
        </w:rPr>
        <w:t>Rayner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Helen McShane</w:t>
      </w:r>
      <w:r w:rsidRPr="00500F81">
        <w:rPr>
          <w:rFonts w:ascii="Arial" w:hAnsi="Arial" w:cs="Arial"/>
          <w:bCs/>
          <w:sz w:val="20"/>
          <w:vertAlign w:val="superscript"/>
        </w:rPr>
        <w:t>2</w:t>
      </w:r>
      <w:r>
        <w:rPr>
          <w:rFonts w:ascii="Arial" w:hAnsi="Arial" w:cs="Arial"/>
          <w:bCs/>
          <w:sz w:val="20"/>
        </w:rPr>
        <w:t xml:space="preserve">, Ann </w:t>
      </w:r>
      <w:r w:rsidRPr="00363105">
        <w:rPr>
          <w:rFonts w:ascii="Arial" w:hAnsi="Arial" w:cs="Arial"/>
          <w:bCs/>
          <w:sz w:val="20"/>
        </w:rPr>
        <w:t>Williams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Mike</w:t>
      </w:r>
      <w:r w:rsidRPr="00363105">
        <w:rPr>
          <w:rFonts w:ascii="Arial" w:hAnsi="Arial" w:cs="Arial"/>
          <w:bCs/>
          <w:sz w:val="20"/>
        </w:rPr>
        <w:t xml:space="preserve"> Dennis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Philip</w:t>
      </w:r>
      <w:r w:rsidRPr="00363105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D </w:t>
      </w:r>
      <w:r w:rsidRPr="00363105">
        <w:rPr>
          <w:rFonts w:ascii="Arial" w:hAnsi="Arial" w:cs="Arial"/>
          <w:bCs/>
          <w:sz w:val="20"/>
        </w:rPr>
        <w:t>Marsh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Sally </w:t>
      </w:r>
      <w:r w:rsidRPr="00363105">
        <w:rPr>
          <w:rFonts w:ascii="Arial" w:hAnsi="Arial" w:cs="Arial"/>
          <w:bCs/>
          <w:sz w:val="20"/>
        </w:rPr>
        <w:t>Sharpe</w:t>
      </w: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>.</w:t>
      </w:r>
    </w:p>
    <w:bookmarkEnd w:id="0"/>
    <w:p w14:paraId="6FF90385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bCs/>
          <w:sz w:val="20"/>
          <w:vertAlign w:val="superscript"/>
        </w:rPr>
      </w:pPr>
    </w:p>
    <w:p w14:paraId="3F090A04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bCs/>
          <w:sz w:val="20"/>
        </w:rPr>
      </w:pPr>
      <w:r w:rsidRPr="00363105">
        <w:rPr>
          <w:rFonts w:ascii="Arial" w:hAnsi="Arial" w:cs="Arial"/>
          <w:bCs/>
          <w:sz w:val="20"/>
          <w:vertAlign w:val="superscript"/>
        </w:rPr>
        <w:t>1</w:t>
      </w:r>
      <w:r w:rsidRPr="00363105">
        <w:rPr>
          <w:rFonts w:ascii="Arial" w:hAnsi="Arial" w:cs="Arial"/>
          <w:bCs/>
          <w:sz w:val="20"/>
        </w:rPr>
        <w:t xml:space="preserve">Public Health England, </w:t>
      </w:r>
      <w:r>
        <w:rPr>
          <w:rFonts w:ascii="Arial" w:hAnsi="Arial" w:cs="Arial"/>
          <w:bCs/>
          <w:sz w:val="20"/>
        </w:rPr>
        <w:t xml:space="preserve">National Infection Service, </w:t>
      </w:r>
      <w:r w:rsidRPr="00363105">
        <w:rPr>
          <w:rFonts w:ascii="Arial" w:hAnsi="Arial" w:cs="Arial"/>
          <w:bCs/>
          <w:sz w:val="20"/>
        </w:rPr>
        <w:t xml:space="preserve">Porton Down, Wiltshire, SP4 0JG, UK. </w:t>
      </w:r>
    </w:p>
    <w:p w14:paraId="58D2094D" w14:textId="77777777" w:rsidR="00373DA3" w:rsidRDefault="00373DA3" w:rsidP="00373DA3">
      <w:pPr>
        <w:spacing w:line="360" w:lineRule="auto"/>
        <w:jc w:val="both"/>
        <w:rPr>
          <w:rFonts w:ascii="Arial" w:hAnsi="Arial" w:cs="Arial"/>
          <w:bCs/>
          <w:sz w:val="20"/>
        </w:rPr>
      </w:pPr>
      <w:r w:rsidRPr="00363105">
        <w:rPr>
          <w:rFonts w:ascii="Arial" w:hAnsi="Arial" w:cs="Arial"/>
          <w:bCs/>
          <w:sz w:val="20"/>
          <w:vertAlign w:val="superscript"/>
        </w:rPr>
        <w:t>2</w:t>
      </w:r>
      <w:r w:rsidRPr="00363105">
        <w:rPr>
          <w:rFonts w:ascii="Arial" w:hAnsi="Arial" w:cs="Arial"/>
          <w:bCs/>
          <w:sz w:val="20"/>
        </w:rPr>
        <w:t xml:space="preserve">The Jenner Institute, </w:t>
      </w:r>
      <w:r>
        <w:rPr>
          <w:rFonts w:ascii="Arial" w:hAnsi="Arial" w:cs="Arial"/>
          <w:bCs/>
          <w:sz w:val="20"/>
        </w:rPr>
        <w:t>Nuffield Department of Medicine,</w:t>
      </w:r>
      <w:r w:rsidRPr="00363105">
        <w:rPr>
          <w:rFonts w:ascii="Arial" w:hAnsi="Arial" w:cs="Arial"/>
          <w:bCs/>
          <w:sz w:val="20"/>
        </w:rPr>
        <w:t xml:space="preserve"> University of Oxford, Oxford, UK</w:t>
      </w:r>
    </w:p>
    <w:p w14:paraId="0CBBC49D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bCs/>
          <w:sz w:val="20"/>
        </w:rPr>
      </w:pPr>
      <w:r w:rsidRPr="00441562">
        <w:rPr>
          <w:rFonts w:ascii="Arial" w:hAnsi="Arial" w:cs="Arial"/>
          <w:bCs/>
          <w:sz w:val="20"/>
          <w:vertAlign w:val="superscript"/>
        </w:rPr>
        <w:t>3</w:t>
      </w:r>
      <w:r>
        <w:rPr>
          <w:rFonts w:ascii="Arial" w:hAnsi="Arial" w:cs="Arial"/>
          <w:bCs/>
          <w:sz w:val="20"/>
        </w:rPr>
        <w:t>University of Cape Town, Cape Town, South Africa</w:t>
      </w:r>
    </w:p>
    <w:p w14:paraId="1A727542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  <w:vertAlign w:val="superscript"/>
        </w:rPr>
        <w:t>4</w:t>
      </w:r>
      <w:r w:rsidRPr="00363105">
        <w:rPr>
          <w:rFonts w:ascii="Arial" w:hAnsi="Arial" w:cs="Arial"/>
          <w:bCs/>
          <w:sz w:val="20"/>
        </w:rPr>
        <w:t>Churchill Hospital, Headington, Oxford, UK</w:t>
      </w:r>
    </w:p>
    <w:p w14:paraId="34091DA0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  <w:vertAlign w:val="superscript"/>
        </w:rPr>
        <w:t>5</w:t>
      </w:r>
      <w:r w:rsidRPr="00363105">
        <w:rPr>
          <w:rFonts w:ascii="Arial" w:hAnsi="Arial" w:cs="Arial"/>
          <w:bCs/>
          <w:sz w:val="20"/>
        </w:rPr>
        <w:t>Colorado State University, Fort Collins, Colorado, USA</w:t>
      </w:r>
    </w:p>
    <w:p w14:paraId="5CC242E3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bCs/>
          <w:sz w:val="20"/>
        </w:rPr>
      </w:pPr>
    </w:p>
    <w:p w14:paraId="238CEE69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sz w:val="20"/>
        </w:rPr>
      </w:pPr>
      <w:r w:rsidRPr="00363105">
        <w:rPr>
          <w:rFonts w:ascii="Arial" w:hAnsi="Arial" w:cs="Arial"/>
          <w:sz w:val="20"/>
        </w:rPr>
        <w:t xml:space="preserve">*Corresponding author: Tel +441980 </w:t>
      </w:r>
      <w:r>
        <w:rPr>
          <w:rFonts w:ascii="Arial" w:hAnsi="Arial" w:cs="Arial"/>
          <w:sz w:val="20"/>
        </w:rPr>
        <w:t>619864</w:t>
      </w:r>
    </w:p>
    <w:p w14:paraId="70A2F3DB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sz w:val="20"/>
        </w:rPr>
      </w:pPr>
      <w:r w:rsidRPr="00363105">
        <w:rPr>
          <w:rFonts w:ascii="Arial" w:hAnsi="Arial" w:cs="Arial"/>
          <w:sz w:val="20"/>
        </w:rPr>
        <w:t xml:space="preserve">Email: </w:t>
      </w:r>
      <w:r>
        <w:rPr>
          <w:rFonts w:ascii="Arial" w:hAnsi="Arial" w:cs="Arial"/>
          <w:sz w:val="20"/>
        </w:rPr>
        <w:t>laura.sibley@phe.gov.uk</w:t>
      </w:r>
    </w:p>
    <w:p w14:paraId="3671FDDD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bCs/>
          <w:sz w:val="20"/>
        </w:rPr>
      </w:pPr>
    </w:p>
    <w:p w14:paraId="4E24D0F0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bCs/>
          <w:sz w:val="20"/>
        </w:rPr>
      </w:pPr>
      <w:r w:rsidRPr="00363105">
        <w:rPr>
          <w:rFonts w:ascii="Arial" w:hAnsi="Arial" w:cs="Arial"/>
          <w:bCs/>
          <w:sz w:val="20"/>
        </w:rPr>
        <w:t>Key words</w:t>
      </w:r>
    </w:p>
    <w:p w14:paraId="7570763A" w14:textId="77777777" w:rsidR="00373DA3" w:rsidRPr="00363105" w:rsidRDefault="00373DA3" w:rsidP="00373DA3">
      <w:pPr>
        <w:spacing w:line="360" w:lineRule="auto"/>
        <w:jc w:val="both"/>
        <w:rPr>
          <w:rFonts w:ascii="Arial" w:hAnsi="Arial" w:cs="Arial"/>
          <w:bCs/>
          <w:i/>
          <w:sz w:val="20"/>
        </w:rPr>
      </w:pPr>
      <w:r w:rsidRPr="00363105">
        <w:rPr>
          <w:rFonts w:ascii="Arial" w:hAnsi="Arial" w:cs="Arial"/>
          <w:bCs/>
          <w:sz w:val="20"/>
        </w:rPr>
        <w:t>Tuberculosis, BCG, vaccine, non-human primate, aerosol challenge</w:t>
      </w:r>
      <w:r w:rsidRPr="00363105">
        <w:rPr>
          <w:rFonts w:ascii="Arial" w:hAnsi="Arial" w:cs="Arial"/>
          <w:bCs/>
          <w:i/>
          <w:sz w:val="20"/>
        </w:rPr>
        <w:t>, Mycobacterium tuberculosis</w:t>
      </w:r>
      <w:r>
        <w:rPr>
          <w:rFonts w:ascii="Arial" w:hAnsi="Arial" w:cs="Arial"/>
          <w:bCs/>
          <w:i/>
          <w:sz w:val="20"/>
        </w:rPr>
        <w:t xml:space="preserve">, </w:t>
      </w:r>
      <w:proofErr w:type="spellStart"/>
      <w:r>
        <w:rPr>
          <w:rFonts w:ascii="Arial" w:hAnsi="Arial" w:cs="Arial"/>
          <w:bCs/>
          <w:i/>
          <w:sz w:val="20"/>
        </w:rPr>
        <w:t>monocyte:lymphocyte</w:t>
      </w:r>
      <w:proofErr w:type="spellEnd"/>
      <w:r>
        <w:rPr>
          <w:rFonts w:ascii="Arial" w:hAnsi="Arial" w:cs="Arial"/>
          <w:bCs/>
          <w:i/>
          <w:sz w:val="20"/>
        </w:rPr>
        <w:t xml:space="preserve"> ratio</w:t>
      </w:r>
    </w:p>
    <w:p w14:paraId="21A6D7BF" w14:textId="7674969D" w:rsidR="00F27995" w:rsidRPr="00363105" w:rsidRDefault="00373DA3" w:rsidP="00373DA3">
      <w:pPr>
        <w:spacing w:line="360" w:lineRule="auto"/>
        <w:contextualSpacing/>
        <w:jc w:val="both"/>
        <w:rPr>
          <w:rFonts w:ascii="Arial" w:hAnsi="Arial" w:cs="Arial"/>
          <w:b/>
          <w:sz w:val="20"/>
        </w:rPr>
      </w:pPr>
      <w:r w:rsidRPr="00363105">
        <w:rPr>
          <w:rFonts w:ascii="Arial" w:hAnsi="Arial" w:cs="Arial"/>
          <w:bCs/>
          <w:sz w:val="20"/>
        </w:rPr>
        <w:t>Running title, BCG protect</w:t>
      </w:r>
      <w:r>
        <w:rPr>
          <w:rFonts w:ascii="Arial" w:hAnsi="Arial" w:cs="Arial"/>
          <w:bCs/>
          <w:sz w:val="20"/>
        </w:rPr>
        <w:t>s</w:t>
      </w:r>
      <w:r w:rsidRPr="00363105">
        <w:rPr>
          <w:rFonts w:ascii="Arial" w:hAnsi="Arial" w:cs="Arial"/>
          <w:bCs/>
          <w:sz w:val="20"/>
        </w:rPr>
        <w:t xml:space="preserve"> cynomolgus macaques</w:t>
      </w:r>
      <w:r>
        <w:rPr>
          <w:rFonts w:ascii="Arial" w:hAnsi="Arial" w:cs="Arial"/>
          <w:bCs/>
          <w:sz w:val="20"/>
        </w:rPr>
        <w:t xml:space="preserve"> </w:t>
      </w:r>
      <w:r w:rsidRPr="00363105">
        <w:rPr>
          <w:rFonts w:ascii="Arial" w:hAnsi="Arial" w:cs="Arial"/>
          <w:bCs/>
          <w:sz w:val="20"/>
        </w:rPr>
        <w:t>against</w:t>
      </w:r>
      <w:r>
        <w:rPr>
          <w:rFonts w:ascii="Arial" w:hAnsi="Arial" w:cs="Arial"/>
          <w:bCs/>
          <w:sz w:val="20"/>
        </w:rPr>
        <w:t xml:space="preserve"> aerosol</w:t>
      </w:r>
      <w:r w:rsidRPr="00363105">
        <w:rPr>
          <w:rFonts w:ascii="Arial" w:hAnsi="Arial" w:cs="Arial"/>
          <w:bCs/>
          <w:sz w:val="20"/>
        </w:rPr>
        <w:t xml:space="preserve"> </w:t>
      </w:r>
      <w:r w:rsidRPr="00363105">
        <w:rPr>
          <w:rFonts w:ascii="Arial" w:hAnsi="Arial" w:cs="Arial"/>
          <w:bCs/>
          <w:i/>
          <w:sz w:val="20"/>
        </w:rPr>
        <w:t>M. tuberculosis</w:t>
      </w:r>
      <w:r w:rsidRPr="00363105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challenge</w:t>
      </w:r>
      <w:r w:rsidRPr="00363105">
        <w:rPr>
          <w:rFonts w:ascii="Arial" w:hAnsi="Arial" w:cs="Arial"/>
          <w:bCs/>
          <w:sz w:val="20"/>
        </w:rPr>
        <w:t xml:space="preserve"> </w:t>
      </w:r>
      <w:bookmarkStart w:id="1" w:name="_GoBack"/>
      <w:bookmarkEnd w:id="1"/>
      <w:r w:rsidR="00F27995" w:rsidRPr="00363105">
        <w:rPr>
          <w:rFonts w:ascii="Arial" w:hAnsi="Arial" w:cs="Arial"/>
          <w:b/>
          <w:sz w:val="20"/>
        </w:rPr>
        <w:t>Supplementary data</w:t>
      </w:r>
    </w:p>
    <w:p w14:paraId="18AF7EF3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/>
          <w:sz w:val="20"/>
        </w:rPr>
      </w:pPr>
    </w:p>
    <w:p w14:paraId="1FA5EB79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/>
          <w:sz w:val="20"/>
        </w:rPr>
      </w:pPr>
    </w:p>
    <w:p w14:paraId="3B474777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/>
          <w:sz w:val="20"/>
        </w:rPr>
      </w:pPr>
      <w:r w:rsidRPr="00363105"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4A52DAE1" wp14:editId="67A3B856">
            <wp:extent cx="4095750" cy="535512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732" cy="537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8D7726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/>
          <w:sz w:val="20"/>
        </w:rPr>
      </w:pPr>
    </w:p>
    <w:p w14:paraId="2620BB42" w14:textId="1A57E4C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Supplementary data 1</w:t>
      </w:r>
      <w:r w:rsidRPr="00363105">
        <w:rPr>
          <w:rFonts w:ascii="Arial" w:hAnsi="Arial" w:cs="Arial"/>
          <w:b/>
          <w:sz w:val="20"/>
        </w:rPr>
        <w:t xml:space="preserve">. Representative images of lung lobes of macaques after infection with </w:t>
      </w:r>
      <w:r w:rsidRPr="00B156ED">
        <w:rPr>
          <w:rFonts w:ascii="Arial" w:hAnsi="Arial" w:cs="Arial"/>
          <w:b/>
          <w:i/>
          <w:iCs/>
          <w:sz w:val="20"/>
        </w:rPr>
        <w:t>M. tb</w:t>
      </w:r>
      <w:r w:rsidRPr="00363105">
        <w:rPr>
          <w:rFonts w:ascii="Arial" w:hAnsi="Arial" w:cs="Arial"/>
          <w:b/>
          <w:sz w:val="20"/>
        </w:rPr>
        <w:t>.</w:t>
      </w:r>
      <w:r w:rsidRPr="00363105">
        <w:rPr>
          <w:rFonts w:ascii="Arial" w:hAnsi="Arial" w:cs="Arial"/>
          <w:sz w:val="20"/>
        </w:rPr>
        <w:t xml:space="preserve"> A) BCG vaccinated animal (3651) right lower lung lobe B) unvaccinated animal (1027) right lower lobe.</w:t>
      </w:r>
    </w:p>
    <w:p w14:paraId="50BC8D45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</w:p>
    <w:p w14:paraId="6C84760B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</w:p>
    <w:p w14:paraId="30B16601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</w:p>
    <w:p w14:paraId="20A2FE52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</w:p>
    <w:p w14:paraId="28034DFB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</w:p>
    <w:p w14:paraId="21D366E2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</w:p>
    <w:p w14:paraId="461EB7A1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</w:p>
    <w:p w14:paraId="237778ED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</w:p>
    <w:p w14:paraId="3966E2FB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  <w:r w:rsidRPr="00363105">
        <w:rPr>
          <w:rFonts w:ascii="Arial" w:hAnsi="Arial" w:cs="Arial"/>
          <w:sz w:val="20"/>
        </w:rPr>
        <w:br w:type="page"/>
      </w:r>
    </w:p>
    <w:p w14:paraId="3B1E8A94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drawing>
          <wp:anchor distT="0" distB="0" distL="114300" distR="114300" simplePos="0" relativeHeight="251659264" behindDoc="1" locked="0" layoutInCell="1" allowOverlap="1" wp14:anchorId="0EE3A9D7" wp14:editId="4EF7547A">
            <wp:simplePos x="0" y="0"/>
            <wp:positionH relativeFrom="column">
              <wp:posOffset>-85725</wp:posOffset>
            </wp:positionH>
            <wp:positionV relativeFrom="paragraph">
              <wp:posOffset>289560</wp:posOffset>
            </wp:positionV>
            <wp:extent cx="5507355" cy="416900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4169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72FFA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17B845FE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1361CF48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2A59C4DD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50E2259B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0EC9848D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63EED582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5C81D695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7C1203B8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5A2591C5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6E560A01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75CAC797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7F57D62D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67C072F5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5D070F86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72EB5E72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4A93224A" w14:textId="7C1499AB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  <w:r w:rsidRPr="00680A6F">
        <w:rPr>
          <w:rFonts w:ascii="Arial" w:hAnsi="Arial" w:cs="Arial"/>
          <w:b/>
          <w:bCs/>
          <w:sz w:val="20"/>
        </w:rPr>
        <w:t>Supplementary data</w:t>
      </w:r>
      <w:r>
        <w:rPr>
          <w:rFonts w:ascii="Arial" w:hAnsi="Arial" w:cs="Arial"/>
          <w:b/>
          <w:bCs/>
          <w:sz w:val="20"/>
        </w:rPr>
        <w:t xml:space="preserve"> 2</w:t>
      </w:r>
      <w:r w:rsidRPr="00680A6F">
        <w:rPr>
          <w:rFonts w:ascii="Arial" w:hAnsi="Arial" w:cs="Arial"/>
          <w:b/>
          <w:bCs/>
          <w:sz w:val="20"/>
        </w:rPr>
        <w:t>.</w:t>
      </w:r>
      <w:r>
        <w:rPr>
          <w:rFonts w:ascii="Arial" w:hAnsi="Arial" w:cs="Arial"/>
          <w:sz w:val="20"/>
        </w:rPr>
        <w:t xml:space="preserve"> PPD-specific ELISPOT analysis. A) AUC of the vaccination phase, B) SFU at week 2 post-infection, C) AUC week 20-25, D) SFU at week 12 post-infection (week 33). </w:t>
      </w:r>
    </w:p>
    <w:p w14:paraId="099759DC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0E5F12C2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705F5B0A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1534822D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1A72AF6C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3CC0891E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4159174B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11DF7875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451CDCAC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7F4A86DA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69244743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2FCECF1A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drawing>
          <wp:anchor distT="0" distB="0" distL="114300" distR="114300" simplePos="0" relativeHeight="251660288" behindDoc="1" locked="0" layoutInCell="1" allowOverlap="1" wp14:anchorId="0170AF14" wp14:editId="5AF9552D">
            <wp:simplePos x="0" y="0"/>
            <wp:positionH relativeFrom="column">
              <wp:posOffset>-314325</wp:posOffset>
            </wp:positionH>
            <wp:positionV relativeFrom="paragraph">
              <wp:posOffset>-85725</wp:posOffset>
            </wp:positionV>
            <wp:extent cx="6067425" cy="15329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685" cy="1537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BD24B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10EF436B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45FA0DE1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24F33872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21C940BD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40C54589" w14:textId="7BEE63BA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  <w:r w:rsidRPr="00C14462">
        <w:rPr>
          <w:rFonts w:ascii="Arial" w:hAnsi="Arial" w:cs="Arial"/>
          <w:b/>
          <w:bCs/>
          <w:sz w:val="20"/>
        </w:rPr>
        <w:t>Supplementary data</w:t>
      </w:r>
      <w:r>
        <w:rPr>
          <w:rFonts w:ascii="Arial" w:hAnsi="Arial" w:cs="Arial"/>
          <w:b/>
          <w:bCs/>
          <w:sz w:val="20"/>
        </w:rPr>
        <w:t xml:space="preserve"> 3</w:t>
      </w:r>
      <w:r>
        <w:rPr>
          <w:rFonts w:ascii="Arial" w:hAnsi="Arial" w:cs="Arial"/>
          <w:sz w:val="20"/>
        </w:rPr>
        <w:t xml:space="preserve">. Correlations between disease readouts with </w:t>
      </w:r>
      <w:proofErr w:type="spellStart"/>
      <w:r>
        <w:rPr>
          <w:rFonts w:ascii="Arial" w:hAnsi="Arial" w:cs="Arial"/>
          <w:sz w:val="20"/>
        </w:rPr>
        <w:t>IFNγ</w:t>
      </w:r>
      <w:proofErr w:type="spellEnd"/>
      <w:r>
        <w:rPr>
          <w:rFonts w:ascii="Arial" w:hAnsi="Arial" w:cs="Arial"/>
          <w:sz w:val="20"/>
        </w:rPr>
        <w:t xml:space="preserve"> measured in stimulated whole blood supernatants as measured by ELISA</w:t>
      </w:r>
    </w:p>
    <w:p w14:paraId="6B097F6B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666A263A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114970BD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4976CB31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6D5DEA0B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46E8A0A1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65672B69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41F93CB4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119A8BE7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70F5CD78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20D86969" w14:textId="77777777" w:rsidR="00F27995" w:rsidRDefault="00F27995" w:rsidP="00F27995">
      <w:pPr>
        <w:spacing w:after="200" w:line="276" w:lineRule="auto"/>
        <w:rPr>
          <w:rFonts w:ascii="Arial" w:hAnsi="Arial" w:cs="Arial"/>
          <w:sz w:val="20"/>
        </w:rPr>
      </w:pPr>
    </w:p>
    <w:p w14:paraId="29509B84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</w:p>
    <w:p w14:paraId="146ADD8A" w14:textId="77777777" w:rsidR="00F27995" w:rsidRPr="00363105" w:rsidRDefault="00F27995" w:rsidP="00F27995">
      <w:pPr>
        <w:spacing w:after="200" w:line="360" w:lineRule="auto"/>
        <w:jc w:val="both"/>
        <w:rPr>
          <w:rFonts w:ascii="Arial" w:hAnsi="Arial" w:cs="Arial"/>
          <w:bCs/>
          <w:sz w:val="20"/>
        </w:rPr>
      </w:pPr>
      <w:r w:rsidRPr="00363105">
        <w:rPr>
          <w:rFonts w:ascii="Arial" w:hAnsi="Arial" w:cs="Arial"/>
          <w:bCs/>
          <w:noProof/>
          <w:sz w:val="20"/>
        </w:rPr>
        <w:lastRenderedPageBreak/>
        <w:drawing>
          <wp:inline distT="0" distB="0" distL="0" distR="0" wp14:anchorId="2A45810F" wp14:editId="4774D5FE">
            <wp:extent cx="5024376" cy="36487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424" cy="3650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1AEA7" w14:textId="32E1ECF4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Supplementary data 4</w:t>
      </w:r>
      <w:r w:rsidRPr="00363105">
        <w:rPr>
          <w:rFonts w:ascii="Arial" w:hAnsi="Arial" w:cs="Arial"/>
          <w:b/>
          <w:bCs/>
          <w:sz w:val="20"/>
        </w:rPr>
        <w:t xml:space="preserve">. Analysis of memory populations in CCM at week 20 post-vaccination and comparison to RM memory populations at baseline. </w:t>
      </w:r>
      <w:r w:rsidRPr="00363105">
        <w:rPr>
          <w:rFonts w:ascii="Arial" w:hAnsi="Arial" w:cs="Arial"/>
          <w:bCs/>
          <w:sz w:val="20"/>
        </w:rPr>
        <w:t>A) Fold change in TEM1, TEM2 and TCM populations between baseline and week 20 post-vaccination in BCG vaccinated (blue) and control animals (black) in CD4+ and CD8+ T-cells. B) Comparison of TEM1, TEM2 and TCM populations in CCM (black circles) and RM (grey triangles) at baseline. Mann-</w:t>
      </w:r>
      <w:proofErr w:type="spellStart"/>
      <w:r w:rsidRPr="00363105">
        <w:rPr>
          <w:rFonts w:ascii="Arial" w:hAnsi="Arial" w:cs="Arial"/>
          <w:bCs/>
          <w:sz w:val="20"/>
        </w:rPr>
        <w:t>whitney</w:t>
      </w:r>
      <w:proofErr w:type="spellEnd"/>
      <w:r w:rsidRPr="00363105">
        <w:rPr>
          <w:rFonts w:ascii="Arial" w:hAnsi="Arial" w:cs="Arial"/>
          <w:bCs/>
          <w:sz w:val="20"/>
        </w:rPr>
        <w:t xml:space="preserve"> T-test performed p=0.05. C) Flow cytometry plot showing the staining pattern which determines TEM1 (CCR7</w:t>
      </w:r>
      <w:r w:rsidRPr="00363105">
        <w:rPr>
          <w:rFonts w:ascii="Arial" w:hAnsi="Arial" w:cs="Arial"/>
          <w:bCs/>
          <w:sz w:val="20"/>
          <w:vertAlign w:val="superscript"/>
        </w:rPr>
        <w:t>-</w:t>
      </w:r>
      <w:r w:rsidRPr="00363105">
        <w:rPr>
          <w:rFonts w:ascii="Arial" w:hAnsi="Arial" w:cs="Arial"/>
          <w:bCs/>
          <w:sz w:val="20"/>
        </w:rPr>
        <w:t xml:space="preserve"> CD28</w:t>
      </w:r>
      <w:r w:rsidRPr="00363105">
        <w:rPr>
          <w:rFonts w:ascii="Arial" w:hAnsi="Arial" w:cs="Arial"/>
          <w:bCs/>
          <w:sz w:val="20"/>
          <w:vertAlign w:val="superscript"/>
        </w:rPr>
        <w:t>+</w:t>
      </w:r>
      <w:r w:rsidRPr="00363105">
        <w:rPr>
          <w:rFonts w:ascii="Arial" w:hAnsi="Arial" w:cs="Arial"/>
          <w:bCs/>
          <w:sz w:val="20"/>
        </w:rPr>
        <w:t>), TCM (CCR7</w:t>
      </w:r>
      <w:r w:rsidRPr="00363105">
        <w:rPr>
          <w:rFonts w:ascii="Arial" w:hAnsi="Arial" w:cs="Arial"/>
          <w:bCs/>
          <w:sz w:val="20"/>
          <w:vertAlign w:val="superscript"/>
        </w:rPr>
        <w:t>+</w:t>
      </w:r>
      <w:r w:rsidRPr="00363105">
        <w:rPr>
          <w:rFonts w:ascii="Arial" w:hAnsi="Arial" w:cs="Arial"/>
          <w:bCs/>
          <w:sz w:val="20"/>
        </w:rPr>
        <w:t xml:space="preserve"> CD28</w:t>
      </w:r>
      <w:r w:rsidRPr="00363105">
        <w:rPr>
          <w:rFonts w:ascii="Arial" w:hAnsi="Arial" w:cs="Arial"/>
          <w:bCs/>
          <w:sz w:val="20"/>
          <w:vertAlign w:val="superscript"/>
        </w:rPr>
        <w:t>+</w:t>
      </w:r>
      <w:r w:rsidRPr="00363105">
        <w:rPr>
          <w:rFonts w:ascii="Arial" w:hAnsi="Arial" w:cs="Arial"/>
          <w:bCs/>
          <w:sz w:val="20"/>
        </w:rPr>
        <w:t>) and TEM2 (CCR7</w:t>
      </w:r>
      <w:r w:rsidRPr="00363105">
        <w:rPr>
          <w:rFonts w:ascii="Arial" w:hAnsi="Arial" w:cs="Arial"/>
          <w:bCs/>
          <w:sz w:val="20"/>
          <w:vertAlign w:val="superscript"/>
        </w:rPr>
        <w:t>-</w:t>
      </w:r>
      <w:r w:rsidRPr="00363105">
        <w:rPr>
          <w:rFonts w:ascii="Arial" w:hAnsi="Arial" w:cs="Arial"/>
          <w:bCs/>
          <w:sz w:val="20"/>
        </w:rPr>
        <w:t xml:space="preserve"> CD28</w:t>
      </w:r>
      <w:r w:rsidRPr="00363105">
        <w:rPr>
          <w:rFonts w:ascii="Arial" w:hAnsi="Arial" w:cs="Arial"/>
          <w:bCs/>
          <w:sz w:val="20"/>
          <w:vertAlign w:val="superscript"/>
        </w:rPr>
        <w:t>-</w:t>
      </w:r>
      <w:r w:rsidRPr="00363105">
        <w:rPr>
          <w:rFonts w:ascii="Arial" w:hAnsi="Arial" w:cs="Arial"/>
          <w:bCs/>
          <w:sz w:val="20"/>
        </w:rPr>
        <w:t>) populations in CCM. D) Flow cytometry plot showing the staining pattern which determines TEM1 (CCR7</w:t>
      </w:r>
      <w:r w:rsidRPr="00363105">
        <w:rPr>
          <w:rFonts w:ascii="Arial" w:hAnsi="Arial" w:cs="Arial"/>
          <w:bCs/>
          <w:sz w:val="20"/>
          <w:vertAlign w:val="superscript"/>
        </w:rPr>
        <w:t>-</w:t>
      </w:r>
      <w:r w:rsidRPr="00363105">
        <w:rPr>
          <w:rFonts w:ascii="Arial" w:hAnsi="Arial" w:cs="Arial"/>
          <w:bCs/>
          <w:sz w:val="20"/>
        </w:rPr>
        <w:t xml:space="preserve"> CD28</w:t>
      </w:r>
      <w:r w:rsidRPr="00363105">
        <w:rPr>
          <w:rFonts w:ascii="Arial" w:hAnsi="Arial" w:cs="Arial"/>
          <w:bCs/>
          <w:sz w:val="20"/>
          <w:vertAlign w:val="superscript"/>
        </w:rPr>
        <w:t>+</w:t>
      </w:r>
      <w:r w:rsidRPr="00363105">
        <w:rPr>
          <w:rFonts w:ascii="Arial" w:hAnsi="Arial" w:cs="Arial"/>
          <w:bCs/>
          <w:sz w:val="20"/>
        </w:rPr>
        <w:t>), TCM (CCR7</w:t>
      </w:r>
      <w:r w:rsidRPr="00363105">
        <w:rPr>
          <w:rFonts w:ascii="Arial" w:hAnsi="Arial" w:cs="Arial"/>
          <w:bCs/>
          <w:sz w:val="20"/>
          <w:vertAlign w:val="superscript"/>
        </w:rPr>
        <w:t>+</w:t>
      </w:r>
      <w:r w:rsidRPr="00363105">
        <w:rPr>
          <w:rFonts w:ascii="Arial" w:hAnsi="Arial" w:cs="Arial"/>
          <w:bCs/>
          <w:sz w:val="20"/>
        </w:rPr>
        <w:t xml:space="preserve"> CD28</w:t>
      </w:r>
      <w:r w:rsidRPr="00363105">
        <w:rPr>
          <w:rFonts w:ascii="Arial" w:hAnsi="Arial" w:cs="Arial"/>
          <w:bCs/>
          <w:sz w:val="20"/>
          <w:vertAlign w:val="superscript"/>
        </w:rPr>
        <w:t>+</w:t>
      </w:r>
      <w:r w:rsidRPr="00363105">
        <w:rPr>
          <w:rFonts w:ascii="Arial" w:hAnsi="Arial" w:cs="Arial"/>
          <w:bCs/>
          <w:sz w:val="20"/>
        </w:rPr>
        <w:t>) and TEM2 (CCR7</w:t>
      </w:r>
      <w:r w:rsidRPr="00363105">
        <w:rPr>
          <w:rFonts w:ascii="Arial" w:hAnsi="Arial" w:cs="Arial"/>
          <w:bCs/>
          <w:sz w:val="20"/>
          <w:vertAlign w:val="superscript"/>
        </w:rPr>
        <w:t xml:space="preserve">- </w:t>
      </w:r>
      <w:r w:rsidRPr="00363105">
        <w:rPr>
          <w:rFonts w:ascii="Arial" w:hAnsi="Arial" w:cs="Arial"/>
          <w:bCs/>
          <w:sz w:val="20"/>
        </w:rPr>
        <w:t>CD28</w:t>
      </w:r>
      <w:r w:rsidRPr="00363105">
        <w:rPr>
          <w:rFonts w:ascii="Arial" w:hAnsi="Arial" w:cs="Arial"/>
          <w:bCs/>
          <w:sz w:val="20"/>
          <w:vertAlign w:val="superscript"/>
        </w:rPr>
        <w:t>-</w:t>
      </w:r>
      <w:r w:rsidRPr="00363105">
        <w:rPr>
          <w:rFonts w:ascii="Arial" w:hAnsi="Arial" w:cs="Arial"/>
          <w:bCs/>
          <w:sz w:val="20"/>
        </w:rPr>
        <w:t>) populations in RM.</w:t>
      </w:r>
    </w:p>
    <w:p w14:paraId="3B562D5C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</w:p>
    <w:p w14:paraId="74170373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</w:p>
    <w:p w14:paraId="31EC5B99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</w:p>
    <w:p w14:paraId="5382CA22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</w:p>
    <w:p w14:paraId="5B91541D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</w:p>
    <w:p w14:paraId="7154CD99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</w:p>
    <w:p w14:paraId="5D606A74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</w:p>
    <w:p w14:paraId="56E0D85A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</w:p>
    <w:p w14:paraId="0AD8EA56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 w:rsidRPr="00363105">
        <w:rPr>
          <w:rFonts w:ascii="Arial" w:hAnsi="Arial" w:cs="Arial"/>
          <w:bCs/>
          <w:noProof/>
          <w:sz w:val="20"/>
        </w:rPr>
        <w:lastRenderedPageBreak/>
        <w:drawing>
          <wp:inline distT="0" distB="0" distL="0" distR="0" wp14:anchorId="68425E4B" wp14:editId="55284819">
            <wp:extent cx="5731510" cy="6811010"/>
            <wp:effectExtent l="0" t="0" r="0" b="0"/>
            <wp:docPr id="2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DDA2BC5-7C60-4C9C-8D04-B0A4936B2D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5DDA2BC5-7C60-4C9C-8D04-B0A4936B2D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1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29F76" w14:textId="22594648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Cs/>
          <w:sz w:val="20"/>
        </w:rPr>
      </w:pPr>
      <w:r w:rsidRPr="00363105">
        <w:rPr>
          <w:rFonts w:ascii="Arial" w:hAnsi="Arial" w:cs="Arial"/>
          <w:b/>
          <w:bCs/>
          <w:sz w:val="20"/>
        </w:rPr>
        <w:t>Supplementary data</w:t>
      </w:r>
      <w:r>
        <w:rPr>
          <w:rFonts w:ascii="Arial" w:hAnsi="Arial" w:cs="Arial"/>
          <w:b/>
          <w:bCs/>
          <w:sz w:val="20"/>
        </w:rPr>
        <w:t xml:space="preserve"> 5</w:t>
      </w:r>
      <w:r w:rsidRPr="00363105">
        <w:rPr>
          <w:rFonts w:ascii="Arial" w:hAnsi="Arial" w:cs="Arial"/>
          <w:b/>
          <w:bCs/>
          <w:sz w:val="20"/>
        </w:rPr>
        <w:t xml:space="preserve">: cell population data from the haematology analyser (IDEXX). </w:t>
      </w:r>
      <w:r w:rsidRPr="00363105">
        <w:rPr>
          <w:rFonts w:ascii="Arial" w:hAnsi="Arial" w:cs="Arial"/>
          <w:bCs/>
          <w:sz w:val="20"/>
        </w:rPr>
        <w:t>Cell counts of lymphocytes, monocytes, neutrophils and eosinophils post vaccination and up to week 12 post-infection. Comparison of lymphocytes, monocytes and granulocytes at week 4 post-infection.</w:t>
      </w:r>
    </w:p>
    <w:p w14:paraId="7FCC50DF" w14:textId="77777777" w:rsidR="00F27995" w:rsidRPr="00363105" w:rsidRDefault="00F27995" w:rsidP="00F27995">
      <w:pPr>
        <w:spacing w:after="200" w:line="360" w:lineRule="auto"/>
        <w:jc w:val="both"/>
        <w:rPr>
          <w:sz w:val="20"/>
        </w:rPr>
      </w:pPr>
    </w:p>
    <w:p w14:paraId="5C478780" w14:textId="77777777" w:rsidR="00F27995" w:rsidRPr="00363105" w:rsidRDefault="00F27995" w:rsidP="00F27995">
      <w:pPr>
        <w:spacing w:after="200" w:line="360" w:lineRule="auto"/>
        <w:jc w:val="both"/>
        <w:rPr>
          <w:sz w:val="20"/>
        </w:rPr>
      </w:pPr>
    </w:p>
    <w:p w14:paraId="3F262985" w14:textId="77777777" w:rsidR="00F27995" w:rsidRPr="00363105" w:rsidRDefault="00F27995" w:rsidP="00F27995">
      <w:pPr>
        <w:spacing w:after="200" w:line="360" w:lineRule="auto"/>
        <w:jc w:val="both"/>
        <w:rPr>
          <w:sz w:val="20"/>
        </w:rPr>
      </w:pPr>
    </w:p>
    <w:p w14:paraId="36139BFF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sz w:val="20"/>
        </w:rPr>
      </w:pPr>
      <w:r w:rsidRPr="00363105">
        <w:rPr>
          <w:noProof/>
          <w:sz w:val="20"/>
        </w:rPr>
        <w:lastRenderedPageBreak/>
        <w:drawing>
          <wp:inline distT="0" distB="0" distL="0" distR="0" wp14:anchorId="0562D3A8" wp14:editId="3B5E8F13">
            <wp:extent cx="3743325" cy="2667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466D2" w14:textId="0EF51E7E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/>
          <w:sz w:val="20"/>
        </w:rPr>
      </w:pPr>
      <w:r w:rsidRPr="00363105">
        <w:rPr>
          <w:rFonts w:ascii="Arial" w:hAnsi="Arial" w:cs="Arial"/>
          <w:b/>
          <w:sz w:val="20"/>
        </w:rPr>
        <w:t>Supplementary data</w:t>
      </w:r>
      <w:r>
        <w:rPr>
          <w:rFonts w:ascii="Arial" w:hAnsi="Arial" w:cs="Arial"/>
          <w:b/>
          <w:sz w:val="20"/>
        </w:rPr>
        <w:t xml:space="preserve"> 6</w:t>
      </w:r>
      <w:r w:rsidRPr="00363105">
        <w:rPr>
          <w:rFonts w:ascii="Arial" w:hAnsi="Arial" w:cs="Arial"/>
          <w:b/>
          <w:sz w:val="20"/>
        </w:rPr>
        <w:t xml:space="preserve">: correlation of </w:t>
      </w:r>
      <w:proofErr w:type="gramStart"/>
      <w:r w:rsidRPr="00363105">
        <w:rPr>
          <w:rFonts w:ascii="Arial" w:hAnsi="Arial" w:cs="Arial"/>
          <w:b/>
          <w:sz w:val="20"/>
        </w:rPr>
        <w:t>M:L</w:t>
      </w:r>
      <w:proofErr w:type="gramEnd"/>
      <w:r w:rsidRPr="00363105">
        <w:rPr>
          <w:rFonts w:ascii="Arial" w:hAnsi="Arial" w:cs="Arial"/>
          <w:b/>
          <w:sz w:val="20"/>
        </w:rPr>
        <w:t xml:space="preserve"> at baseline with total pathology score.</w:t>
      </w:r>
    </w:p>
    <w:p w14:paraId="25F95052" w14:textId="77777777" w:rsidR="00F27995" w:rsidRPr="00363105" w:rsidRDefault="00F27995" w:rsidP="00F27995">
      <w:pPr>
        <w:spacing w:line="360" w:lineRule="auto"/>
        <w:contextualSpacing/>
        <w:jc w:val="both"/>
        <w:rPr>
          <w:rFonts w:ascii="Arial" w:hAnsi="Arial" w:cs="Arial"/>
          <w:b/>
          <w:sz w:val="20"/>
        </w:rPr>
      </w:pPr>
    </w:p>
    <w:p w14:paraId="688B1EF2" w14:textId="4DAA8074" w:rsidR="00F27995" w:rsidRDefault="00F27995" w:rsidP="00F27995">
      <w:pPr>
        <w:spacing w:line="360" w:lineRule="auto"/>
        <w:contextualSpacing/>
        <w:jc w:val="both"/>
        <w:rPr>
          <w:sz w:val="20"/>
        </w:rPr>
      </w:pPr>
    </w:p>
    <w:p w14:paraId="7672C975" w14:textId="77777777" w:rsidR="00F27995" w:rsidRDefault="00F27995" w:rsidP="00F27995">
      <w:pPr>
        <w:spacing w:line="360" w:lineRule="auto"/>
        <w:contextualSpacing/>
        <w:jc w:val="both"/>
        <w:rPr>
          <w:sz w:val="20"/>
        </w:rPr>
      </w:pPr>
    </w:p>
    <w:p w14:paraId="2CA78DC8" w14:textId="77777777" w:rsidR="00F27995" w:rsidRDefault="00F27995" w:rsidP="00F27995">
      <w:pPr>
        <w:spacing w:line="360" w:lineRule="auto"/>
        <w:contextualSpacing/>
        <w:jc w:val="both"/>
        <w:rPr>
          <w:sz w:val="20"/>
        </w:rPr>
      </w:pPr>
      <w:r w:rsidRPr="006A6839">
        <w:rPr>
          <w:noProof/>
        </w:rPr>
        <w:drawing>
          <wp:inline distT="0" distB="0" distL="0" distR="0" wp14:anchorId="6E25159E" wp14:editId="1FBB361A">
            <wp:extent cx="3838575" cy="2505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C3634" w14:textId="3AE87E97" w:rsidR="00F27995" w:rsidRPr="00363105" w:rsidRDefault="00F27995" w:rsidP="00F27995">
      <w:pPr>
        <w:spacing w:line="360" w:lineRule="auto"/>
        <w:contextualSpacing/>
        <w:jc w:val="both"/>
        <w:rPr>
          <w:sz w:val="20"/>
        </w:rPr>
      </w:pPr>
      <w:r w:rsidRPr="00363105">
        <w:rPr>
          <w:rFonts w:ascii="Arial" w:hAnsi="Arial" w:cs="Arial"/>
          <w:b/>
          <w:sz w:val="20"/>
        </w:rPr>
        <w:t>Supplementary data</w:t>
      </w:r>
      <w:r>
        <w:rPr>
          <w:rFonts w:ascii="Arial" w:hAnsi="Arial" w:cs="Arial"/>
          <w:b/>
          <w:sz w:val="20"/>
        </w:rPr>
        <w:t xml:space="preserve"> 7</w:t>
      </w:r>
      <w:r w:rsidRPr="00363105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 xml:space="preserve"> Monocyte subsets defined using CD14</w:t>
      </w:r>
      <w:r w:rsidRPr="006A6839">
        <w:rPr>
          <w:rFonts w:ascii="Arial" w:hAnsi="Arial" w:cs="Arial"/>
          <w:b/>
          <w:sz w:val="20"/>
          <w:vertAlign w:val="superscript"/>
        </w:rPr>
        <w:t>+</w:t>
      </w:r>
      <w:r>
        <w:rPr>
          <w:rFonts w:ascii="Arial" w:hAnsi="Arial" w:cs="Arial"/>
          <w:b/>
          <w:sz w:val="20"/>
        </w:rPr>
        <w:t xml:space="preserve"> and CD16</w:t>
      </w:r>
      <w:r w:rsidRPr="006A6839">
        <w:rPr>
          <w:rFonts w:ascii="Arial" w:hAnsi="Arial" w:cs="Arial"/>
          <w:b/>
          <w:sz w:val="20"/>
          <w:vertAlign w:val="superscript"/>
        </w:rPr>
        <w:t>+</w:t>
      </w:r>
      <w:r>
        <w:rPr>
          <w:rFonts w:ascii="Arial" w:hAnsi="Arial" w:cs="Arial"/>
          <w:b/>
          <w:sz w:val="20"/>
        </w:rPr>
        <w:t xml:space="preserve"> in PBMCs at baseline. </w:t>
      </w:r>
      <w:r>
        <w:rPr>
          <w:rFonts w:ascii="Arial" w:hAnsi="Arial" w:cs="Arial"/>
          <w:sz w:val="20"/>
        </w:rPr>
        <w:t>Classical monocytes (CD14</w:t>
      </w:r>
      <w:r w:rsidRPr="006A6839"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CD16</w:t>
      </w:r>
      <w:r w:rsidRPr="006A6839"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>), intermediate (CD14</w:t>
      </w:r>
      <w:r w:rsidRPr="006A6839">
        <w:rPr>
          <w:rFonts w:ascii="Arial" w:hAnsi="Arial" w:cs="Arial"/>
          <w:sz w:val="20"/>
          <w:vertAlign w:val="superscript"/>
        </w:rPr>
        <w:t>+</w:t>
      </w:r>
      <w:r w:rsidRPr="00F2799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CD16</w:t>
      </w:r>
      <w:r w:rsidRPr="006A6839"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>) and non-classical (CD14</w:t>
      </w:r>
      <w:r w:rsidRPr="006A6839">
        <w:rPr>
          <w:rFonts w:ascii="Arial" w:hAnsi="Arial" w:cs="Arial"/>
          <w:sz w:val="20"/>
          <w:vertAlign w:val="superscript"/>
        </w:rPr>
        <w:t>-</w:t>
      </w:r>
      <w:r>
        <w:rPr>
          <w:rFonts w:ascii="Arial" w:hAnsi="Arial" w:cs="Arial"/>
          <w:sz w:val="20"/>
        </w:rPr>
        <w:t xml:space="preserve"> CD16</w:t>
      </w:r>
      <w:r w:rsidRPr="006A6839"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>).</w:t>
      </w:r>
    </w:p>
    <w:p w14:paraId="0C68F1AC" w14:textId="24A86D5E" w:rsidR="004777FB" w:rsidRDefault="004777FB" w:rsidP="00F27995"/>
    <w:sectPr w:rsidR="00477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95"/>
    <w:rsid w:val="00373DA3"/>
    <w:rsid w:val="004777FB"/>
    <w:rsid w:val="00F2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A4F13"/>
  <w15:chartTrackingRefBased/>
  <w15:docId w15:val="{CA5DE278-2DE8-410D-84DA-CFEDB860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Sibley</dc:creator>
  <cp:keywords/>
  <dc:description/>
  <cp:lastModifiedBy>Laura Sibley</cp:lastModifiedBy>
  <cp:revision>2</cp:revision>
  <dcterms:created xsi:type="dcterms:W3CDTF">2021-02-18T13:15:00Z</dcterms:created>
  <dcterms:modified xsi:type="dcterms:W3CDTF">2021-03-02T15:19:00Z</dcterms:modified>
</cp:coreProperties>
</file>