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6829A" w14:textId="77777777" w:rsidR="008E37D4" w:rsidRPr="00092451" w:rsidRDefault="008E37D4" w:rsidP="008E37D4">
      <w:pPr>
        <w:jc w:val="left"/>
        <w:rPr>
          <w:rFonts w:ascii="Times New Roman" w:hAnsi="Times New Roman"/>
          <w:b/>
          <w:szCs w:val="24"/>
        </w:rPr>
      </w:pPr>
      <w:r w:rsidRPr="00092451">
        <w:rPr>
          <w:rFonts w:ascii="Times New Roman" w:hAnsi="Times New Roman"/>
          <w:b/>
          <w:szCs w:val="24"/>
        </w:rPr>
        <w:t>Supplementary Figure 1</w:t>
      </w:r>
    </w:p>
    <w:p w14:paraId="5F7D32A6" w14:textId="77777777" w:rsidR="008E37D4" w:rsidRPr="00092451" w:rsidRDefault="008E37D4" w:rsidP="008E37D4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/>
          <w:szCs w:val="24"/>
        </w:rPr>
      </w:pPr>
      <w:r w:rsidRPr="00092451">
        <w:rPr>
          <w:rFonts w:ascii="Times New Roman" w:hAnsi="Times New Roman" w:hint="eastAsia"/>
          <w:szCs w:val="24"/>
        </w:rPr>
        <w:t>CXCR7</w:t>
      </w:r>
      <w:r w:rsidRPr="00092451">
        <w:rPr>
          <w:rFonts w:ascii="Times New Roman" w:hAnsi="Times New Roman"/>
          <w:szCs w:val="24"/>
        </w:rPr>
        <w:t xml:space="preserve"> is strongly positive in normal hepatocytes and intrahepatic cholangiocytes, while it shows weak staining in damaged hepatocytes and pseudoducts.</w:t>
      </w:r>
    </w:p>
    <w:p w14:paraId="610CE8F0" w14:textId="77777777" w:rsidR="008E37D4" w:rsidRPr="00092451" w:rsidRDefault="008E37D4" w:rsidP="008E37D4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/>
          <w:szCs w:val="24"/>
        </w:rPr>
      </w:pPr>
      <w:r w:rsidRPr="00092451">
        <w:rPr>
          <w:rFonts w:ascii="Times New Roman" w:hAnsi="Times New Roman"/>
          <w:szCs w:val="21"/>
        </w:rPr>
        <w:t>8-OHdG is exclusively stained in the nuclei of injured hepatocytes.</w:t>
      </w:r>
    </w:p>
    <w:p w14:paraId="475128D6" w14:textId="77777777" w:rsidR="008E37D4" w:rsidRPr="00092451" w:rsidRDefault="008E37D4" w:rsidP="008E37D4">
      <w:pPr>
        <w:pStyle w:val="ListParagraph"/>
        <w:numPr>
          <w:ilvl w:val="0"/>
          <w:numId w:val="1"/>
        </w:numPr>
        <w:ind w:leftChars="0"/>
        <w:jc w:val="left"/>
        <w:rPr>
          <w:rFonts w:ascii="Times New Roman" w:hAnsi="Times New Roman"/>
          <w:szCs w:val="24"/>
        </w:rPr>
      </w:pPr>
      <w:r w:rsidRPr="00092451">
        <w:rPr>
          <w:rFonts w:ascii="Times New Roman" w:hAnsi="Times New Roman"/>
          <w:szCs w:val="24"/>
        </w:rPr>
        <w:t xml:space="preserve">Although αSMA is positive in a few liver sinusoidal endothelial cells in the normal case, it is strongly positive in stroma around pseudoducts in the hepatic failure case. </w:t>
      </w:r>
    </w:p>
    <w:p w14:paraId="0F9877EE" w14:textId="77777777" w:rsidR="008E37D4" w:rsidRPr="00092451" w:rsidRDefault="008E37D4" w:rsidP="008E37D4">
      <w:pPr>
        <w:pStyle w:val="ListParagraph"/>
        <w:ind w:left="960"/>
        <w:jc w:val="left"/>
        <w:rPr>
          <w:rFonts w:ascii="Times New Roman" w:hAnsi="Times New Roman"/>
        </w:rPr>
      </w:pPr>
      <w:r w:rsidRPr="00092451">
        <w:rPr>
          <w:rFonts w:ascii="Times New Roman" w:eastAsia="Times New Roman" w:hAnsi="Times New Roman"/>
          <w:iCs/>
        </w:rPr>
        <w:t>Scale bars indicate</w:t>
      </w:r>
      <w:r w:rsidRPr="00092451">
        <w:rPr>
          <w:rFonts w:ascii="Times New Roman" w:eastAsia="Times New Roman" w:hAnsi="Times New Roman"/>
        </w:rPr>
        <w:t xml:space="preserve"> 50</w:t>
      </w:r>
      <w:r w:rsidRPr="00092451">
        <w:rPr>
          <w:rFonts w:ascii="Symbol" w:hAnsi="Symbol"/>
        </w:rPr>
        <w:t></w:t>
      </w:r>
      <w:r w:rsidRPr="00092451">
        <w:rPr>
          <w:rFonts w:ascii="Times New Roman" w:hAnsi="Times New Roman"/>
        </w:rPr>
        <w:t xml:space="preserve">m (a, b) and </w:t>
      </w:r>
      <w:r w:rsidRPr="00092451">
        <w:rPr>
          <w:rFonts w:ascii="Times New Roman" w:eastAsia="Times New Roman" w:hAnsi="Times New Roman"/>
        </w:rPr>
        <w:t>100</w:t>
      </w:r>
      <w:r w:rsidRPr="00092451">
        <w:rPr>
          <w:rFonts w:ascii="Symbol" w:hAnsi="Symbol"/>
        </w:rPr>
        <w:t></w:t>
      </w:r>
      <w:r w:rsidRPr="00092451">
        <w:rPr>
          <w:rFonts w:ascii="Times New Roman" w:hAnsi="Times New Roman"/>
        </w:rPr>
        <w:t>m (c).</w:t>
      </w:r>
    </w:p>
    <w:p w14:paraId="673DA54C" w14:textId="77777777" w:rsidR="008E37D4" w:rsidRPr="00092451" w:rsidRDefault="008E37D4" w:rsidP="008E37D4">
      <w:pPr>
        <w:jc w:val="left"/>
        <w:rPr>
          <w:rFonts w:ascii="Times New Roman" w:hAnsi="Times New Roman"/>
          <w:bCs/>
          <w:szCs w:val="24"/>
        </w:rPr>
      </w:pPr>
    </w:p>
    <w:p w14:paraId="42FB4B85" w14:textId="77777777" w:rsidR="008E37D4" w:rsidRPr="00092451" w:rsidRDefault="008E37D4" w:rsidP="008E37D4">
      <w:pPr>
        <w:jc w:val="left"/>
        <w:rPr>
          <w:rFonts w:ascii="Times New Roman" w:hAnsi="Times New Roman"/>
          <w:b/>
          <w:szCs w:val="24"/>
        </w:rPr>
      </w:pPr>
      <w:r w:rsidRPr="00092451">
        <w:rPr>
          <w:rFonts w:ascii="Times New Roman" w:hAnsi="Times New Roman"/>
          <w:b/>
          <w:szCs w:val="24"/>
        </w:rPr>
        <w:t>Supplementary Figure 2</w:t>
      </w:r>
    </w:p>
    <w:p w14:paraId="3D8D1145" w14:textId="77777777" w:rsidR="008E37D4" w:rsidRPr="00092451" w:rsidRDefault="008E37D4" w:rsidP="008E37D4">
      <w:pPr>
        <w:jc w:val="left"/>
        <w:rPr>
          <w:rFonts w:ascii="Times New Roman" w:hAnsi="Times New Roman"/>
          <w:bCs/>
          <w:szCs w:val="21"/>
        </w:rPr>
      </w:pPr>
      <w:r w:rsidRPr="00092451">
        <w:rPr>
          <w:rFonts w:ascii="Times New Roman" w:eastAsia="Yu Mincho" w:hAnsi="Times New Roman"/>
          <w:szCs w:val="24"/>
        </w:rPr>
        <w:t>H</w:t>
      </w:r>
      <w:r w:rsidRPr="00092451">
        <w:rPr>
          <w:rFonts w:ascii="Times New Roman" w:eastAsia="Yu Mincho" w:hAnsi="Times New Roman"/>
          <w:szCs w:val="24"/>
          <w:vertAlign w:val="subscript"/>
        </w:rPr>
        <w:t>2</w:t>
      </w:r>
      <w:r w:rsidRPr="00092451">
        <w:rPr>
          <w:rFonts w:ascii="Times New Roman" w:eastAsia="Yu Mincho" w:hAnsi="Times New Roman"/>
          <w:szCs w:val="24"/>
        </w:rPr>
        <w:t>O</w:t>
      </w:r>
      <w:r w:rsidRPr="00092451">
        <w:rPr>
          <w:rFonts w:ascii="Times New Roman" w:eastAsia="Yu Mincho" w:hAnsi="Times New Roman"/>
          <w:szCs w:val="24"/>
          <w:vertAlign w:val="subscript"/>
        </w:rPr>
        <w:t>2</w:t>
      </w:r>
      <w:r w:rsidRPr="00092451">
        <w:rPr>
          <w:rFonts w:ascii="Times New Roman" w:hAnsi="Times New Roman"/>
          <w:bCs/>
          <w:szCs w:val="24"/>
        </w:rPr>
        <w:t xml:space="preserve"> increased CXCR7 mRNA dose-dependently in Huh-7 and TKKK cells </w:t>
      </w:r>
      <w:r w:rsidRPr="00092451">
        <w:rPr>
          <w:rFonts w:ascii="Times New Roman" w:hAnsi="Times New Roman"/>
          <w:bCs/>
          <w:szCs w:val="21"/>
        </w:rPr>
        <w:t>(**p&lt;0.01, n=3)</w:t>
      </w:r>
      <w:r w:rsidRPr="00092451">
        <w:rPr>
          <w:rFonts w:ascii="Times New Roman" w:hAnsi="Times New Roman"/>
          <w:bCs/>
          <w:szCs w:val="24"/>
        </w:rPr>
        <w:t>.</w:t>
      </w:r>
    </w:p>
    <w:p w14:paraId="67DC69BE" w14:textId="77777777" w:rsidR="008E37D4" w:rsidRPr="00092451" w:rsidRDefault="008E37D4" w:rsidP="008E37D4">
      <w:pPr>
        <w:jc w:val="left"/>
        <w:rPr>
          <w:rFonts w:ascii="Times New Roman" w:hAnsi="Times New Roman"/>
          <w:bCs/>
          <w:szCs w:val="24"/>
        </w:rPr>
      </w:pPr>
    </w:p>
    <w:p w14:paraId="0DD18A86" w14:textId="77777777" w:rsidR="008E37D4" w:rsidRPr="00092451" w:rsidRDefault="008E37D4" w:rsidP="008E37D4">
      <w:pPr>
        <w:jc w:val="left"/>
        <w:rPr>
          <w:rFonts w:ascii="Times New Roman" w:hAnsi="Times New Roman"/>
          <w:b/>
          <w:szCs w:val="24"/>
        </w:rPr>
      </w:pPr>
      <w:r w:rsidRPr="00092451">
        <w:rPr>
          <w:rFonts w:ascii="Times New Roman" w:hAnsi="Times New Roman"/>
          <w:b/>
          <w:szCs w:val="24"/>
        </w:rPr>
        <w:t>Supplementary Table 1</w:t>
      </w:r>
    </w:p>
    <w:p w14:paraId="3ABBEAC1" w14:textId="77777777" w:rsidR="008E37D4" w:rsidRPr="00092451" w:rsidRDefault="008E37D4" w:rsidP="008E37D4">
      <w:pPr>
        <w:jc w:val="left"/>
        <w:rPr>
          <w:rFonts w:ascii="Times New Roman" w:hAnsi="Times New Roman"/>
          <w:bCs/>
          <w:szCs w:val="24"/>
        </w:rPr>
      </w:pPr>
      <w:r w:rsidRPr="00092451">
        <w:rPr>
          <w:rFonts w:ascii="Times New Roman" w:hAnsi="Times New Roman"/>
          <w:bCs/>
          <w:szCs w:val="24"/>
        </w:rPr>
        <w:t>Oligonucleotide primers for nested PCR</w:t>
      </w:r>
    </w:p>
    <w:p w14:paraId="5629D12B" w14:textId="77777777" w:rsidR="008E37D4" w:rsidRPr="00092451" w:rsidRDefault="008E37D4" w:rsidP="008E37D4">
      <w:pPr>
        <w:jc w:val="left"/>
        <w:rPr>
          <w:rFonts w:ascii="Times New Roman" w:hAnsi="Times New Roman"/>
          <w:bCs/>
          <w:szCs w:val="24"/>
        </w:rPr>
      </w:pPr>
    </w:p>
    <w:p w14:paraId="1D4A3D68" w14:textId="77777777" w:rsidR="008E37D4" w:rsidRPr="00092451" w:rsidRDefault="008E37D4" w:rsidP="008E37D4">
      <w:pPr>
        <w:jc w:val="left"/>
        <w:rPr>
          <w:rFonts w:ascii="Times New Roman" w:hAnsi="Times New Roman"/>
          <w:b/>
          <w:szCs w:val="24"/>
        </w:rPr>
      </w:pPr>
      <w:r w:rsidRPr="00092451">
        <w:rPr>
          <w:rFonts w:ascii="Times New Roman" w:hAnsi="Times New Roman"/>
          <w:b/>
          <w:szCs w:val="24"/>
        </w:rPr>
        <w:t>Supplementary Table 2</w:t>
      </w:r>
    </w:p>
    <w:p w14:paraId="44229001" w14:textId="77777777" w:rsidR="008E37D4" w:rsidRPr="00BC0E0B" w:rsidRDefault="008E37D4" w:rsidP="008E37D4">
      <w:pPr>
        <w:jc w:val="left"/>
        <w:rPr>
          <w:rFonts w:ascii="Times New Roman" w:hAnsi="Times New Roman"/>
          <w:bCs/>
          <w:szCs w:val="24"/>
        </w:rPr>
      </w:pPr>
      <w:r w:rsidRPr="00092451">
        <w:rPr>
          <w:rFonts w:ascii="Times New Roman" w:hAnsi="Times New Roman"/>
          <w:bCs/>
          <w:szCs w:val="24"/>
        </w:rPr>
        <w:t>Oligonucleotide probes for Electrophoretic Mobility</w:t>
      </w:r>
      <w:r w:rsidRPr="00BC0E0B">
        <w:rPr>
          <w:rFonts w:ascii="Times New Roman" w:hAnsi="Times New Roman"/>
          <w:bCs/>
          <w:szCs w:val="24"/>
        </w:rPr>
        <w:t xml:space="preserve"> Shift Assay (EMSA)</w:t>
      </w:r>
    </w:p>
    <w:p w14:paraId="7EB8D6C4" w14:textId="77777777" w:rsidR="00E1715D" w:rsidRDefault="008E37D4"/>
    <w:sectPr w:rsidR="00E1715D" w:rsidSect="003C4473">
      <w:headerReference w:type="default" r:id="rId5"/>
      <w:footerReference w:type="even" r:id="rId6"/>
      <w:footerReference w:type="default" r:id="rId7"/>
      <w:pgSz w:w="11907" w:h="16839" w:code="9"/>
      <w:pgMar w:top="1701" w:right="1701" w:bottom="1701" w:left="1701" w:header="680" w:footer="567" w:gutter="0"/>
      <w:lnNumType w:countBy="1" w:restart="continuous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B6789" w14:textId="77777777" w:rsidR="00790939" w:rsidRDefault="008E37D4" w:rsidP="00D951DD">
    <w:pPr>
      <w:pStyle w:val="Footer"/>
      <w:framePr w:wrap="around" w:vAnchor="text" w:hAnchor="margin" w:xAlign="center" w:y="1"/>
      <w:rPr>
        <w:rStyle w:val="PageNumber"/>
        <w:rFonts w:ascii="Times" w:hAnsi="Times"/>
        <w:b/>
        <w:kern w:val="2"/>
        <w:sz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1FE1CF" w14:textId="77777777" w:rsidR="00790939" w:rsidRDefault="008E3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C2E3C" w14:textId="77777777" w:rsidR="00790939" w:rsidRDefault="008E37D4" w:rsidP="006E7A9B">
    <w:pPr>
      <w:pStyle w:val="Footer"/>
      <w:rPr>
        <w:b w:val="0"/>
      </w:rPr>
    </w:pPr>
    <w:r w:rsidRPr="00B516EF">
      <w:rPr>
        <w:b w:val="0"/>
      </w:rPr>
      <w:fldChar w:fldCharType="begin"/>
    </w:r>
    <w:r w:rsidRPr="00B516EF">
      <w:rPr>
        <w:b w:val="0"/>
      </w:rPr>
      <w:instrText>PAGE   \* MERGEFORMAT</w:instrText>
    </w:r>
    <w:r w:rsidRPr="00B516EF">
      <w:rPr>
        <w:b w:val="0"/>
      </w:rPr>
      <w:fldChar w:fldCharType="separate"/>
    </w:r>
    <w:r w:rsidRPr="00B516EF">
      <w:rPr>
        <w:b w:val="0"/>
        <w:lang w:val="ja-JP"/>
      </w:rPr>
      <w:t>1</w:t>
    </w:r>
    <w:r w:rsidRPr="00B516EF">
      <w:rPr>
        <w:b w:val="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B4C4D" w14:textId="77777777" w:rsidR="00790939" w:rsidRPr="00711869" w:rsidRDefault="008E37D4" w:rsidP="003273A3">
    <w:pPr>
      <w:pStyle w:val="Header"/>
      <w:wordWrap w:val="0"/>
      <w:ind w:right="720"/>
      <w:rPr>
        <w:b w:val="0"/>
        <w:color w:val="59595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055A77"/>
    <w:multiLevelType w:val="hybridMultilevel"/>
    <w:tmpl w:val="B51EE1C4"/>
    <w:lvl w:ilvl="0" w:tplc="6206E8E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D4"/>
    <w:rsid w:val="001942F0"/>
    <w:rsid w:val="002C0857"/>
    <w:rsid w:val="003F01F8"/>
    <w:rsid w:val="00884728"/>
    <w:rsid w:val="008E2845"/>
    <w:rsid w:val="008E37D4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4298B"/>
  <w15:chartTrackingRefBased/>
  <w15:docId w15:val="{0D489762-2BC5-4E53-8819-B9E05B89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D4"/>
    <w:pPr>
      <w:widowControl w:val="0"/>
      <w:spacing w:after="0" w:line="240" w:lineRule="auto"/>
      <w:jc w:val="both"/>
    </w:pPr>
    <w:rPr>
      <w:rFonts w:ascii="Times" w:eastAsia="MS Mincho" w:hAnsi="Times" w:cs="Times New Roman"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E37D4"/>
    <w:pPr>
      <w:keepLines/>
      <w:widowControl/>
      <w:tabs>
        <w:tab w:val="center" w:pos="4253"/>
        <w:tab w:val="right" w:pos="8505"/>
      </w:tabs>
      <w:overflowPunct w:val="0"/>
      <w:topLinePunct/>
      <w:adjustRightInd w:val="0"/>
      <w:spacing w:line="280" w:lineRule="exact"/>
      <w:textAlignment w:val="baseline"/>
    </w:pPr>
    <w:rPr>
      <w:rFonts w:ascii="Times New Roman" w:hAnsi="Times New Roman"/>
      <w:b/>
      <w:kern w:val="2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8E37D4"/>
    <w:rPr>
      <w:rFonts w:ascii="Times New Roman" w:eastAsia="MS Mincho" w:hAnsi="Times New Roman" w:cs="Times New Roman"/>
      <w:b/>
      <w:kern w:val="20"/>
      <w:sz w:val="18"/>
      <w:szCs w:val="20"/>
      <w:lang w:eastAsia="ja-JP"/>
    </w:rPr>
  </w:style>
  <w:style w:type="character" w:styleId="PageNumber">
    <w:name w:val="page number"/>
    <w:basedOn w:val="DefaultParagraphFont"/>
    <w:uiPriority w:val="99"/>
    <w:rsid w:val="008E37D4"/>
    <w:rPr>
      <w:rFonts w:cs="Times New Roman"/>
      <w:b/>
    </w:rPr>
  </w:style>
  <w:style w:type="paragraph" w:styleId="Footer">
    <w:name w:val="footer"/>
    <w:basedOn w:val="Normal"/>
    <w:link w:val="FooterChar"/>
    <w:uiPriority w:val="99"/>
    <w:semiHidden/>
    <w:rsid w:val="008E37D4"/>
    <w:pPr>
      <w:keepLines/>
      <w:widowControl/>
      <w:tabs>
        <w:tab w:val="center" w:pos="4253"/>
        <w:tab w:val="right" w:pos="8505"/>
      </w:tabs>
      <w:overflowPunct w:val="0"/>
      <w:topLinePunct/>
      <w:adjustRightInd w:val="0"/>
      <w:spacing w:line="280" w:lineRule="exact"/>
      <w:jc w:val="center"/>
      <w:textAlignment w:val="baseline"/>
    </w:pPr>
    <w:rPr>
      <w:rFonts w:ascii="Times New Roman" w:hAnsi="Times New Roman"/>
      <w:b/>
      <w:kern w:val="20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E37D4"/>
    <w:rPr>
      <w:rFonts w:ascii="Times New Roman" w:eastAsia="MS Mincho" w:hAnsi="Times New Roman" w:cs="Times New Roman"/>
      <w:b/>
      <w:kern w:val="20"/>
      <w:sz w:val="18"/>
      <w:szCs w:val="20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8E37D4"/>
    <w:pPr>
      <w:ind w:leftChars="400" w:left="84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E37D4"/>
    <w:rPr>
      <w:rFonts w:ascii="Times" w:eastAsia="MS Mincho" w:hAnsi="Times" w:cs="Times New Roman"/>
      <w:kern w:val="2"/>
      <w:sz w:val="24"/>
      <w:szCs w:val="20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8E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>Springer Nature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2023-05-23T16:28:00Z</dcterms:created>
  <dcterms:modified xsi:type="dcterms:W3CDTF">2023-05-23T16:29:00Z</dcterms:modified>
</cp:coreProperties>
</file>