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6A31A" w14:textId="7B1B9ECC" w:rsidR="00477B38" w:rsidRPr="00477B38" w:rsidRDefault="00477B38" w:rsidP="00477B38">
      <w:pPr>
        <w:spacing w:line="276" w:lineRule="auto"/>
        <w:jc w:val="both"/>
        <w:rPr>
          <w:rFonts w:asciiTheme="majorBidi" w:hAnsiTheme="majorBidi" w:cstheme="majorBidi"/>
        </w:rPr>
      </w:pPr>
    </w:p>
    <w:tbl>
      <w:tblPr>
        <w:tblW w:w="9974" w:type="dxa"/>
        <w:shd w:val="clear" w:color="auto" w:fill="FFFFFF"/>
        <w:tblLook w:val="04A0" w:firstRow="1" w:lastRow="0" w:firstColumn="1" w:lastColumn="0" w:noHBand="0" w:noVBand="1"/>
      </w:tblPr>
      <w:tblGrid>
        <w:gridCol w:w="1115"/>
        <w:gridCol w:w="1588"/>
        <w:gridCol w:w="1932"/>
        <w:gridCol w:w="1664"/>
        <w:gridCol w:w="1370"/>
        <w:gridCol w:w="1257"/>
        <w:gridCol w:w="1268"/>
      </w:tblGrid>
      <w:tr w:rsidR="00F467B3" w:rsidRPr="00F467B3" w14:paraId="081F1F0C" w14:textId="77777777" w:rsidTr="00F467B3">
        <w:tc>
          <w:tcPr>
            <w:tcW w:w="9974" w:type="dxa"/>
            <w:gridSpan w:val="7"/>
            <w:tcBorders>
              <w:top w:val="single" w:sz="4" w:space="0" w:color="5B9BD5"/>
              <w:left w:val="single" w:sz="4" w:space="0" w:color="5B9BD5"/>
              <w:bottom w:val="single" w:sz="12" w:space="0" w:color="auto"/>
              <w:right w:val="single" w:sz="4" w:space="0" w:color="5B9BD5"/>
            </w:tcBorders>
            <w:shd w:val="clear" w:color="auto" w:fill="FFFFFF"/>
          </w:tcPr>
          <w:p w14:paraId="0C2BD1DF"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iCs/>
              </w:rPr>
              <w:t xml:space="preserve">Table 1. </w:t>
            </w:r>
            <w:r w:rsidRPr="00F467B3">
              <w:rPr>
                <w:rFonts w:asciiTheme="majorBidi" w:hAnsiTheme="majorBidi" w:cstheme="majorBidi"/>
                <w:iCs/>
              </w:rPr>
              <w:t>Optimization of reaction conditions for preparation of 3-amino-1-phenyl-1</w:t>
            </w:r>
            <w:r w:rsidRPr="00F467B3">
              <w:rPr>
                <w:rFonts w:asciiTheme="majorBidi" w:hAnsiTheme="majorBidi" w:cstheme="majorBidi"/>
                <w:i/>
              </w:rPr>
              <w:t>H</w:t>
            </w:r>
            <w:r w:rsidRPr="00F467B3">
              <w:rPr>
                <w:rFonts w:asciiTheme="majorBidi" w:hAnsiTheme="majorBidi" w:cstheme="majorBidi"/>
                <w:iCs/>
              </w:rPr>
              <w:t>-benzo[</w:t>
            </w:r>
            <w:r w:rsidRPr="00F467B3">
              <w:rPr>
                <w:rFonts w:asciiTheme="majorBidi" w:hAnsiTheme="majorBidi" w:cstheme="majorBidi"/>
                <w:i/>
              </w:rPr>
              <w:t>a</w:t>
            </w:r>
            <w:r w:rsidRPr="00F467B3">
              <w:rPr>
                <w:rFonts w:asciiTheme="majorBidi" w:hAnsiTheme="majorBidi" w:cstheme="majorBidi"/>
                <w:iCs/>
              </w:rPr>
              <w:t>]pyrano[</w:t>
            </w:r>
            <w:r w:rsidRPr="00F467B3">
              <w:rPr>
                <w:rFonts w:asciiTheme="majorBidi" w:hAnsiTheme="majorBidi" w:cstheme="majorBidi"/>
                <w:i/>
              </w:rPr>
              <w:t>2,3-c</w:t>
            </w:r>
            <w:r w:rsidRPr="00F467B3">
              <w:rPr>
                <w:rFonts w:asciiTheme="majorBidi" w:hAnsiTheme="majorBidi" w:cstheme="majorBidi"/>
                <w:iCs/>
              </w:rPr>
              <w:t>]phenazine-2-carbonitrile</w:t>
            </w:r>
            <w:r w:rsidRPr="00F467B3">
              <w:rPr>
                <w:rFonts w:asciiTheme="majorBidi" w:hAnsiTheme="majorBidi" w:cstheme="majorBidi"/>
                <w:iCs/>
                <w:vertAlign w:val="superscript"/>
              </w:rPr>
              <w:t>a</w:t>
            </w:r>
            <w:r w:rsidRPr="00F467B3">
              <w:rPr>
                <w:rFonts w:asciiTheme="majorBidi" w:hAnsiTheme="majorBidi" w:cstheme="majorBidi"/>
                <w:iCs/>
              </w:rPr>
              <w:t xml:space="preserve"> (5A) in the presence of [(EtO)</w:t>
            </w:r>
            <w:r w:rsidRPr="00F467B3">
              <w:rPr>
                <w:rFonts w:asciiTheme="majorBidi" w:hAnsiTheme="majorBidi" w:cstheme="majorBidi"/>
                <w:iCs/>
                <w:vertAlign w:val="subscript"/>
              </w:rPr>
              <w:t>3</w:t>
            </w:r>
            <w:r w:rsidRPr="00F467B3">
              <w:rPr>
                <w:rFonts w:asciiTheme="majorBidi" w:hAnsiTheme="majorBidi" w:cstheme="majorBidi"/>
                <w:iCs/>
              </w:rPr>
              <w:t>Si(CH</w:t>
            </w:r>
            <w:r w:rsidRPr="00F467B3">
              <w:rPr>
                <w:rFonts w:asciiTheme="majorBidi" w:hAnsiTheme="majorBidi" w:cstheme="majorBidi"/>
                <w:iCs/>
                <w:vertAlign w:val="subscript"/>
              </w:rPr>
              <w:t>2</w:t>
            </w:r>
            <w:r w:rsidRPr="00F467B3">
              <w:rPr>
                <w:rFonts w:asciiTheme="majorBidi" w:hAnsiTheme="majorBidi" w:cstheme="majorBidi"/>
                <w:iCs/>
              </w:rPr>
              <w:t>)</w:t>
            </w:r>
            <w:r w:rsidRPr="00F467B3">
              <w:rPr>
                <w:rFonts w:asciiTheme="majorBidi" w:hAnsiTheme="majorBidi" w:cstheme="majorBidi"/>
                <w:iCs/>
                <w:vertAlign w:val="subscript"/>
              </w:rPr>
              <w:t>3</w:t>
            </w:r>
            <w:r w:rsidRPr="00F467B3">
              <w:rPr>
                <w:rFonts w:asciiTheme="majorBidi" w:hAnsiTheme="majorBidi" w:cstheme="majorBidi"/>
                <w:iCs/>
              </w:rPr>
              <w:t>N</w:t>
            </w:r>
            <w:r w:rsidRPr="00F467B3">
              <w:rPr>
                <w:rFonts w:asciiTheme="majorBidi" w:hAnsiTheme="majorBidi" w:cstheme="majorBidi"/>
                <w:iCs/>
                <w:vertAlign w:val="superscript"/>
              </w:rPr>
              <w:t>+</w:t>
            </w:r>
            <w:r w:rsidRPr="00F467B3">
              <w:rPr>
                <w:rFonts w:asciiTheme="majorBidi" w:hAnsiTheme="majorBidi" w:cstheme="majorBidi"/>
                <w:iCs/>
              </w:rPr>
              <w:t>H</w:t>
            </w:r>
            <w:r w:rsidRPr="00F467B3">
              <w:rPr>
                <w:rFonts w:asciiTheme="majorBidi" w:hAnsiTheme="majorBidi" w:cstheme="majorBidi"/>
                <w:iCs/>
                <w:vertAlign w:val="subscript"/>
              </w:rPr>
              <w:t>3</w:t>
            </w:r>
            <w:r w:rsidRPr="00F467B3">
              <w:rPr>
                <w:rFonts w:asciiTheme="majorBidi" w:hAnsiTheme="majorBidi" w:cstheme="majorBidi"/>
                <w:iCs/>
              </w:rPr>
              <w:t>][CH</w:t>
            </w:r>
            <w:r w:rsidRPr="00F467B3">
              <w:rPr>
                <w:rFonts w:asciiTheme="majorBidi" w:hAnsiTheme="majorBidi" w:cstheme="majorBidi"/>
                <w:iCs/>
                <w:vertAlign w:val="subscript"/>
              </w:rPr>
              <w:t>3</w:t>
            </w:r>
            <w:r w:rsidRPr="00F467B3">
              <w:rPr>
                <w:rFonts w:asciiTheme="majorBidi" w:hAnsiTheme="majorBidi" w:cstheme="majorBidi"/>
                <w:iCs/>
              </w:rPr>
              <w:t>COO</w:t>
            </w:r>
            <w:r w:rsidRPr="00F467B3">
              <w:rPr>
                <w:rFonts w:asciiTheme="majorBidi" w:hAnsiTheme="majorBidi" w:cstheme="majorBidi"/>
                <w:iCs/>
                <w:vertAlign w:val="superscript"/>
              </w:rPr>
              <w:t>-</w:t>
            </w:r>
            <w:r w:rsidRPr="00F467B3">
              <w:rPr>
                <w:rFonts w:asciiTheme="majorBidi" w:hAnsiTheme="majorBidi" w:cstheme="majorBidi"/>
                <w:iCs/>
              </w:rPr>
              <w:t>] as catalyst in different solvents and various amount of the catalyst under several temperature</w:t>
            </w:r>
          </w:p>
        </w:tc>
      </w:tr>
      <w:tr w:rsidR="00F467B3" w:rsidRPr="00F467B3" w14:paraId="12BCD07C" w14:textId="77777777" w:rsidTr="00F467B3">
        <w:tc>
          <w:tcPr>
            <w:tcW w:w="9974" w:type="dxa"/>
            <w:gridSpan w:val="7"/>
            <w:tcBorders>
              <w:top w:val="single" w:sz="12" w:space="0" w:color="auto"/>
            </w:tcBorders>
            <w:shd w:val="clear" w:color="auto" w:fill="FFFFFF"/>
          </w:tcPr>
          <w:p w14:paraId="2CF6CA54" w14:textId="77777777" w:rsidR="00F467B3" w:rsidRPr="00F467B3" w:rsidRDefault="00BD21D0" w:rsidP="00BD21D0">
            <w:pPr>
              <w:spacing w:line="276" w:lineRule="auto"/>
              <w:jc w:val="center"/>
              <w:rPr>
                <w:rFonts w:asciiTheme="majorBidi" w:hAnsiTheme="majorBidi" w:cstheme="majorBidi"/>
                <w:b/>
                <w:bCs/>
              </w:rPr>
            </w:pPr>
            <w:r>
              <w:object w:dxaOrig="10608" w:dyaOrig="2368" w14:anchorId="0C285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95.85pt;height:111.45pt" o:ole="">
                  <v:imagedata r:id="rId6" o:title=""/>
                </v:shape>
                <o:OLEObject Type="Embed" ProgID="ChemDraw.Document.6.0" ShapeID="_x0000_i1028" DrawAspect="Content" ObjectID="_1746401699" r:id="rId7"/>
              </w:object>
            </w:r>
          </w:p>
        </w:tc>
      </w:tr>
      <w:tr w:rsidR="00F467B3" w:rsidRPr="00F467B3" w14:paraId="4DD866B5" w14:textId="77777777" w:rsidTr="00F467B3">
        <w:tc>
          <w:tcPr>
            <w:tcW w:w="978" w:type="dxa"/>
            <w:tcBorders>
              <w:top w:val="single" w:sz="12" w:space="0" w:color="auto"/>
              <w:bottom w:val="single" w:sz="12" w:space="0" w:color="auto"/>
            </w:tcBorders>
            <w:shd w:val="clear" w:color="auto" w:fill="FFFFFF"/>
          </w:tcPr>
          <w:p w14:paraId="7096E1F6"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Entry</w:t>
            </w:r>
          </w:p>
        </w:tc>
        <w:tc>
          <w:tcPr>
            <w:tcW w:w="1552" w:type="dxa"/>
            <w:tcBorders>
              <w:top w:val="single" w:sz="12" w:space="0" w:color="auto"/>
              <w:bottom w:val="single" w:sz="12" w:space="0" w:color="auto"/>
            </w:tcBorders>
            <w:shd w:val="clear" w:color="auto" w:fill="FFFFFF"/>
          </w:tcPr>
          <w:p w14:paraId="67678E0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Catalyst</w:t>
            </w:r>
          </w:p>
        </w:tc>
        <w:tc>
          <w:tcPr>
            <w:tcW w:w="1954" w:type="dxa"/>
            <w:tcBorders>
              <w:top w:val="single" w:sz="12" w:space="0" w:color="auto"/>
              <w:bottom w:val="single" w:sz="12" w:space="0" w:color="auto"/>
            </w:tcBorders>
            <w:shd w:val="clear" w:color="auto" w:fill="FFFFFF"/>
          </w:tcPr>
          <w:p w14:paraId="0AC19A5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Amount of catalyst (mol%)</w:t>
            </w:r>
          </w:p>
        </w:tc>
        <w:tc>
          <w:tcPr>
            <w:tcW w:w="1623" w:type="dxa"/>
            <w:tcBorders>
              <w:top w:val="single" w:sz="12" w:space="0" w:color="auto"/>
              <w:bottom w:val="single" w:sz="12" w:space="0" w:color="auto"/>
            </w:tcBorders>
            <w:shd w:val="clear" w:color="auto" w:fill="FFFFFF"/>
          </w:tcPr>
          <w:p w14:paraId="40499FC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 (3 ml)</w:t>
            </w:r>
          </w:p>
        </w:tc>
        <w:tc>
          <w:tcPr>
            <w:tcW w:w="1333" w:type="dxa"/>
            <w:tcBorders>
              <w:top w:val="single" w:sz="12" w:space="0" w:color="auto"/>
              <w:bottom w:val="single" w:sz="12" w:space="0" w:color="auto"/>
            </w:tcBorders>
            <w:shd w:val="clear" w:color="auto" w:fill="FFFFFF"/>
          </w:tcPr>
          <w:p w14:paraId="6382FE9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Temp. (°C)</w:t>
            </w:r>
          </w:p>
        </w:tc>
        <w:tc>
          <w:tcPr>
            <w:tcW w:w="1263" w:type="dxa"/>
            <w:tcBorders>
              <w:top w:val="single" w:sz="12" w:space="0" w:color="auto"/>
              <w:bottom w:val="single" w:sz="12" w:space="0" w:color="auto"/>
            </w:tcBorders>
            <w:shd w:val="clear" w:color="auto" w:fill="FFFFFF"/>
          </w:tcPr>
          <w:p w14:paraId="336DBF4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Time (min)</w:t>
            </w:r>
          </w:p>
        </w:tc>
        <w:tc>
          <w:tcPr>
            <w:tcW w:w="1271" w:type="dxa"/>
            <w:tcBorders>
              <w:top w:val="single" w:sz="12" w:space="0" w:color="auto"/>
              <w:bottom w:val="single" w:sz="12" w:space="0" w:color="auto"/>
            </w:tcBorders>
            <w:shd w:val="clear" w:color="auto" w:fill="FFFFFF"/>
          </w:tcPr>
          <w:p w14:paraId="144FA0C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Yield (%)</w:t>
            </w:r>
            <w:r w:rsidRPr="00F467B3">
              <w:rPr>
                <w:rFonts w:asciiTheme="majorBidi" w:hAnsiTheme="majorBidi" w:cstheme="majorBidi"/>
                <w:vertAlign w:val="superscript"/>
              </w:rPr>
              <w:t>b</w:t>
            </w:r>
          </w:p>
        </w:tc>
      </w:tr>
      <w:tr w:rsidR="00F467B3" w:rsidRPr="00F467B3" w14:paraId="5452F502" w14:textId="77777777" w:rsidTr="00F467B3">
        <w:tc>
          <w:tcPr>
            <w:tcW w:w="978" w:type="dxa"/>
            <w:tcBorders>
              <w:top w:val="single" w:sz="12" w:space="0" w:color="auto"/>
            </w:tcBorders>
            <w:shd w:val="clear" w:color="auto" w:fill="FFFFFF"/>
          </w:tcPr>
          <w:p w14:paraId="01E91B3A"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w:t>
            </w:r>
          </w:p>
        </w:tc>
        <w:tc>
          <w:tcPr>
            <w:tcW w:w="1552" w:type="dxa"/>
            <w:tcBorders>
              <w:top w:val="single" w:sz="12" w:space="0" w:color="auto"/>
            </w:tcBorders>
            <w:shd w:val="clear" w:color="auto" w:fill="FFFFFF"/>
          </w:tcPr>
          <w:p w14:paraId="66C64201"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w:t>
            </w:r>
          </w:p>
        </w:tc>
        <w:tc>
          <w:tcPr>
            <w:tcW w:w="1954" w:type="dxa"/>
            <w:tcBorders>
              <w:top w:val="single" w:sz="12" w:space="0" w:color="auto"/>
            </w:tcBorders>
            <w:shd w:val="clear" w:color="auto" w:fill="FFFFFF"/>
          </w:tcPr>
          <w:p w14:paraId="5EDF1A92"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623" w:type="dxa"/>
            <w:tcBorders>
              <w:top w:val="single" w:sz="12" w:space="0" w:color="auto"/>
            </w:tcBorders>
            <w:shd w:val="clear" w:color="auto" w:fill="FFFFFF"/>
          </w:tcPr>
          <w:p w14:paraId="300B4DB3"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333" w:type="dxa"/>
            <w:tcBorders>
              <w:top w:val="single" w:sz="12" w:space="0" w:color="auto"/>
            </w:tcBorders>
            <w:shd w:val="clear" w:color="auto" w:fill="FFFFFF"/>
          </w:tcPr>
          <w:p w14:paraId="3CB08CC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r.t.</w:t>
            </w:r>
          </w:p>
        </w:tc>
        <w:tc>
          <w:tcPr>
            <w:tcW w:w="1263" w:type="dxa"/>
            <w:tcBorders>
              <w:top w:val="single" w:sz="12" w:space="0" w:color="auto"/>
            </w:tcBorders>
            <w:shd w:val="clear" w:color="auto" w:fill="FFFFFF"/>
          </w:tcPr>
          <w:p w14:paraId="5C1512A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tcBorders>
              <w:top w:val="single" w:sz="12" w:space="0" w:color="auto"/>
            </w:tcBorders>
            <w:shd w:val="clear" w:color="auto" w:fill="FFFFFF"/>
          </w:tcPr>
          <w:p w14:paraId="2F791CC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r>
      <w:tr w:rsidR="00F467B3" w:rsidRPr="00F467B3" w14:paraId="195F3D28" w14:textId="77777777" w:rsidTr="00F467B3">
        <w:tc>
          <w:tcPr>
            <w:tcW w:w="978" w:type="dxa"/>
            <w:shd w:val="clear" w:color="auto" w:fill="FFFFFF"/>
          </w:tcPr>
          <w:p w14:paraId="0D8E3654"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2</w:t>
            </w:r>
          </w:p>
        </w:tc>
        <w:tc>
          <w:tcPr>
            <w:tcW w:w="1552" w:type="dxa"/>
            <w:shd w:val="clear" w:color="auto" w:fill="FFFFFF"/>
          </w:tcPr>
          <w:p w14:paraId="23C6FDDF"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w:t>
            </w:r>
          </w:p>
        </w:tc>
        <w:tc>
          <w:tcPr>
            <w:tcW w:w="1954" w:type="dxa"/>
            <w:shd w:val="clear" w:color="auto" w:fill="FFFFFF"/>
          </w:tcPr>
          <w:p w14:paraId="2406272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623" w:type="dxa"/>
            <w:shd w:val="clear" w:color="auto" w:fill="FFFFFF"/>
          </w:tcPr>
          <w:p w14:paraId="1B1A016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333" w:type="dxa"/>
            <w:shd w:val="clear" w:color="auto" w:fill="FFFFFF"/>
          </w:tcPr>
          <w:p w14:paraId="4FB3AEC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100</w:t>
            </w:r>
          </w:p>
        </w:tc>
        <w:tc>
          <w:tcPr>
            <w:tcW w:w="1263" w:type="dxa"/>
            <w:shd w:val="clear" w:color="auto" w:fill="FFFFFF"/>
          </w:tcPr>
          <w:p w14:paraId="3B448ED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502793D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r>
      <w:tr w:rsidR="00F467B3" w:rsidRPr="00F467B3" w14:paraId="28B6CC3B" w14:textId="77777777" w:rsidTr="00F467B3">
        <w:tc>
          <w:tcPr>
            <w:tcW w:w="978" w:type="dxa"/>
            <w:shd w:val="clear" w:color="auto" w:fill="FFFFFF"/>
          </w:tcPr>
          <w:p w14:paraId="75B9D4C9"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3</w:t>
            </w:r>
          </w:p>
        </w:tc>
        <w:tc>
          <w:tcPr>
            <w:tcW w:w="1552" w:type="dxa"/>
            <w:shd w:val="clear" w:color="auto" w:fill="FFFFFF"/>
          </w:tcPr>
          <w:p w14:paraId="7525182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954" w:type="dxa"/>
            <w:shd w:val="clear" w:color="auto" w:fill="FFFFFF"/>
          </w:tcPr>
          <w:p w14:paraId="2B1BA69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623" w:type="dxa"/>
            <w:shd w:val="clear" w:color="auto" w:fill="FFFFFF"/>
          </w:tcPr>
          <w:p w14:paraId="5ED2F1C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H</w:t>
            </w:r>
            <w:r w:rsidRPr="00F467B3">
              <w:rPr>
                <w:rFonts w:asciiTheme="majorBidi" w:hAnsiTheme="majorBidi" w:cstheme="majorBidi"/>
                <w:vertAlign w:val="subscript"/>
              </w:rPr>
              <w:t>2</w:t>
            </w:r>
            <w:r w:rsidRPr="00F467B3">
              <w:rPr>
                <w:rFonts w:asciiTheme="majorBidi" w:hAnsiTheme="majorBidi" w:cstheme="majorBidi"/>
              </w:rPr>
              <w:t>O</w:t>
            </w:r>
          </w:p>
        </w:tc>
        <w:tc>
          <w:tcPr>
            <w:tcW w:w="1333" w:type="dxa"/>
            <w:shd w:val="clear" w:color="auto" w:fill="FFFFFF"/>
          </w:tcPr>
          <w:p w14:paraId="5D915F7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r.t.</w:t>
            </w:r>
          </w:p>
        </w:tc>
        <w:tc>
          <w:tcPr>
            <w:tcW w:w="1263" w:type="dxa"/>
            <w:shd w:val="clear" w:color="auto" w:fill="FFFFFF"/>
          </w:tcPr>
          <w:p w14:paraId="2D0836B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2F27E632"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r>
      <w:tr w:rsidR="00F467B3" w:rsidRPr="00F467B3" w14:paraId="33A6789A" w14:textId="77777777" w:rsidTr="00F467B3">
        <w:tc>
          <w:tcPr>
            <w:tcW w:w="978" w:type="dxa"/>
            <w:shd w:val="clear" w:color="auto" w:fill="FFFFFF"/>
          </w:tcPr>
          <w:p w14:paraId="07C5B287"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4</w:t>
            </w:r>
          </w:p>
        </w:tc>
        <w:tc>
          <w:tcPr>
            <w:tcW w:w="1552" w:type="dxa"/>
            <w:shd w:val="clear" w:color="auto" w:fill="FFFFFF"/>
          </w:tcPr>
          <w:p w14:paraId="465E964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954" w:type="dxa"/>
            <w:shd w:val="clear" w:color="auto" w:fill="FFFFFF"/>
          </w:tcPr>
          <w:p w14:paraId="35B7BBD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623" w:type="dxa"/>
            <w:shd w:val="clear" w:color="auto" w:fill="FFFFFF"/>
          </w:tcPr>
          <w:p w14:paraId="64AF159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H</w:t>
            </w:r>
            <w:r w:rsidRPr="00F467B3">
              <w:rPr>
                <w:rFonts w:asciiTheme="majorBidi" w:hAnsiTheme="majorBidi" w:cstheme="majorBidi"/>
                <w:vertAlign w:val="subscript"/>
              </w:rPr>
              <w:t>2</w:t>
            </w:r>
            <w:r w:rsidRPr="00F467B3">
              <w:rPr>
                <w:rFonts w:asciiTheme="majorBidi" w:hAnsiTheme="majorBidi" w:cstheme="majorBidi"/>
              </w:rPr>
              <w:t>O</w:t>
            </w:r>
          </w:p>
        </w:tc>
        <w:tc>
          <w:tcPr>
            <w:tcW w:w="1333" w:type="dxa"/>
            <w:shd w:val="clear" w:color="auto" w:fill="FFFFFF"/>
          </w:tcPr>
          <w:p w14:paraId="2BDBB81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Reflux</w:t>
            </w:r>
          </w:p>
        </w:tc>
        <w:tc>
          <w:tcPr>
            <w:tcW w:w="1263" w:type="dxa"/>
            <w:shd w:val="clear" w:color="auto" w:fill="FFFFFF"/>
          </w:tcPr>
          <w:p w14:paraId="2733193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6E5AFCF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Trace</w:t>
            </w:r>
          </w:p>
        </w:tc>
      </w:tr>
      <w:tr w:rsidR="00F467B3" w:rsidRPr="00F467B3" w14:paraId="4937F018" w14:textId="77777777" w:rsidTr="00F467B3">
        <w:tc>
          <w:tcPr>
            <w:tcW w:w="978" w:type="dxa"/>
            <w:shd w:val="clear" w:color="auto" w:fill="FFFFFF"/>
          </w:tcPr>
          <w:p w14:paraId="146D77B3"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5</w:t>
            </w:r>
          </w:p>
        </w:tc>
        <w:tc>
          <w:tcPr>
            <w:tcW w:w="1552" w:type="dxa"/>
            <w:shd w:val="clear" w:color="auto" w:fill="FFFFFF"/>
          </w:tcPr>
          <w:p w14:paraId="4695DA0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7DD9393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1175FA69"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H</w:t>
            </w:r>
            <w:r w:rsidRPr="00F467B3">
              <w:rPr>
                <w:rFonts w:asciiTheme="majorBidi" w:hAnsiTheme="majorBidi" w:cstheme="majorBidi"/>
                <w:vertAlign w:val="subscript"/>
              </w:rPr>
              <w:t>2</w:t>
            </w:r>
            <w:r w:rsidRPr="00F467B3">
              <w:rPr>
                <w:rFonts w:asciiTheme="majorBidi" w:hAnsiTheme="majorBidi" w:cstheme="majorBidi"/>
              </w:rPr>
              <w:t>O</w:t>
            </w:r>
          </w:p>
        </w:tc>
        <w:tc>
          <w:tcPr>
            <w:tcW w:w="1333" w:type="dxa"/>
            <w:shd w:val="clear" w:color="auto" w:fill="FFFFFF"/>
          </w:tcPr>
          <w:p w14:paraId="76143D6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r.t.</w:t>
            </w:r>
          </w:p>
        </w:tc>
        <w:tc>
          <w:tcPr>
            <w:tcW w:w="1263" w:type="dxa"/>
            <w:shd w:val="clear" w:color="auto" w:fill="FFFFFF"/>
          </w:tcPr>
          <w:p w14:paraId="018549A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71684BF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Trace</w:t>
            </w:r>
          </w:p>
        </w:tc>
      </w:tr>
      <w:tr w:rsidR="00F467B3" w:rsidRPr="00F467B3" w14:paraId="5C9D57E6" w14:textId="77777777" w:rsidTr="00F467B3">
        <w:tc>
          <w:tcPr>
            <w:tcW w:w="978" w:type="dxa"/>
            <w:shd w:val="clear" w:color="auto" w:fill="FFFFFF"/>
          </w:tcPr>
          <w:p w14:paraId="02029D2B"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6</w:t>
            </w:r>
          </w:p>
        </w:tc>
        <w:tc>
          <w:tcPr>
            <w:tcW w:w="1552" w:type="dxa"/>
            <w:shd w:val="clear" w:color="auto" w:fill="FFFFFF"/>
          </w:tcPr>
          <w:p w14:paraId="395422E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6BCCFA0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31A0A8C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H</w:t>
            </w:r>
            <w:r w:rsidRPr="00F467B3">
              <w:rPr>
                <w:rFonts w:asciiTheme="majorBidi" w:hAnsiTheme="majorBidi" w:cstheme="majorBidi"/>
                <w:vertAlign w:val="subscript"/>
              </w:rPr>
              <w:t>2</w:t>
            </w:r>
            <w:r w:rsidRPr="00F467B3">
              <w:rPr>
                <w:rFonts w:asciiTheme="majorBidi" w:hAnsiTheme="majorBidi" w:cstheme="majorBidi"/>
              </w:rPr>
              <w:t>O</w:t>
            </w:r>
          </w:p>
        </w:tc>
        <w:tc>
          <w:tcPr>
            <w:tcW w:w="1333" w:type="dxa"/>
            <w:shd w:val="clear" w:color="auto" w:fill="FFFFFF"/>
          </w:tcPr>
          <w:p w14:paraId="7B78743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Reflux</w:t>
            </w:r>
          </w:p>
        </w:tc>
        <w:tc>
          <w:tcPr>
            <w:tcW w:w="1263" w:type="dxa"/>
            <w:shd w:val="clear" w:color="auto" w:fill="FFFFFF"/>
          </w:tcPr>
          <w:p w14:paraId="5710826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2F68A56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33</w:t>
            </w:r>
          </w:p>
        </w:tc>
      </w:tr>
      <w:tr w:rsidR="00F467B3" w:rsidRPr="00F467B3" w14:paraId="73FBED18" w14:textId="77777777" w:rsidTr="00F467B3">
        <w:tc>
          <w:tcPr>
            <w:tcW w:w="978" w:type="dxa"/>
            <w:shd w:val="clear" w:color="auto" w:fill="FFFFFF"/>
          </w:tcPr>
          <w:p w14:paraId="1B41EE58"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7</w:t>
            </w:r>
          </w:p>
        </w:tc>
        <w:tc>
          <w:tcPr>
            <w:tcW w:w="1552" w:type="dxa"/>
            <w:shd w:val="clear" w:color="auto" w:fill="FFFFFF"/>
          </w:tcPr>
          <w:p w14:paraId="4B616D0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739F7A5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4824E6D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w:t>
            </w:r>
          </w:p>
        </w:tc>
        <w:tc>
          <w:tcPr>
            <w:tcW w:w="1333" w:type="dxa"/>
            <w:shd w:val="clear" w:color="auto" w:fill="FFFFFF"/>
          </w:tcPr>
          <w:p w14:paraId="4AB8CFE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r.t.</w:t>
            </w:r>
          </w:p>
        </w:tc>
        <w:tc>
          <w:tcPr>
            <w:tcW w:w="1263" w:type="dxa"/>
            <w:shd w:val="clear" w:color="auto" w:fill="FFFFFF"/>
          </w:tcPr>
          <w:p w14:paraId="2F0C85D2"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0E7685E9"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27</w:t>
            </w:r>
          </w:p>
        </w:tc>
      </w:tr>
      <w:tr w:rsidR="00F467B3" w:rsidRPr="00F467B3" w14:paraId="3D4DD289" w14:textId="77777777" w:rsidTr="00F467B3">
        <w:tc>
          <w:tcPr>
            <w:tcW w:w="978" w:type="dxa"/>
            <w:shd w:val="clear" w:color="auto" w:fill="FFFFFF"/>
          </w:tcPr>
          <w:p w14:paraId="22C3AD6D"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8</w:t>
            </w:r>
          </w:p>
        </w:tc>
        <w:tc>
          <w:tcPr>
            <w:tcW w:w="1552" w:type="dxa"/>
            <w:shd w:val="clear" w:color="auto" w:fill="FFFFFF"/>
          </w:tcPr>
          <w:p w14:paraId="47E1043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1E6C899B"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44E7B2E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Solvent-Free</w:t>
            </w:r>
          </w:p>
        </w:tc>
        <w:tc>
          <w:tcPr>
            <w:tcW w:w="1333" w:type="dxa"/>
            <w:shd w:val="clear" w:color="auto" w:fill="FFFFFF"/>
          </w:tcPr>
          <w:p w14:paraId="07C85A7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50</w:t>
            </w:r>
          </w:p>
        </w:tc>
        <w:tc>
          <w:tcPr>
            <w:tcW w:w="1263" w:type="dxa"/>
            <w:shd w:val="clear" w:color="auto" w:fill="FFFFFF"/>
          </w:tcPr>
          <w:p w14:paraId="2C422579"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4h</w:t>
            </w:r>
          </w:p>
        </w:tc>
        <w:tc>
          <w:tcPr>
            <w:tcW w:w="1271" w:type="dxa"/>
            <w:shd w:val="clear" w:color="auto" w:fill="FFFFFF"/>
          </w:tcPr>
          <w:p w14:paraId="00A461F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53</w:t>
            </w:r>
          </w:p>
        </w:tc>
      </w:tr>
      <w:tr w:rsidR="00F467B3" w:rsidRPr="00F467B3" w14:paraId="10AC9AFC" w14:textId="77777777" w:rsidTr="00F467B3">
        <w:tc>
          <w:tcPr>
            <w:tcW w:w="978" w:type="dxa"/>
            <w:shd w:val="clear" w:color="auto" w:fill="FFFFFF"/>
          </w:tcPr>
          <w:p w14:paraId="6D929AE6"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9</w:t>
            </w:r>
          </w:p>
        </w:tc>
        <w:tc>
          <w:tcPr>
            <w:tcW w:w="1552" w:type="dxa"/>
            <w:shd w:val="clear" w:color="auto" w:fill="FFFFFF"/>
          </w:tcPr>
          <w:p w14:paraId="2C4D59A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2E7504F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5A4BE1B3"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Solvent-Free</w:t>
            </w:r>
          </w:p>
        </w:tc>
        <w:tc>
          <w:tcPr>
            <w:tcW w:w="1333" w:type="dxa"/>
            <w:shd w:val="clear" w:color="auto" w:fill="FFFFFF"/>
          </w:tcPr>
          <w:p w14:paraId="2C1E80C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60</w:t>
            </w:r>
          </w:p>
        </w:tc>
        <w:tc>
          <w:tcPr>
            <w:tcW w:w="1263" w:type="dxa"/>
            <w:shd w:val="clear" w:color="auto" w:fill="FFFFFF"/>
          </w:tcPr>
          <w:p w14:paraId="293FD3C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3h</w:t>
            </w:r>
          </w:p>
        </w:tc>
        <w:tc>
          <w:tcPr>
            <w:tcW w:w="1271" w:type="dxa"/>
            <w:shd w:val="clear" w:color="auto" w:fill="FFFFFF"/>
          </w:tcPr>
          <w:p w14:paraId="10AB24BA"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71</w:t>
            </w:r>
          </w:p>
        </w:tc>
      </w:tr>
      <w:tr w:rsidR="00F467B3" w:rsidRPr="00F467B3" w14:paraId="4C516D85" w14:textId="77777777" w:rsidTr="00F467B3">
        <w:tc>
          <w:tcPr>
            <w:tcW w:w="978" w:type="dxa"/>
            <w:shd w:val="clear" w:color="auto" w:fill="FFFFFF"/>
          </w:tcPr>
          <w:p w14:paraId="48C27DDA"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10</w:t>
            </w:r>
          </w:p>
        </w:tc>
        <w:tc>
          <w:tcPr>
            <w:tcW w:w="1552" w:type="dxa"/>
            <w:shd w:val="clear" w:color="auto" w:fill="FFFFFF"/>
          </w:tcPr>
          <w:p w14:paraId="6862F8E6"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37F36E3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10D7111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Solvent-Free</w:t>
            </w:r>
          </w:p>
        </w:tc>
        <w:tc>
          <w:tcPr>
            <w:tcW w:w="1333" w:type="dxa"/>
            <w:shd w:val="clear" w:color="auto" w:fill="FFFFFF"/>
          </w:tcPr>
          <w:p w14:paraId="25B7572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70</w:t>
            </w:r>
          </w:p>
        </w:tc>
        <w:tc>
          <w:tcPr>
            <w:tcW w:w="1263" w:type="dxa"/>
            <w:shd w:val="clear" w:color="auto" w:fill="FFFFFF"/>
          </w:tcPr>
          <w:p w14:paraId="05983F8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2h</w:t>
            </w:r>
          </w:p>
        </w:tc>
        <w:tc>
          <w:tcPr>
            <w:tcW w:w="1271" w:type="dxa"/>
            <w:shd w:val="clear" w:color="auto" w:fill="FFFFFF"/>
          </w:tcPr>
          <w:p w14:paraId="3CCAD4C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88</w:t>
            </w:r>
          </w:p>
        </w:tc>
      </w:tr>
      <w:tr w:rsidR="00F467B3" w:rsidRPr="00F467B3" w14:paraId="1FDD97B0" w14:textId="77777777" w:rsidTr="00F467B3">
        <w:tc>
          <w:tcPr>
            <w:tcW w:w="978" w:type="dxa"/>
            <w:shd w:val="clear" w:color="auto" w:fill="FFFFFF"/>
          </w:tcPr>
          <w:p w14:paraId="6AE36CFE"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11</w:t>
            </w:r>
          </w:p>
        </w:tc>
        <w:tc>
          <w:tcPr>
            <w:tcW w:w="1552" w:type="dxa"/>
            <w:shd w:val="clear" w:color="auto" w:fill="FFFFFF"/>
          </w:tcPr>
          <w:p w14:paraId="31D938C5"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7563B800"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0D96E16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Solvent-Free</w:t>
            </w:r>
          </w:p>
        </w:tc>
        <w:tc>
          <w:tcPr>
            <w:tcW w:w="1333" w:type="dxa"/>
            <w:shd w:val="clear" w:color="auto" w:fill="FFFFFF"/>
          </w:tcPr>
          <w:p w14:paraId="7052A4CD"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80</w:t>
            </w:r>
          </w:p>
        </w:tc>
        <w:tc>
          <w:tcPr>
            <w:tcW w:w="1263" w:type="dxa"/>
            <w:shd w:val="clear" w:color="auto" w:fill="FFFFFF"/>
          </w:tcPr>
          <w:p w14:paraId="2D8951F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90</w:t>
            </w:r>
          </w:p>
        </w:tc>
        <w:tc>
          <w:tcPr>
            <w:tcW w:w="1271" w:type="dxa"/>
            <w:shd w:val="clear" w:color="auto" w:fill="FFFFFF"/>
          </w:tcPr>
          <w:p w14:paraId="081B717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92</w:t>
            </w:r>
          </w:p>
        </w:tc>
      </w:tr>
      <w:tr w:rsidR="00F467B3" w:rsidRPr="00F467B3" w14:paraId="36693D2E" w14:textId="77777777" w:rsidTr="00F467B3">
        <w:tc>
          <w:tcPr>
            <w:tcW w:w="978" w:type="dxa"/>
            <w:shd w:val="clear" w:color="auto" w:fill="FFFFFF"/>
          </w:tcPr>
          <w:p w14:paraId="1310F529"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12</w:t>
            </w:r>
          </w:p>
        </w:tc>
        <w:tc>
          <w:tcPr>
            <w:tcW w:w="1552" w:type="dxa"/>
            <w:shd w:val="clear" w:color="auto" w:fill="FFFFFF"/>
          </w:tcPr>
          <w:p w14:paraId="0C99DE8B"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Ionic Liquids</w:t>
            </w:r>
          </w:p>
        </w:tc>
        <w:tc>
          <w:tcPr>
            <w:tcW w:w="1954" w:type="dxa"/>
            <w:shd w:val="clear" w:color="auto" w:fill="FFFFFF"/>
          </w:tcPr>
          <w:p w14:paraId="05FB3A44"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30 mol%</w:t>
            </w:r>
          </w:p>
        </w:tc>
        <w:tc>
          <w:tcPr>
            <w:tcW w:w="1623" w:type="dxa"/>
            <w:shd w:val="clear" w:color="auto" w:fill="FFFFFF"/>
          </w:tcPr>
          <w:p w14:paraId="11F6E5EC"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Solvent-Free</w:t>
            </w:r>
          </w:p>
        </w:tc>
        <w:tc>
          <w:tcPr>
            <w:tcW w:w="1333" w:type="dxa"/>
            <w:shd w:val="clear" w:color="auto" w:fill="FFFFFF"/>
          </w:tcPr>
          <w:p w14:paraId="47DF5072"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90</w:t>
            </w:r>
          </w:p>
        </w:tc>
        <w:tc>
          <w:tcPr>
            <w:tcW w:w="1263" w:type="dxa"/>
            <w:shd w:val="clear" w:color="auto" w:fill="FFFFFF"/>
          </w:tcPr>
          <w:p w14:paraId="5D1E0AB7"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45</w:t>
            </w:r>
          </w:p>
        </w:tc>
        <w:tc>
          <w:tcPr>
            <w:tcW w:w="1271" w:type="dxa"/>
            <w:shd w:val="clear" w:color="auto" w:fill="FFFFFF"/>
          </w:tcPr>
          <w:p w14:paraId="648DFE7F"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93</w:t>
            </w:r>
          </w:p>
        </w:tc>
      </w:tr>
      <w:tr w:rsidR="00F467B3" w:rsidRPr="00F467B3" w14:paraId="7A83E182" w14:textId="77777777" w:rsidTr="00F467B3">
        <w:tc>
          <w:tcPr>
            <w:tcW w:w="978" w:type="dxa"/>
            <w:shd w:val="clear" w:color="auto" w:fill="FFFFFF"/>
          </w:tcPr>
          <w:p w14:paraId="7E5CEEE4"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13</w:t>
            </w:r>
          </w:p>
        </w:tc>
        <w:tc>
          <w:tcPr>
            <w:tcW w:w="1552" w:type="dxa"/>
            <w:shd w:val="clear" w:color="auto" w:fill="FFFFFF"/>
          </w:tcPr>
          <w:p w14:paraId="4E45913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5DE0FCDD"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1B519D3A"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Solvent-Free</w:t>
            </w:r>
          </w:p>
        </w:tc>
        <w:tc>
          <w:tcPr>
            <w:tcW w:w="1333" w:type="dxa"/>
            <w:shd w:val="clear" w:color="auto" w:fill="FFFFFF"/>
          </w:tcPr>
          <w:p w14:paraId="250985FA"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100</w:t>
            </w:r>
          </w:p>
        </w:tc>
        <w:tc>
          <w:tcPr>
            <w:tcW w:w="1263" w:type="dxa"/>
            <w:shd w:val="clear" w:color="auto" w:fill="FFFFFF"/>
          </w:tcPr>
          <w:p w14:paraId="79657B5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40</w:t>
            </w:r>
          </w:p>
        </w:tc>
        <w:tc>
          <w:tcPr>
            <w:tcW w:w="1271" w:type="dxa"/>
            <w:shd w:val="clear" w:color="auto" w:fill="FFFFFF"/>
          </w:tcPr>
          <w:p w14:paraId="453AC42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90</w:t>
            </w:r>
          </w:p>
        </w:tc>
      </w:tr>
      <w:tr w:rsidR="00F467B3" w:rsidRPr="00F467B3" w14:paraId="3A25C01F" w14:textId="77777777" w:rsidTr="00F467B3">
        <w:tc>
          <w:tcPr>
            <w:tcW w:w="978" w:type="dxa"/>
            <w:shd w:val="clear" w:color="auto" w:fill="FFFFFF"/>
          </w:tcPr>
          <w:p w14:paraId="306F3429"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14</w:t>
            </w:r>
          </w:p>
        </w:tc>
        <w:tc>
          <w:tcPr>
            <w:tcW w:w="1552" w:type="dxa"/>
            <w:shd w:val="clear" w:color="auto" w:fill="FFFFFF"/>
          </w:tcPr>
          <w:p w14:paraId="3530CD2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2C3B3D3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77A83DF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DMF</w:t>
            </w:r>
          </w:p>
        </w:tc>
        <w:tc>
          <w:tcPr>
            <w:tcW w:w="1333" w:type="dxa"/>
            <w:shd w:val="clear" w:color="auto" w:fill="FFFFFF"/>
          </w:tcPr>
          <w:p w14:paraId="0C5E4EE1"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100</w:t>
            </w:r>
          </w:p>
        </w:tc>
        <w:tc>
          <w:tcPr>
            <w:tcW w:w="1263" w:type="dxa"/>
            <w:shd w:val="clear" w:color="auto" w:fill="FFFFFF"/>
          </w:tcPr>
          <w:p w14:paraId="1904C3EA"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 h</w:t>
            </w:r>
          </w:p>
        </w:tc>
        <w:tc>
          <w:tcPr>
            <w:tcW w:w="1271" w:type="dxa"/>
            <w:shd w:val="clear" w:color="auto" w:fill="FFFFFF"/>
          </w:tcPr>
          <w:p w14:paraId="66DCA7FF"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38</w:t>
            </w:r>
          </w:p>
        </w:tc>
      </w:tr>
      <w:tr w:rsidR="00F467B3" w:rsidRPr="00F467B3" w14:paraId="2170FDB6" w14:textId="77777777" w:rsidTr="00F467B3">
        <w:tc>
          <w:tcPr>
            <w:tcW w:w="978" w:type="dxa"/>
            <w:shd w:val="clear" w:color="auto" w:fill="FFFFFF"/>
          </w:tcPr>
          <w:p w14:paraId="554840F9"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15</w:t>
            </w:r>
          </w:p>
        </w:tc>
        <w:tc>
          <w:tcPr>
            <w:tcW w:w="1552" w:type="dxa"/>
            <w:shd w:val="clear" w:color="auto" w:fill="FFFFFF"/>
          </w:tcPr>
          <w:p w14:paraId="4FF176E2"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7D6AA18D"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7EC49C2C"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Toluene</w:t>
            </w:r>
          </w:p>
        </w:tc>
        <w:tc>
          <w:tcPr>
            <w:tcW w:w="1333" w:type="dxa"/>
            <w:shd w:val="clear" w:color="auto" w:fill="FFFFFF"/>
          </w:tcPr>
          <w:p w14:paraId="57A85139"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100</w:t>
            </w:r>
          </w:p>
        </w:tc>
        <w:tc>
          <w:tcPr>
            <w:tcW w:w="1263" w:type="dxa"/>
            <w:shd w:val="clear" w:color="auto" w:fill="FFFFFF"/>
          </w:tcPr>
          <w:p w14:paraId="6F40E0A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26F85F69"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Trace</w:t>
            </w:r>
          </w:p>
        </w:tc>
      </w:tr>
      <w:tr w:rsidR="00F467B3" w:rsidRPr="00F467B3" w14:paraId="72C55C7F" w14:textId="77777777" w:rsidTr="00F467B3">
        <w:tc>
          <w:tcPr>
            <w:tcW w:w="978" w:type="dxa"/>
            <w:shd w:val="clear" w:color="auto" w:fill="FFFFFF"/>
          </w:tcPr>
          <w:p w14:paraId="06C1FC4C"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16</w:t>
            </w:r>
          </w:p>
        </w:tc>
        <w:tc>
          <w:tcPr>
            <w:tcW w:w="1552" w:type="dxa"/>
            <w:shd w:val="clear" w:color="auto" w:fill="FFFFFF"/>
          </w:tcPr>
          <w:p w14:paraId="5AF8A68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Ionic Liquids</w:t>
            </w:r>
          </w:p>
        </w:tc>
        <w:tc>
          <w:tcPr>
            <w:tcW w:w="1954" w:type="dxa"/>
            <w:shd w:val="clear" w:color="auto" w:fill="FFFFFF"/>
          </w:tcPr>
          <w:p w14:paraId="10198EB8"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shd w:val="clear" w:color="auto" w:fill="FFFFFF"/>
          </w:tcPr>
          <w:p w14:paraId="3F84DE1E"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EtOH</w:t>
            </w:r>
          </w:p>
        </w:tc>
        <w:tc>
          <w:tcPr>
            <w:tcW w:w="1333" w:type="dxa"/>
            <w:shd w:val="clear" w:color="auto" w:fill="FFFFFF"/>
          </w:tcPr>
          <w:p w14:paraId="674A045B"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r.t.</w:t>
            </w:r>
          </w:p>
        </w:tc>
        <w:tc>
          <w:tcPr>
            <w:tcW w:w="1263" w:type="dxa"/>
            <w:shd w:val="clear" w:color="auto" w:fill="FFFFFF"/>
          </w:tcPr>
          <w:p w14:paraId="1D9600A3"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6 h</w:t>
            </w:r>
          </w:p>
        </w:tc>
        <w:tc>
          <w:tcPr>
            <w:tcW w:w="1271" w:type="dxa"/>
            <w:shd w:val="clear" w:color="auto" w:fill="FFFFFF"/>
          </w:tcPr>
          <w:p w14:paraId="1EA31E12"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Trace</w:t>
            </w:r>
          </w:p>
        </w:tc>
      </w:tr>
      <w:tr w:rsidR="00F467B3" w:rsidRPr="00F467B3" w14:paraId="63A8CEA4" w14:textId="77777777" w:rsidTr="00F467B3">
        <w:tc>
          <w:tcPr>
            <w:tcW w:w="978" w:type="dxa"/>
            <w:tcBorders>
              <w:bottom w:val="single" w:sz="12" w:space="0" w:color="auto"/>
            </w:tcBorders>
            <w:shd w:val="clear" w:color="auto" w:fill="FFFFFF"/>
          </w:tcPr>
          <w:p w14:paraId="187A6AAD"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b/>
                <w:bCs/>
              </w:rPr>
              <w:t>17</w:t>
            </w:r>
          </w:p>
        </w:tc>
        <w:tc>
          <w:tcPr>
            <w:tcW w:w="1552" w:type="dxa"/>
            <w:tcBorders>
              <w:bottom w:val="single" w:sz="12" w:space="0" w:color="auto"/>
            </w:tcBorders>
            <w:shd w:val="clear" w:color="auto" w:fill="FFFFFF"/>
          </w:tcPr>
          <w:p w14:paraId="2B5B301D"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rPr>
              <w:t>Ionic Liquids</w:t>
            </w:r>
          </w:p>
        </w:tc>
        <w:tc>
          <w:tcPr>
            <w:tcW w:w="1954" w:type="dxa"/>
            <w:tcBorders>
              <w:bottom w:val="single" w:sz="12" w:space="0" w:color="auto"/>
            </w:tcBorders>
            <w:shd w:val="clear" w:color="auto" w:fill="FFFFFF"/>
          </w:tcPr>
          <w:p w14:paraId="6451840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30 mol%</w:t>
            </w:r>
          </w:p>
        </w:tc>
        <w:tc>
          <w:tcPr>
            <w:tcW w:w="1623" w:type="dxa"/>
            <w:tcBorders>
              <w:bottom w:val="single" w:sz="12" w:space="0" w:color="auto"/>
            </w:tcBorders>
            <w:shd w:val="clear" w:color="auto" w:fill="FFFFFF"/>
          </w:tcPr>
          <w:p w14:paraId="2642E2ED"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EtOH</w:t>
            </w:r>
          </w:p>
        </w:tc>
        <w:tc>
          <w:tcPr>
            <w:tcW w:w="1333" w:type="dxa"/>
            <w:tcBorders>
              <w:bottom w:val="single" w:sz="12" w:space="0" w:color="auto"/>
            </w:tcBorders>
            <w:shd w:val="clear" w:color="auto" w:fill="FFFFFF"/>
          </w:tcPr>
          <w:p w14:paraId="6F086487"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Reflux</w:t>
            </w:r>
          </w:p>
        </w:tc>
        <w:tc>
          <w:tcPr>
            <w:tcW w:w="1263" w:type="dxa"/>
            <w:tcBorders>
              <w:bottom w:val="single" w:sz="12" w:space="0" w:color="auto"/>
            </w:tcBorders>
            <w:shd w:val="clear" w:color="auto" w:fill="FFFFFF"/>
          </w:tcPr>
          <w:p w14:paraId="3005855B"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50</w:t>
            </w:r>
          </w:p>
        </w:tc>
        <w:tc>
          <w:tcPr>
            <w:tcW w:w="1271" w:type="dxa"/>
            <w:tcBorders>
              <w:bottom w:val="single" w:sz="12" w:space="0" w:color="auto"/>
            </w:tcBorders>
            <w:shd w:val="clear" w:color="auto" w:fill="FFFFFF"/>
          </w:tcPr>
          <w:p w14:paraId="5ED9C6B4" w14:textId="77777777"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t>95</w:t>
            </w:r>
          </w:p>
        </w:tc>
      </w:tr>
      <w:tr w:rsidR="00F467B3" w:rsidRPr="00F467B3" w14:paraId="323E7749" w14:textId="77777777" w:rsidTr="00F467B3">
        <w:tc>
          <w:tcPr>
            <w:tcW w:w="9974" w:type="dxa"/>
            <w:gridSpan w:val="7"/>
            <w:shd w:val="clear" w:color="auto" w:fill="FFFFFF"/>
          </w:tcPr>
          <w:p w14:paraId="5E0C4EF4" w14:textId="77777777" w:rsidR="00F467B3" w:rsidRPr="00F467B3" w:rsidRDefault="00F467B3" w:rsidP="00F467B3">
            <w:pPr>
              <w:spacing w:line="276" w:lineRule="auto"/>
              <w:jc w:val="both"/>
              <w:rPr>
                <w:rFonts w:asciiTheme="majorBidi" w:hAnsiTheme="majorBidi" w:cstheme="majorBidi"/>
                <w:b/>
                <w:bCs/>
              </w:rPr>
            </w:pPr>
            <w:r w:rsidRPr="00F467B3">
              <w:rPr>
                <w:rFonts w:asciiTheme="majorBidi" w:hAnsiTheme="majorBidi" w:cstheme="majorBidi"/>
                <w:vertAlign w:val="superscript"/>
              </w:rPr>
              <w:t>a</w:t>
            </w:r>
            <w:r w:rsidRPr="00F467B3">
              <w:rPr>
                <w:rFonts w:asciiTheme="majorBidi" w:hAnsiTheme="majorBidi" w:cstheme="majorBidi"/>
              </w:rPr>
              <w:t xml:space="preserve"> Based on reaction of 2-hydroxynaphthalene-1,4-dione (1 mmol), benzene-1,2-diamine (1 mmol) benzaldehyde (1 mmol), and malononitrile (1 mmol).</w:t>
            </w:r>
            <w:r w:rsidRPr="00F467B3">
              <w:rPr>
                <w:rFonts w:asciiTheme="majorBidi" w:hAnsiTheme="majorBidi" w:cstheme="majorBidi"/>
                <w:vertAlign w:val="superscript"/>
              </w:rPr>
              <w:t xml:space="preserve"> b</w:t>
            </w:r>
            <w:r w:rsidRPr="00F467B3">
              <w:rPr>
                <w:rFonts w:asciiTheme="majorBidi" w:hAnsiTheme="majorBidi" w:cstheme="majorBidi"/>
              </w:rPr>
              <w:t xml:space="preserve"> Isolated yields after purification.</w:t>
            </w:r>
          </w:p>
          <w:p w14:paraId="193DDDA1" w14:textId="77777777" w:rsidR="00F467B3" w:rsidRPr="00F467B3" w:rsidRDefault="00F467B3" w:rsidP="00F467B3">
            <w:pPr>
              <w:spacing w:line="276" w:lineRule="auto"/>
              <w:jc w:val="both"/>
              <w:rPr>
                <w:rFonts w:asciiTheme="majorBidi" w:hAnsiTheme="majorBidi" w:cstheme="majorBidi"/>
                <w:b/>
                <w:bCs/>
              </w:rPr>
            </w:pPr>
          </w:p>
          <w:p w14:paraId="522F63EA" w14:textId="5DBD5FF4" w:rsidR="00F467B3" w:rsidRPr="00F467B3" w:rsidRDefault="00F467B3" w:rsidP="00F467B3">
            <w:pPr>
              <w:spacing w:line="276" w:lineRule="auto"/>
              <w:jc w:val="center"/>
              <w:rPr>
                <w:rFonts w:asciiTheme="majorBidi" w:hAnsiTheme="majorBidi" w:cstheme="majorBidi"/>
                <w:b/>
                <w:bCs/>
              </w:rPr>
            </w:pPr>
          </w:p>
          <w:p w14:paraId="036BF96B" w14:textId="6DA7E9B3" w:rsidR="00F467B3" w:rsidRPr="00F467B3" w:rsidRDefault="00F467B3" w:rsidP="00F467B3">
            <w:pPr>
              <w:spacing w:line="276" w:lineRule="auto"/>
              <w:jc w:val="both"/>
              <w:rPr>
                <w:rFonts w:asciiTheme="majorBidi" w:hAnsiTheme="majorBidi" w:cstheme="majorBidi"/>
              </w:rPr>
            </w:pPr>
            <w:r w:rsidRPr="00F467B3">
              <w:rPr>
                <w:rFonts w:asciiTheme="majorBidi" w:hAnsiTheme="majorBidi" w:cstheme="majorBidi"/>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3469"/>
              <w:gridCol w:w="3155"/>
            </w:tblGrid>
            <w:tr w:rsidR="001B74EF" w:rsidRPr="001B74EF" w14:paraId="638A11F9" w14:textId="77777777" w:rsidTr="00F40B96">
              <w:tc>
                <w:tcPr>
                  <w:tcW w:w="10165" w:type="dxa"/>
                  <w:gridSpan w:val="3"/>
                  <w:tcBorders>
                    <w:top w:val="nil"/>
                    <w:left w:val="nil"/>
                    <w:bottom w:val="single" w:sz="12" w:space="0" w:color="auto"/>
                    <w:right w:val="nil"/>
                  </w:tcBorders>
                  <w:shd w:val="clear" w:color="auto" w:fill="FFFFFF"/>
                </w:tcPr>
                <w:p w14:paraId="604C2090" w14:textId="77777777" w:rsidR="00F467B3" w:rsidRPr="001B74EF" w:rsidRDefault="00F467B3" w:rsidP="00F467B3">
                  <w:pPr>
                    <w:jc w:val="both"/>
                    <w:rPr>
                      <w:rFonts w:asciiTheme="majorBidi" w:eastAsia="Times New Roman" w:hAnsiTheme="majorBidi" w:cstheme="majorBidi"/>
                      <w:b/>
                      <w:bCs/>
                      <w:color w:val="000000" w:themeColor="text1"/>
                    </w:rPr>
                  </w:pPr>
                  <w:r w:rsidRPr="001B74EF">
                    <w:rPr>
                      <w:rFonts w:asciiTheme="majorBidi" w:eastAsia="Times New Roman" w:hAnsiTheme="majorBidi" w:cstheme="majorBidi"/>
                      <w:b/>
                      <w:bCs/>
                      <w:color w:val="000000" w:themeColor="text1"/>
                    </w:rPr>
                    <w:t xml:space="preserve">Table 2. </w:t>
                  </w:r>
                  <w:r w:rsidRPr="001B74EF">
                    <w:rPr>
                      <w:rFonts w:asciiTheme="majorBidi" w:eastAsia="Times New Roman" w:hAnsiTheme="majorBidi" w:cstheme="majorBidi"/>
                      <w:color w:val="000000" w:themeColor="text1"/>
                    </w:rPr>
                    <w:t>Synthesis of benzo[</w:t>
                  </w:r>
                  <w:r w:rsidRPr="001B74EF">
                    <w:rPr>
                      <w:rFonts w:asciiTheme="majorBidi" w:eastAsia="Times New Roman" w:hAnsiTheme="majorBidi" w:cstheme="majorBidi"/>
                      <w:i/>
                      <w:iCs/>
                      <w:color w:val="000000" w:themeColor="text1"/>
                    </w:rPr>
                    <w:t>a</w:t>
                  </w:r>
                  <w:r w:rsidRPr="001B74EF">
                    <w:rPr>
                      <w:rFonts w:asciiTheme="majorBidi" w:eastAsia="Times New Roman" w:hAnsiTheme="majorBidi" w:cstheme="majorBidi"/>
                      <w:color w:val="000000" w:themeColor="text1"/>
                    </w:rPr>
                    <w:t>]pyrano[</w:t>
                  </w:r>
                  <w:r w:rsidRPr="001B74EF">
                    <w:rPr>
                      <w:rFonts w:asciiTheme="majorBidi" w:eastAsia="Times New Roman" w:hAnsiTheme="majorBidi" w:cstheme="majorBidi"/>
                      <w:i/>
                      <w:iCs/>
                      <w:color w:val="000000" w:themeColor="text1"/>
                    </w:rPr>
                    <w:t>2,3-c</w:t>
                  </w:r>
                  <w:r w:rsidRPr="001B74EF">
                    <w:rPr>
                      <w:rFonts w:asciiTheme="majorBidi" w:eastAsia="Times New Roman" w:hAnsiTheme="majorBidi" w:cstheme="majorBidi"/>
                      <w:color w:val="000000" w:themeColor="text1"/>
                    </w:rPr>
                    <w:t>]phenazine</w:t>
                  </w:r>
                  <w:r w:rsidRPr="001B74EF">
                    <w:rPr>
                      <w:rFonts w:asciiTheme="majorBidi" w:eastAsia="Times New Roman" w:hAnsiTheme="majorBidi" w:cstheme="majorBidi"/>
                      <w:color w:val="000000" w:themeColor="text1"/>
                      <w:vertAlign w:val="superscript"/>
                    </w:rPr>
                    <w:t>a</w:t>
                  </w:r>
                  <w:r w:rsidRPr="001B74EF">
                    <w:rPr>
                      <w:rFonts w:asciiTheme="majorBidi" w:eastAsia="Times New Roman" w:hAnsiTheme="majorBidi" w:cstheme="majorBidi"/>
                      <w:color w:val="000000" w:themeColor="text1"/>
                    </w:rPr>
                    <w:t xml:space="preserve"> in the precence of  </w:t>
                  </w:r>
                  <w:r w:rsidRPr="001B74EF">
                    <w:rPr>
                      <w:rFonts w:asciiTheme="majorBidi" w:hAnsiTheme="majorBidi" w:cstheme="majorBidi"/>
                      <w:color w:val="000000" w:themeColor="text1"/>
                    </w:rPr>
                    <w:t>[(EtO)</w:t>
                  </w:r>
                  <w:r w:rsidRPr="001B74EF">
                    <w:rPr>
                      <w:rFonts w:asciiTheme="majorBidi" w:hAnsiTheme="majorBidi" w:cstheme="majorBidi"/>
                      <w:color w:val="000000" w:themeColor="text1"/>
                      <w:vertAlign w:val="subscript"/>
                    </w:rPr>
                    <w:t>3</w:t>
                  </w:r>
                  <w:r w:rsidRPr="001B74EF">
                    <w:rPr>
                      <w:rFonts w:asciiTheme="majorBidi" w:hAnsiTheme="majorBidi" w:cstheme="majorBidi"/>
                      <w:color w:val="000000" w:themeColor="text1"/>
                    </w:rPr>
                    <w:t>Si(CH</w:t>
                  </w:r>
                  <w:r w:rsidRPr="001B74EF">
                    <w:rPr>
                      <w:rFonts w:asciiTheme="majorBidi" w:hAnsiTheme="majorBidi" w:cstheme="majorBidi"/>
                      <w:color w:val="000000" w:themeColor="text1"/>
                      <w:vertAlign w:val="subscript"/>
                    </w:rPr>
                    <w:t>2</w:t>
                  </w:r>
                  <w:r w:rsidRPr="001B74EF">
                    <w:rPr>
                      <w:rFonts w:asciiTheme="majorBidi" w:hAnsiTheme="majorBidi" w:cstheme="majorBidi"/>
                      <w:color w:val="000000" w:themeColor="text1"/>
                    </w:rPr>
                    <w:t>)</w:t>
                  </w:r>
                  <w:r w:rsidRPr="001B74EF">
                    <w:rPr>
                      <w:rFonts w:asciiTheme="majorBidi" w:hAnsiTheme="majorBidi" w:cstheme="majorBidi"/>
                      <w:color w:val="000000" w:themeColor="text1"/>
                      <w:vertAlign w:val="subscript"/>
                    </w:rPr>
                    <w:t>3</w:t>
                  </w:r>
                  <w:r w:rsidRPr="001B74EF">
                    <w:rPr>
                      <w:rFonts w:asciiTheme="majorBidi" w:hAnsiTheme="majorBidi" w:cstheme="majorBidi"/>
                      <w:color w:val="000000" w:themeColor="text1"/>
                    </w:rPr>
                    <w:t>N</w:t>
                  </w:r>
                  <w:r w:rsidRPr="001B74EF">
                    <w:rPr>
                      <w:rFonts w:asciiTheme="majorBidi" w:hAnsiTheme="majorBidi" w:cstheme="majorBidi"/>
                      <w:color w:val="000000" w:themeColor="text1"/>
                      <w:vertAlign w:val="superscript"/>
                    </w:rPr>
                    <w:t>+</w:t>
                  </w:r>
                  <w:r w:rsidRPr="001B74EF">
                    <w:rPr>
                      <w:rFonts w:asciiTheme="majorBidi" w:hAnsiTheme="majorBidi" w:cstheme="majorBidi"/>
                      <w:color w:val="000000" w:themeColor="text1"/>
                    </w:rPr>
                    <w:t>H</w:t>
                  </w:r>
                  <w:r w:rsidRPr="001B74EF">
                    <w:rPr>
                      <w:rFonts w:asciiTheme="majorBidi" w:hAnsiTheme="majorBidi" w:cstheme="majorBidi"/>
                      <w:color w:val="000000" w:themeColor="text1"/>
                      <w:vertAlign w:val="subscript"/>
                    </w:rPr>
                    <w:t>3</w:t>
                  </w:r>
                  <w:r w:rsidRPr="001B74EF">
                    <w:rPr>
                      <w:rFonts w:asciiTheme="majorBidi" w:hAnsiTheme="majorBidi" w:cstheme="majorBidi"/>
                      <w:color w:val="000000" w:themeColor="text1"/>
                    </w:rPr>
                    <w:t>][CH</w:t>
                  </w:r>
                  <w:r w:rsidRPr="001B74EF">
                    <w:rPr>
                      <w:rFonts w:asciiTheme="majorBidi" w:hAnsiTheme="majorBidi" w:cstheme="majorBidi"/>
                      <w:color w:val="000000" w:themeColor="text1"/>
                      <w:vertAlign w:val="subscript"/>
                    </w:rPr>
                    <w:t>3</w:t>
                  </w:r>
                  <w:r w:rsidRPr="001B74EF">
                    <w:rPr>
                      <w:rFonts w:asciiTheme="majorBidi" w:hAnsiTheme="majorBidi" w:cstheme="majorBidi"/>
                      <w:color w:val="000000" w:themeColor="text1"/>
                    </w:rPr>
                    <w:t>COO</w:t>
                  </w:r>
                  <w:r w:rsidRPr="001B74EF">
                    <w:rPr>
                      <w:rFonts w:asciiTheme="majorBidi" w:hAnsiTheme="majorBidi" w:cstheme="majorBidi"/>
                      <w:color w:val="000000" w:themeColor="text1"/>
                      <w:vertAlign w:val="superscript"/>
                    </w:rPr>
                    <w:t>-</w:t>
                  </w:r>
                  <w:r w:rsidRPr="001B74EF">
                    <w:rPr>
                      <w:rFonts w:asciiTheme="majorBidi" w:hAnsiTheme="majorBidi" w:cstheme="majorBidi"/>
                      <w:color w:val="000000" w:themeColor="text1"/>
                    </w:rPr>
                    <w:t>]</w:t>
                  </w:r>
                  <w:r w:rsidRPr="001B74EF">
                    <w:rPr>
                      <w:rFonts w:asciiTheme="majorBidi" w:eastAsia="Times New Roman" w:hAnsiTheme="majorBidi" w:cstheme="majorBidi"/>
                      <w:color w:val="000000" w:themeColor="text1"/>
                    </w:rPr>
                    <w:t xml:space="preserve"> as catalyst</w:t>
                  </w:r>
                </w:p>
              </w:tc>
            </w:tr>
            <w:tr w:rsidR="001B74EF" w:rsidRPr="001B74EF" w14:paraId="33CC8CEB" w14:textId="77777777" w:rsidTr="00F40B96">
              <w:tc>
                <w:tcPr>
                  <w:tcW w:w="10165" w:type="dxa"/>
                  <w:gridSpan w:val="3"/>
                  <w:tcBorders>
                    <w:top w:val="single" w:sz="12" w:space="0" w:color="auto"/>
                    <w:left w:val="nil"/>
                    <w:bottom w:val="single" w:sz="12" w:space="0" w:color="auto"/>
                    <w:right w:val="nil"/>
                  </w:tcBorders>
                  <w:shd w:val="clear" w:color="auto" w:fill="FFFFFF"/>
                </w:tcPr>
                <w:p w14:paraId="42E0593F" w14:textId="77777777" w:rsidR="00F467B3" w:rsidRPr="001B74EF" w:rsidRDefault="00F961F4" w:rsidP="00F467B3">
                  <w:pPr>
                    <w:jc w:val="center"/>
                    <w:rPr>
                      <w:rFonts w:asciiTheme="majorBidi" w:eastAsia="Times New Roman" w:hAnsiTheme="majorBidi" w:cstheme="majorBidi"/>
                      <w:b/>
                      <w:bCs/>
                      <w:color w:val="000000" w:themeColor="text1"/>
                    </w:rPr>
                  </w:pPr>
                  <w:r w:rsidRPr="001B74EF">
                    <w:rPr>
                      <w:color w:val="000000" w:themeColor="text1"/>
                    </w:rPr>
                    <w:object w:dxaOrig="10605" w:dyaOrig="2368" w14:anchorId="57B9A841">
                      <v:shape id="_x0000_i1029" type="#_x0000_t75" style="width:483.95pt;height:107.7pt" o:ole="">
                        <v:imagedata r:id="rId8" o:title=""/>
                      </v:shape>
                      <o:OLEObject Type="Embed" ProgID="ChemDraw.Document.6.0" ShapeID="_x0000_i1029" DrawAspect="Content" ObjectID="_1746401700" r:id="rId9"/>
                    </w:object>
                  </w:r>
                </w:p>
              </w:tc>
            </w:tr>
            <w:tr w:rsidR="001B74EF" w:rsidRPr="001B74EF" w14:paraId="669744A5" w14:textId="77777777" w:rsidTr="00F40B96">
              <w:tc>
                <w:tcPr>
                  <w:tcW w:w="3255" w:type="dxa"/>
                  <w:tcBorders>
                    <w:top w:val="single" w:sz="12" w:space="0" w:color="auto"/>
                    <w:left w:val="nil"/>
                    <w:bottom w:val="nil"/>
                    <w:right w:val="nil"/>
                  </w:tcBorders>
                  <w:shd w:val="clear" w:color="auto" w:fill="FFFFFF"/>
                </w:tcPr>
                <w:p w14:paraId="4946F4B4" w14:textId="77777777" w:rsidR="00F467B3" w:rsidRPr="001B74EF" w:rsidRDefault="00F467B3" w:rsidP="00707F5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b/>
                      <w:bCs/>
                      <w:noProof/>
                      <w:color w:val="000000" w:themeColor="text1"/>
                      <w:lang w:bidi="ar-SA"/>
                    </w:rPr>
                    <w:drawing>
                      <wp:inline distT="0" distB="0" distL="0" distR="0" wp14:anchorId="0878B4A9" wp14:editId="19B77237">
                        <wp:extent cx="1033780" cy="93027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780" cy="93027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5A</w:t>
                  </w:r>
                </w:p>
                <w:p w14:paraId="4226755B"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45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93 %</w:t>
                  </w:r>
                </w:p>
                <w:p w14:paraId="58710756"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033361EF"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301-302</w:t>
                  </w:r>
                  <w:r w:rsidR="00731546">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{"citationItems":[{"id":"ITEM-1","itemData":{"DOI":"10.1016/j.crci.2012.09.012","ISSN":"16310748","abstract":"An efficient one-pot quantitative procedure for the preparation of functionalized benzo[a]pyrano[2,3-c]phenazine derivatives from four-component reaction of 2-hydroxynaphthalene-1,4-dione, o-phenylenediamine, aldehydes, and malononitrile in the presence of nano CuO as the catalyst has been developed. The copper(II) oxide nanoparticles can be recovered and reused several times without loss of its activity. © 2012 Académie des sciences. Published by Elsevier Masson SAS. All rights reserved.","author":[{"dropping-particle":"","family":"Shaterian","given":"Hamid Reza","non-dropping-particle":"","parse-names":false,"suffix":""},{"dropping-particle":"","family":"Moradi","given":"Farzaneh","non-dropping-particle":"","parse-names":false,"suffix":""},{"dropping-particle":"","family":"Mohammadnia","given":"Majid","non-dropping-particle":"","parse-names":false,"suffix":""}],"container-title":"Comptes Rendus Chimie","id":"ITEM-1","issue":"11-12","issued":{"date-parts":[["2012"]]},"page":"1055-1059","publisher":"Academie des sciences","title":"Nano copper(II) oxide catalyzed four-component synthesis of functionalized benzo[a]pyrano[2,3-c]phenazine derivatives","type":"article-journal","volume":"15"},"uris":["http://www.mendeley.com/documents/?uuid=df385dac-2c3a-44d8-820a-0a5f750a5748"]}],"mendeley":{"formattedCitation":"[24]","plainTextFormattedCitation":"[24]","previouslyFormattedCitation":"[24]"},"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[24]</w:t>
                  </w:r>
                  <w:r w:rsidR="001945CC">
                    <w:rPr>
                      <w:rFonts w:asciiTheme="majorBidi" w:eastAsia="Times New Roman" w:hAnsiTheme="majorBidi" w:cstheme="majorBidi"/>
                      <w:color w:val="000000" w:themeColor="text1"/>
                      <w:sz w:val="18"/>
                      <w:szCs w:val="18"/>
                    </w:rPr>
                    <w:fldChar w:fldCharType="end"/>
                  </w:r>
                </w:p>
              </w:tc>
              <w:tc>
                <w:tcPr>
                  <w:tcW w:w="3487" w:type="dxa"/>
                  <w:tcBorders>
                    <w:top w:val="single" w:sz="12" w:space="0" w:color="auto"/>
                    <w:left w:val="nil"/>
                    <w:bottom w:val="nil"/>
                    <w:right w:val="nil"/>
                  </w:tcBorders>
                  <w:shd w:val="clear" w:color="auto" w:fill="FFFFFF"/>
                </w:tcPr>
                <w:p w14:paraId="6540D2AE"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2DA57203" wp14:editId="3F13A240">
                        <wp:extent cx="1049655" cy="9302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9655" cy="93027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5B</w:t>
                  </w:r>
                </w:p>
                <w:p w14:paraId="02DF5AA6"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35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98 %</w:t>
                  </w:r>
                </w:p>
                <w:p w14:paraId="4DA538F8"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278-280</w:t>
                  </w:r>
                </w:p>
                <w:p w14:paraId="56875172"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279-283</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{"citationItems":[{"id":"ITEM-1","itemData":{"DOI":"10.1039/C8RA10180A","ISSN":"20462069","abstract":"A novel acid catalyst was prepared based on growing hyperbranched polyglycerol (HPG) on the surface of graphene oxide. Then, the hydroxyl groups of HPG on graphene oxide were functionalized by sulfonate groups to form an acid catalyst. The catalyst displayed a good loading level of acidic groups on the surface because of coating graphene oxide with HPG. This new catalyst is demonstrated to be highly effective in the preparation of benzo[a]pyrano[2,3-c]phenazine dyes.","author":[{"dropping-particle":"","family":"Naeimi","given":"Hossein","non-dropping-particle":"","parse-names":false,"suffix":""},{"dropping-particle":"","family":"Zarabi","given":"Maryam Farahnak","non-dropping-particle":"","parse-names":false,"suffix":""}],"container-title":"RSC Advances","id":"ITEM-1","issue":"13","issued":{"date-parts":[["2019"]]},"page":"7400-7410","publisher":"Royal Society of Chemistry","title":"Multisulfonate hyperbranched polyglycerol functionalized graphene oxide as an efficient reusable catalyst for green synthesis of benzo[a]pyrano-[2,3-c]phenazines under solvent-free conditions","type":"article-journal","volume":"9"},"uris":["http://www.mendeley.com/documents/?uuid=bf2d4e2b-a54e-4a0d-b7cd-2c4820498860"]}],"mendeley":{"formattedCitation":"[25]","plainTextFormattedCitation":"[25]","previouslyFormattedCitation":"[25]"},"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[25]</w:t>
                  </w:r>
                  <w:r w:rsidR="001945CC">
                    <w:rPr>
                      <w:rFonts w:asciiTheme="majorBidi" w:eastAsia="Times New Roman" w:hAnsiTheme="majorBidi" w:cstheme="majorBidi"/>
                      <w:color w:val="000000" w:themeColor="text1"/>
                      <w:sz w:val="18"/>
                      <w:szCs w:val="18"/>
                    </w:rPr>
                    <w:fldChar w:fldCharType="end"/>
                  </w:r>
                </w:p>
              </w:tc>
              <w:tc>
                <w:tcPr>
                  <w:tcW w:w="3423" w:type="dxa"/>
                  <w:tcBorders>
                    <w:top w:val="single" w:sz="12" w:space="0" w:color="auto"/>
                    <w:left w:val="nil"/>
                    <w:bottom w:val="nil"/>
                    <w:right w:val="nil"/>
                  </w:tcBorders>
                  <w:shd w:val="clear" w:color="auto" w:fill="FFFFFF"/>
                </w:tcPr>
                <w:p w14:paraId="204C5A9B"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6F443DD3" wp14:editId="2804B9EB">
                        <wp:extent cx="977900" cy="9302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900" cy="93027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5C</w:t>
                  </w:r>
                </w:p>
                <w:p w14:paraId="2C3CBE22"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40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93 %</w:t>
                  </w:r>
                </w:p>
                <w:p w14:paraId="3156DF51"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279-280</w:t>
                  </w:r>
                </w:p>
                <w:p w14:paraId="6CC1EC68"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280</w:t>
                  </w:r>
                  <w:r w:rsidR="00731546">
                    <w:rPr>
                      <w:rFonts w:asciiTheme="majorBidi" w:eastAsia="Times New Roman" w:hAnsiTheme="majorBidi" w:cstheme="majorBidi"/>
                      <w:color w:val="000000" w:themeColor="text1"/>
                      <w:sz w:val="18"/>
                      <w:szCs w:val="18"/>
                    </w:rPr>
                    <w:t xml:space="preserve"> </w:t>
                  </w:r>
                  <w:r w:rsidR="00731546">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{"citationItems":[{"id":"ITEM-1","itemData":{"DOI":"10.1016/j.molliq.2012.11.006","ISSN":"0167-7322","author":[{"dropping-particle":"","family":"Shaterian","given":"Hamid Reza","non-dropping-particle":"","parse-names":false,"suffix":""},{"dropping-particle":"","family":"Mohammadnia","given":"Majid","non-dropping-particle":"","parse-names":false,"suffix":""}],"container-title":"Journal of Molecular Liquids","id":"ITEM-1","issued":{"date-parts":[["2013"]]},"page":"162-166","publisher":"Elsevier B.V.","title":"Mild basic ionic liquid catalyzed four component synthesis of functionalized benzo [ a ] pyrano [ 2 , 3-c ] phenazine derivatives","type":"article-journal","volume":"177"},"uris":["http://www.mendeley.com/documents/?uuid=80794012-d617-4955-9fe7-d694dc82f0bd"]}],"mendeley":{"formattedCitation":"[26]","plainTextFormattedCitation":"[26]","previouslyFormattedCitation":"[26]"},"properties":{"noteIndex":0},"schema":"https://github.com/citation-style-language/schema/raw/master/csl-citation.json"}</w:instrText>
                  </w:r>
                  <w:r w:rsidR="00731546">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[26]</w:t>
                  </w:r>
                  <w:r w:rsidR="00731546">
                    <w:rPr>
                      <w:rFonts w:asciiTheme="majorBidi" w:eastAsia="Times New Roman" w:hAnsiTheme="majorBidi" w:cstheme="majorBidi"/>
                      <w:color w:val="000000" w:themeColor="text1"/>
                      <w:sz w:val="18"/>
                      <w:szCs w:val="18"/>
                    </w:rPr>
                    <w:fldChar w:fldCharType="end"/>
                  </w:r>
                </w:p>
              </w:tc>
            </w:tr>
            <w:tr w:rsidR="001B74EF" w:rsidRPr="001B74EF" w14:paraId="1B572FE7" w14:textId="77777777" w:rsidTr="00F40B96">
              <w:tc>
                <w:tcPr>
                  <w:tcW w:w="3255" w:type="dxa"/>
                  <w:tcBorders>
                    <w:top w:val="nil"/>
                    <w:left w:val="nil"/>
                    <w:bottom w:val="nil"/>
                    <w:right w:val="nil"/>
                  </w:tcBorders>
                  <w:shd w:val="clear" w:color="auto" w:fill="FFFFFF"/>
                </w:tcPr>
                <w:p w14:paraId="54315950"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p>
                <w:p w14:paraId="043C3712"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noProof/>
                      <w:color w:val="000000" w:themeColor="text1"/>
                      <w:sz w:val="18"/>
                      <w:szCs w:val="18"/>
                      <w:lang w:bidi="ar-SA"/>
                    </w:rPr>
                    <w:drawing>
                      <wp:inline distT="0" distB="0" distL="0" distR="0" wp14:anchorId="585D465C" wp14:editId="0D611709">
                        <wp:extent cx="898525" cy="962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8525" cy="96202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5D</w:t>
                  </w:r>
                </w:p>
                <w:p w14:paraId="15195B53"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40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91 %</w:t>
                  </w:r>
                </w:p>
                <w:p w14:paraId="08D131F5"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279-281</w:t>
                  </w:r>
                </w:p>
                <w:p w14:paraId="5C763D53" w14:textId="77777777" w:rsidR="00F467B3" w:rsidRPr="001B74EF" w:rsidRDefault="00F467B3" w:rsidP="003460C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(Litreature): 282-283</w:t>
                  </w:r>
                  <w:r w:rsidR="00731546">
                    <w:rPr>
                      <w:rFonts w:asciiTheme="majorBidi" w:eastAsia="Times New Roman" w:hAnsiTheme="majorBidi" w:cstheme="majorBidi"/>
                      <w:color w:val="000000" w:themeColor="text1"/>
                      <w:sz w:val="18"/>
                      <w:szCs w:val="18"/>
                    </w:rPr>
                    <w:t xml:space="preserve"> </w:t>
                  </w:r>
                  <w:r w:rsidR="00731546">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{"citationItems":[{"id":"ITEM-1","itemData":{"DOI":"10.1016/j.molliq.2012.11.006","ISSN":"0167-7322","author":[{"dropping-particle":"","family":"Shaterian","given":"Hamid Reza","non-dropping-particle":"","parse-names":false,"suffix":""},{"dropping-particle":"","family":"Mohammadnia","given":"Majid","non-dropping-particle":"","parse-names":false,"suffix":""}],"container-title":"Journal of Molecular Liquids","id":"ITEM-1","issued":{"date-parts":[["2013"]]},"page":"162-166","publisher":"Elsevier B.V.","title":"Mild basic ionic liquid catalyzed four component synthesis of functionalized benzo [ a ] pyrano [ 2 , 3-c ] phenazine derivatives","type":"article-journal","volume":"177"},"uris":["http://www.mendeley.com/documents/?uuid=80794012-d617-4955-9fe7-d694dc82f0bd"]}],"mendeley":{"formattedCitation":"[26]","plainTextFormattedCitation":"[26]","previouslyFormattedCitation":"[26]"},"properties":{"noteIndex":0},"schema":"https://github.com/citation-style-language/schema/raw/master/csl-citation.json"}</w:instrText>
                  </w:r>
                  <w:r w:rsidR="00731546">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[26]</w:t>
                  </w:r>
                  <w:r w:rsidR="00731546">
                    <w:rPr>
                      <w:rFonts w:asciiTheme="majorBidi" w:eastAsia="Times New Roman" w:hAnsiTheme="majorBidi" w:cstheme="majorBidi"/>
                      <w:color w:val="000000" w:themeColor="text1"/>
                      <w:sz w:val="18"/>
                      <w:szCs w:val="18"/>
                    </w:rPr>
                    <w:fldChar w:fldCharType="end"/>
                  </w:r>
                </w:p>
              </w:tc>
              <w:tc>
                <w:tcPr>
                  <w:tcW w:w="3487" w:type="dxa"/>
                  <w:tcBorders>
                    <w:top w:val="nil"/>
                    <w:left w:val="nil"/>
                    <w:bottom w:val="nil"/>
                    <w:right w:val="nil"/>
                  </w:tcBorders>
                  <w:shd w:val="clear" w:color="auto" w:fill="FFFFFF"/>
                </w:tcPr>
                <w:p w14:paraId="3F1B7145"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1AD52EEC"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rPr>
                    <w:object w:dxaOrig="2141" w:dyaOrig="2037" w14:anchorId="60BD5F0D">
                      <v:shape id="_x0000_i1030" type="#_x0000_t75" style="width:78.9pt;height:74.5pt" o:ole="">
                        <v:imagedata r:id="rId14" o:title=""/>
                      </v:shape>
                      <o:OLEObject Type="Embed" ProgID="ChemDraw.Document.6.0" ShapeID="_x0000_i1030" DrawAspect="Content" ObjectID="_1746401701" r:id="rId15"/>
                    </w:object>
                  </w:r>
                  <w:r w:rsidRPr="001B74EF">
                    <w:rPr>
                      <w:rFonts w:asciiTheme="majorBidi" w:eastAsia="Times New Roman" w:hAnsiTheme="majorBidi" w:cstheme="majorBidi"/>
                      <w:color w:val="000000" w:themeColor="text1"/>
                    </w:rPr>
                    <w:t>5E</w:t>
                  </w:r>
                </w:p>
                <w:p w14:paraId="7F75D8D1"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55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89 %</w:t>
                  </w:r>
                </w:p>
                <w:p w14:paraId="670BB5E5"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267-269</w:t>
                  </w:r>
                </w:p>
                <w:p w14:paraId="474E08A7" w14:textId="77777777" w:rsidR="00F467B3" w:rsidRPr="001B74EF" w:rsidRDefault="00F467B3" w:rsidP="00707F5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New</w:t>
                  </w:r>
                </w:p>
              </w:tc>
              <w:tc>
                <w:tcPr>
                  <w:tcW w:w="3423" w:type="dxa"/>
                  <w:tcBorders>
                    <w:top w:val="nil"/>
                    <w:left w:val="nil"/>
                    <w:bottom w:val="nil"/>
                    <w:right w:val="nil"/>
                  </w:tcBorders>
                  <w:shd w:val="clear" w:color="auto" w:fill="FFFFFF"/>
                </w:tcPr>
                <w:p w14:paraId="17AECF2E"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284EC964"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5BF46B0F" wp14:editId="4ABC0985">
                        <wp:extent cx="898525" cy="9702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8525" cy="970280"/>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5F</w:t>
                  </w:r>
                </w:p>
                <w:p w14:paraId="7190C536"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25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97 %</w:t>
                  </w:r>
                </w:p>
                <w:p w14:paraId="59EA982F"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17DD2EC0" w14:textId="77777777" w:rsidR="00F467B3" w:rsidRPr="001B74EF" w:rsidRDefault="00F467B3" w:rsidP="003460C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M.P (°C) (Litreature): 290-291</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{"citationItems":[{"id":"ITEM-1","itemData":{"DOI":"10.1016/j.crci.2012.09.012","ISSN":"16310748","abstract":"An efficient one-pot quantitative procedure for the preparation of functionalized benzo[a]pyrano[2,3-c]phenazine derivatives from four-component reaction of 2-hydroxynaphthalene-1,4-dione, o-phenylenediamine, aldehydes, and malononitrile in the presence of nano CuO as the catalyst has been developed. The copper(II) oxide nanoparticles can be recovered and reused several times without loss of its activity. © 2012 Académie des sciences. Published by Elsevier Masson SAS. All rights reserved.","author":[{"dropping-particle":"","family":"Shaterian","given":"Hamid Reza","non-dropping-particle":"","parse-names":false,"suffix":""},{"dropping-particle":"","family":"Moradi","given":"Farzaneh","non-dropping-particle":"","parse-names":false,"suffix":""},{"dropping-particle":"","family":"Mohammadnia","given":"Majid","non-dropping-particle":"","parse-names":false,"suffix":""}],"container-title":"Comptes Rendus Chimie","id":"ITEM-1","issue":"11-12","issued":{"date-parts":[["2012"]]},"page":"1055-1059","publisher":"Academie des sciences","title":"Nano copper(II) oxide catalyzed four-component synthesis of functionalized benzo[a]pyrano[2,3-c]phenazine derivatives","type":"article-journal","volume":"15"},"uris":["http://www.mendeley.com/documents/?uuid=df385dac-2c3a-44d8-820a-0a5f750a5748"]}],"mendeley":{"formattedCitation":"[24]","plainTextFormattedCitation":"[24]","previouslyFormattedCitation":"[24]"},"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[24]</w:t>
                  </w:r>
                  <w:r w:rsidR="001945CC">
                    <w:rPr>
                      <w:rFonts w:asciiTheme="majorBidi" w:eastAsia="Times New Roman" w:hAnsiTheme="majorBidi" w:cstheme="majorBidi"/>
                      <w:color w:val="000000" w:themeColor="text1"/>
                      <w:sz w:val="18"/>
                      <w:szCs w:val="18"/>
                    </w:rPr>
                    <w:fldChar w:fldCharType="end"/>
                  </w:r>
                </w:p>
              </w:tc>
            </w:tr>
            <w:tr w:rsidR="001B74EF" w:rsidRPr="001B74EF" w14:paraId="6737257D" w14:textId="77777777" w:rsidTr="00F40B96">
              <w:tc>
                <w:tcPr>
                  <w:tcW w:w="3255" w:type="dxa"/>
                  <w:tcBorders>
                    <w:top w:val="nil"/>
                    <w:left w:val="nil"/>
                    <w:bottom w:val="nil"/>
                    <w:right w:val="nil"/>
                  </w:tcBorders>
                  <w:shd w:val="clear" w:color="auto" w:fill="FFFFFF"/>
                </w:tcPr>
                <w:p w14:paraId="7AD57493"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69E62C6D"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2AC622D0" wp14:editId="0E3243D5">
                        <wp:extent cx="835025" cy="89852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5025" cy="89852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5G</w:t>
                  </w:r>
                </w:p>
                <w:p w14:paraId="3E4349B5"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45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94 %</w:t>
                  </w:r>
                </w:p>
                <w:p w14:paraId="366F851D"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6F5273A3"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285-286</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{"citationItems":[{"id":"ITEM-1","itemData":{"DOI":"10.1016/j.crci.2012.09.012","ISSN":"16310748","abstract":"An efficient one-pot quantitative procedure for the preparation of functionalized benzo[a]pyrano[2,3-c]phenazine derivatives from four-component reaction of 2-hydroxynaphthalene-1,4-dione, o-phenylenediamine, aldehydes, and malononitrile in the presence of nano CuO as the catalyst has been developed. The copper(II) oxide nanoparticles can be recovered and reused several times without loss of its activity. © 2012 Académie des sciences. Published by Elsevier Masson SAS. All rights reserved.","author":[{"dropping-particle":"","family":"Shaterian","given":"Hamid Reza","non-dropping-particle":"","parse-names":false,"suffix":""},{"dropping-particle":"","family":"Moradi","given":"Farzaneh","non-dropping-particle":"","parse-names":false,"suffix":""},{"dropping-particle":"","family":"Mohammadnia","given":"Majid","non-dropping-particle":"","parse-names":false,"suffix":""}],"container-title":"Comptes Rendus Chimie","id":"ITEM-1","issue":"11-12","issued":{"date-parts":[["2012"]]},"page":"1055-1059","publisher":"Academie des sciences","title":"Nano copper(II) oxide catalyzed four-component synthesis of functionalized benzo[a]pyrano[2,3-c]phenazine derivatives","type":"article-journal","volume":"15"},"uris":["http://www.mendeley.com/documents/?uuid=df385dac-2c3a-44d8-820a-0a5f750a5748"]}],"mendeley":{"formattedCitation":"[24]","plainTextFormattedCitation":"[24]","previouslyFormattedCitation":"[24]"},"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[24]</w:t>
                  </w:r>
                  <w:r w:rsidR="001945CC">
                    <w:rPr>
                      <w:rFonts w:asciiTheme="majorBidi" w:eastAsia="Times New Roman" w:hAnsiTheme="majorBidi" w:cstheme="majorBidi"/>
                      <w:color w:val="000000" w:themeColor="text1"/>
                      <w:sz w:val="18"/>
                      <w:szCs w:val="18"/>
                    </w:rPr>
                    <w:fldChar w:fldCharType="end"/>
                  </w:r>
                </w:p>
              </w:tc>
              <w:tc>
                <w:tcPr>
                  <w:tcW w:w="3487" w:type="dxa"/>
                  <w:tcBorders>
                    <w:top w:val="nil"/>
                    <w:left w:val="nil"/>
                    <w:bottom w:val="nil"/>
                    <w:right w:val="nil"/>
                  </w:tcBorders>
                  <w:shd w:val="clear" w:color="auto" w:fill="FFFFFF"/>
                </w:tcPr>
                <w:p w14:paraId="492B26B4"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1778B636"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rPr>
                    <w:object w:dxaOrig="2141" w:dyaOrig="2037" w14:anchorId="3960F3AF">
                      <v:shape id="_x0000_i1031" type="#_x0000_t75" style="width:77.65pt;height:72.65pt" o:ole="">
                        <v:imagedata r:id="rId18" o:title=""/>
                      </v:shape>
                      <o:OLEObject Type="Embed" ProgID="ChemDraw.Document.6.0" ShapeID="_x0000_i1031" DrawAspect="Content" ObjectID="_1746401702" r:id="rId19"/>
                    </w:object>
                  </w:r>
                  <w:r w:rsidRPr="001B74EF">
                    <w:rPr>
                      <w:rFonts w:asciiTheme="majorBidi" w:eastAsia="Times New Roman" w:hAnsiTheme="majorBidi" w:cstheme="majorBidi"/>
                      <w:color w:val="000000" w:themeColor="text1"/>
                    </w:rPr>
                    <w:t>5H</w:t>
                  </w:r>
                </w:p>
                <w:p w14:paraId="0CF301E6"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95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92 %</w:t>
                  </w:r>
                </w:p>
                <w:p w14:paraId="619C8495"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4C973287" w14:textId="77777777" w:rsidR="00F467B3" w:rsidRPr="001B74EF" w:rsidRDefault="00F467B3" w:rsidP="00707F5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New</w:t>
                  </w:r>
                </w:p>
              </w:tc>
              <w:tc>
                <w:tcPr>
                  <w:tcW w:w="3423" w:type="dxa"/>
                  <w:tcBorders>
                    <w:top w:val="nil"/>
                    <w:left w:val="nil"/>
                    <w:bottom w:val="nil"/>
                    <w:right w:val="nil"/>
                  </w:tcBorders>
                  <w:shd w:val="clear" w:color="auto" w:fill="FFFFFF"/>
                </w:tcPr>
                <w:p w14:paraId="5F7A3C2F"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6F63BA6D"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577147FB" wp14:editId="2FE345FF">
                        <wp:extent cx="866775" cy="8985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6775" cy="89852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5I</w:t>
                  </w:r>
                </w:p>
                <w:p w14:paraId="5FF3E241"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60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96 %</w:t>
                  </w:r>
                </w:p>
                <w:p w14:paraId="2A3BBECB"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511329CB"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295</w:t>
                  </w:r>
                  <w:r w:rsidR="00731546">
                    <w:rPr>
                      <w:rFonts w:asciiTheme="majorBidi" w:eastAsia="Times New Roman" w:hAnsiTheme="majorBidi" w:cstheme="majorBidi"/>
                      <w:color w:val="000000" w:themeColor="text1"/>
                      <w:sz w:val="18"/>
                      <w:szCs w:val="18"/>
                    </w:rPr>
                    <w:t xml:space="preserve"> </w:t>
                  </w:r>
                  <w:r w:rsidR="00731546">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{"citationItems":[{"id":"ITEM-1","itemData":{"DOI":"10.1016/j.molliq.2012.11.006","ISSN":"0167-7322","author":[{"dropping-particle":"","family":"Shaterian","given":"Hamid Reza","non-dropping-particle":"","parse-names":false,"suffix":""},{"dropping-particle":"","family":"Mohammadnia","given":"Majid","non-dropping-particle":"","parse-names":false,"suffix":""}],"container-title":"Journal of Molecular Liquids","id":"ITEM-1","issued":{"date-parts":[["2013"]]},"page":"162-166","publisher":"Elsevier B.V.","title":"Mild basic ionic liquid catalyzed four component synthesis of functionalized benzo [ a ] pyrano [ 2 , 3-c ] phenazine derivatives","type":"article-journal","volume":"177"},"uris":["http://www.mendeley.com/documents/?uuid=80794012-d617-4955-9fe7-d694dc82f0bd"]}],"mendeley":{"formattedCitation":"[26]","plainTextFormattedCitation":"[26]","previouslyFormattedCitation":"[26]"},"properties":{"noteIndex":0},"schema":"https://github.com/citation-style-language/schema/raw/master/csl-citation.json"}</w:instrText>
                  </w:r>
                  <w:r w:rsidR="00731546">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[26]</w:t>
                  </w:r>
                  <w:r w:rsidR="00731546">
                    <w:rPr>
                      <w:rFonts w:asciiTheme="majorBidi" w:eastAsia="Times New Roman" w:hAnsiTheme="majorBidi" w:cstheme="majorBidi"/>
                      <w:color w:val="000000" w:themeColor="text1"/>
                      <w:sz w:val="18"/>
                      <w:szCs w:val="18"/>
                    </w:rPr>
                    <w:fldChar w:fldCharType="end"/>
                  </w:r>
                </w:p>
              </w:tc>
            </w:tr>
            <w:tr w:rsidR="001B74EF" w:rsidRPr="001B74EF" w14:paraId="5601A800" w14:textId="77777777" w:rsidTr="00F40B96">
              <w:tc>
                <w:tcPr>
                  <w:tcW w:w="3255" w:type="dxa"/>
                  <w:tcBorders>
                    <w:top w:val="nil"/>
                    <w:left w:val="nil"/>
                    <w:bottom w:val="nil"/>
                    <w:right w:val="nil"/>
                  </w:tcBorders>
                  <w:shd w:val="clear" w:color="auto" w:fill="FFFFFF"/>
                </w:tcPr>
                <w:p w14:paraId="49A616F5"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03CB9A16"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3D010AFF" wp14:editId="6C0FBDCA">
                        <wp:extent cx="890270" cy="99377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0270" cy="99377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5J</w:t>
                  </w:r>
                </w:p>
                <w:p w14:paraId="34E2F2BE"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75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92 %</w:t>
                  </w:r>
                </w:p>
                <w:p w14:paraId="01873812"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276-277</w:t>
                  </w:r>
                </w:p>
                <w:p w14:paraId="3B7EC43C" w14:textId="77777777" w:rsidR="00F467B3" w:rsidRPr="001B74EF" w:rsidRDefault="00F467B3" w:rsidP="003460C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M.P (°C) (Litreature): 275-277</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{"citationItems":[{"id":"ITEM-1","itemData":{"DOI":"10.1007/s10562-020-03185-0","ISBN":"0123456789","ISSN":"1572879X","abstract":"Abstract: A one-pot, two-step, four-component synthesis of benzo[c]pyrano[3,2-a]phenazine and bis-benzo[c]pyrano[3,2-a]phenazine derivatives was carried out by the reaction of 2-hydroxy-1,4-naphthoquinone, benzene-1,2-diamine, carbonyl compounds and alkylmalonates using new copper (II) ions complexes of guanine (2-amino-1H-purin-6(9H)-one) supported into MCM-41 (Cu-guanine-MCM-41) and SBA-15 (Cu-guanine-SBA-15) channels as efficient and heterogeneous catalysts in PEG. The desired products were obtained in good to excellent yields. The prepared catalysts have been extensively characterized by different methods and can be reused for several times without any significant loss of their catalytic activities. The phenazine derivatives were also tested for their antimicrobial activities. Graphic Abstract: [Figure not available: see fulltext.]","author":[{"dropping-particle":"","family":"Nikoorazm","given":"Mohsen","non-dropping-particle":"","parse-names":false,"suffix":""},{"dropping-particle":"","family":"Khanmoradi","given":"Maryam","non-dropping-particle":"","parse-names":false,"suffix":""}],"container-title":"Catalysis Letters","id":"ITEM-1","issue":"10","issued":{"date-parts":[["2020"]]},"page":"2823-2840","publisher":"Springer US","title":"Application of Cu (II)-Guanine Complexes Anchored on SBA-15 and MCM-41 as Efficient Nanocatalysts for One-Pot, Four-Component Domino Synthesis of Phenazine Derivatives and Investigation of Their Antimicrobial Behavior","type":"article-journal","volume":"150"},"uris":["http://www.mendeley.com/documents/?uuid=5bb2abc6-8ae1-4ce7-a520-b3ba1fa34583"]}],"mendeley":{"formattedCitation":"[27]","plainTextFormattedCitation":"[27]","previouslyFormattedCitation":"[27]"},"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[27]</w:t>
                  </w:r>
                  <w:r w:rsidR="001945CC">
                    <w:rPr>
                      <w:rFonts w:asciiTheme="majorBidi" w:eastAsia="Times New Roman" w:hAnsiTheme="majorBidi" w:cstheme="majorBidi"/>
                      <w:color w:val="000000" w:themeColor="text1"/>
                      <w:sz w:val="18"/>
                      <w:szCs w:val="18"/>
                    </w:rPr>
                    <w:fldChar w:fldCharType="end"/>
                  </w:r>
                </w:p>
              </w:tc>
              <w:tc>
                <w:tcPr>
                  <w:tcW w:w="3487" w:type="dxa"/>
                  <w:tcBorders>
                    <w:top w:val="nil"/>
                    <w:left w:val="nil"/>
                    <w:bottom w:val="nil"/>
                    <w:right w:val="nil"/>
                  </w:tcBorders>
                  <w:shd w:val="clear" w:color="auto" w:fill="FFFFFF"/>
                </w:tcPr>
                <w:p w14:paraId="093B0665"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38711268"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drawing>
                      <wp:inline distT="0" distB="0" distL="0" distR="0" wp14:anchorId="32F0D077" wp14:editId="5B7A363A">
                        <wp:extent cx="898525" cy="993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8525" cy="99377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5K</w:t>
                  </w:r>
                </w:p>
                <w:p w14:paraId="64DBDEB8"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80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96 %</w:t>
                  </w:r>
                </w:p>
                <w:p w14:paraId="61FC28DC"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249-251</w:t>
                  </w:r>
                </w:p>
                <w:p w14:paraId="21B86EF8" w14:textId="77777777" w:rsidR="00F467B3" w:rsidRPr="001B74EF" w:rsidRDefault="00F467B3" w:rsidP="003460C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M.P (°C) (Litreature): 253-254</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{"citationItems":[{"id":"ITEM-1","itemData":{"DOI":"10.1016/j.crci.2012.09.012","ISSN":"16310748","abstract":"An efficient one-pot quantitative procedure for the preparation of functionalized benzo[a]pyrano[2,3-c]phenazine derivatives from four-component reaction of 2-hydroxynaphthalene-1,4-dione, o-phenylenediamine, aldehydes, and malononitrile in the presence of nano CuO as the catalyst has been developed. The copper(II) oxide nanoparticles can be recovered and reused several times without loss of its activity. © 2012 Académie des sciences. Published by Elsevier Masson SAS. All rights reserved.","author":[{"dropping-particle":"","family":"Shaterian","given":"Hamid Reza","non-dropping-particle":"","parse-names":false,"suffix":""},{"dropping-particle":"","family":"Moradi","given":"Farzaneh","non-dropping-particle":"","parse-names":false,"suffix":""},{"dropping-particle":"","family":"Mohammadnia","given":"Majid","non-dropping-particle":"","parse-names":false,"suffix":""}],"container-title":"Comptes Rendus Chimie","id":"ITEM-1","issue":"11-12","issued":{"date-parts":[["2012"]]},"page":"1055-1059","publisher":"Academie des sciences","title":"Nano copper(II) oxide catalyzed four-component synthesis of functionalized benzo[a]pyrano[2,3-c]phenazine derivatives","type":"article-journal","volume":"15"},"uris":["http://www.mendeley.com/documents/?uuid=df385dac-2c3a-44d8-820a-0a5f750a5748"]}],"mendeley":{"formattedCitation":"[24]","plainTextFormattedCitation":"[24]","previouslyFormattedCitation":"[24]"},"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[24]</w:t>
                  </w:r>
                  <w:r w:rsidR="001945CC">
                    <w:rPr>
                      <w:rFonts w:asciiTheme="majorBidi" w:eastAsia="Times New Roman" w:hAnsiTheme="majorBidi" w:cstheme="majorBidi"/>
                      <w:color w:val="000000" w:themeColor="text1"/>
                      <w:sz w:val="18"/>
                      <w:szCs w:val="18"/>
                    </w:rPr>
                    <w:fldChar w:fldCharType="end"/>
                  </w:r>
                </w:p>
              </w:tc>
              <w:tc>
                <w:tcPr>
                  <w:tcW w:w="3423" w:type="dxa"/>
                  <w:tcBorders>
                    <w:top w:val="nil"/>
                    <w:left w:val="nil"/>
                    <w:bottom w:val="nil"/>
                    <w:right w:val="nil"/>
                  </w:tcBorders>
                  <w:shd w:val="clear" w:color="auto" w:fill="FFFFFF"/>
                </w:tcPr>
                <w:p w14:paraId="3B85DAEA"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192C0D0A"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rPr>
                    <w:object w:dxaOrig="2141" w:dyaOrig="1954" w14:anchorId="7A7F3678">
                      <v:shape id="_x0000_i1032" type="#_x0000_t75" style="width:85.75pt;height:77.65pt" o:ole="">
                        <v:imagedata r:id="rId23" o:title=""/>
                      </v:shape>
                      <o:OLEObject Type="Embed" ProgID="ChemDraw.Document.6.0" ShapeID="_x0000_i1032" DrawAspect="Content" ObjectID="_1746401703" r:id="rId24"/>
                    </w:object>
                  </w:r>
                  <w:r w:rsidRPr="001B74EF">
                    <w:rPr>
                      <w:rFonts w:asciiTheme="majorBidi" w:eastAsia="Times New Roman" w:hAnsiTheme="majorBidi" w:cstheme="majorBidi"/>
                      <w:color w:val="000000" w:themeColor="text1"/>
                    </w:rPr>
                    <w:t>5L</w:t>
                  </w:r>
                </w:p>
                <w:p w14:paraId="49FCFDCB"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35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95 %</w:t>
                  </w:r>
                </w:p>
                <w:p w14:paraId="09A12154"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&gt;280</w:t>
                  </w:r>
                </w:p>
                <w:p w14:paraId="0588390F"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New</w:t>
                  </w:r>
                </w:p>
              </w:tc>
            </w:tr>
            <w:tr w:rsidR="001B74EF" w:rsidRPr="001B74EF" w14:paraId="13E9E760" w14:textId="77777777" w:rsidTr="00F40B96">
              <w:tc>
                <w:tcPr>
                  <w:tcW w:w="3255" w:type="dxa"/>
                  <w:tcBorders>
                    <w:top w:val="nil"/>
                    <w:left w:val="nil"/>
                    <w:bottom w:val="single" w:sz="4" w:space="0" w:color="auto"/>
                    <w:right w:val="nil"/>
                  </w:tcBorders>
                  <w:shd w:val="clear" w:color="auto" w:fill="FFFFFF"/>
                </w:tcPr>
                <w:p w14:paraId="1896E0A5"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6F34C8D8"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lastRenderedPageBreak/>
                    <w:drawing>
                      <wp:inline distT="0" distB="0" distL="0" distR="0" wp14:anchorId="7D598CE8" wp14:editId="6F7F8F19">
                        <wp:extent cx="1065530" cy="116078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5530" cy="1160780"/>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5M</w:t>
                  </w:r>
                </w:p>
                <w:p w14:paraId="5709FB6E"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70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89 %</w:t>
                  </w:r>
                </w:p>
                <w:p w14:paraId="34FF99A2"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248-250</w:t>
                  </w:r>
                </w:p>
                <w:p w14:paraId="4CB59A31" w14:textId="77777777" w:rsidR="00F467B3" w:rsidRPr="001B74EF" w:rsidRDefault="00F467B3" w:rsidP="003460C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M.P (°C) (Litreature): 251-252</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{"citationItems":[{"id":"ITEM-1","itemData":{"DOI":"10.1007/s10562-020-03185-0","ISBN":"0123456789","ISSN":"1572879X","abstract":"Abstract: A one-pot, two-step, four-component synthesis of benzo[c]pyrano[3,2-a]phenazine and bis-benzo[c]pyrano[3,2-a]phenazine derivatives was carried out by the reaction of 2-hydroxy-1,4-naphthoquinone, benzene-1,2-diamine, carbonyl compounds and alkylmalonates using new copper (II) ions complexes of guanine (2-amino-1H-purin-6(9H)-one) supported into MCM-41 (Cu-guanine-MCM-41) and SBA-15 (Cu-guanine-SBA-15) channels as efficient and heterogeneous catalysts in PEG. The desired products were obtained in good to excellent yields. The prepared catalysts have been extensively characterized by different methods and can be reused for several times without any significant loss of their catalytic activities. The phenazine derivatives were also tested for their antimicrobial activities. Graphic Abstract: [Figure not available: see fulltext.]","author":[{"dropping-particle":"","family":"Nikoorazm","given":"Mohsen","non-dropping-particle":"","parse-names":false,"suffix":""},{"dropping-particle":"","family":"Khanmoradi","given":"Maryam","non-dropping-particle":"","parse-names":false,"suffix":""}],"container-title":"Catalysis Letters","id":"ITEM-1","issue":"10","issued":{"date-parts":[["2020"]]},"page":"2823-2840","publisher":"Springer US","title":"Application of Cu (II)-Guanine Complexes Anchored on SBA-15 and MCM-41 as Efficient Nanocatalysts for One-Pot, Four-Component Domino Synthesis of Phenazine Derivatives and Investigation of Their Antimicrobial Behavior","type":"article-journal","volume":"150"},"uris":["http://www.mendeley.com/documents/?uuid=5bb2abc6-8ae1-4ce7-a520-b3ba1fa34583"]}],"mendeley":{"formattedCitation":"[27]","plainTextFormattedCitation":"[27]","previouslyFormattedCitation":"[27]"},"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[27]</w:t>
                  </w:r>
                  <w:r w:rsidR="001945CC">
                    <w:rPr>
                      <w:rFonts w:asciiTheme="majorBidi" w:eastAsia="Times New Roman" w:hAnsiTheme="majorBidi" w:cstheme="majorBidi"/>
                      <w:color w:val="000000" w:themeColor="text1"/>
                      <w:sz w:val="18"/>
                      <w:szCs w:val="18"/>
                    </w:rPr>
                    <w:fldChar w:fldCharType="end"/>
                  </w:r>
                </w:p>
              </w:tc>
              <w:tc>
                <w:tcPr>
                  <w:tcW w:w="3487" w:type="dxa"/>
                  <w:tcBorders>
                    <w:top w:val="nil"/>
                    <w:left w:val="nil"/>
                    <w:bottom w:val="single" w:sz="4" w:space="0" w:color="auto"/>
                    <w:right w:val="nil"/>
                  </w:tcBorders>
                  <w:shd w:val="clear" w:color="auto" w:fill="FFFFFF"/>
                </w:tcPr>
                <w:p w14:paraId="6DE9286F"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24C113FA"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lastRenderedPageBreak/>
                    <w:drawing>
                      <wp:inline distT="0" distB="0" distL="0" distR="0" wp14:anchorId="0BA1A4CD" wp14:editId="533C038B">
                        <wp:extent cx="1264285" cy="1144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4285" cy="114490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5N</w:t>
                  </w:r>
                </w:p>
                <w:p w14:paraId="1E2815CB"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55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94 %</w:t>
                  </w:r>
                </w:p>
                <w:p w14:paraId="02D8DA87"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259-261</w:t>
                  </w:r>
                </w:p>
                <w:p w14:paraId="54440EFC" w14:textId="77777777" w:rsidR="00F467B3" w:rsidRPr="001B74EF" w:rsidRDefault="00F467B3" w:rsidP="003460C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color w:val="000000" w:themeColor="text1"/>
                      <w:sz w:val="18"/>
                      <w:szCs w:val="18"/>
                    </w:rPr>
                    <w:t>M.P (°C) (Litreature): 256-260</w:t>
                  </w:r>
                  <w:r w:rsidR="001945CC">
                    <w:rPr>
                      <w:rFonts w:asciiTheme="majorBidi" w:eastAsia="Times New Roman" w:hAnsiTheme="majorBidi" w:cstheme="majorBidi"/>
                      <w:color w:val="000000" w:themeColor="text1"/>
                      <w:sz w:val="18"/>
                      <w:szCs w:val="18"/>
                    </w:rPr>
                    <w:t xml:space="preserve"> </w:t>
                  </w:r>
                  <w:r w:rsidR="001945CC">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{"citationItems":[{"id":"ITEM-1","itemData":{"DOI":"10.1039/C8RA10180A","ISSN":"20462069","abstract":"A novel acid catalyst was prepared based on growing hyperbranched polyglycerol (HPG) on the surface of graphene oxide. Then, the hydroxyl groups of HPG on graphene oxide were functionalized by sulfonate groups to form an acid catalyst. The catalyst displayed a good loading level of acidic groups on the surface because of coating graphene oxide with HPG. This new catalyst is demonstrated to be highly effective in the preparation of benzo[a]pyrano[2,3-c]phenazine dyes.","author":[{"dropping-particle":"","family":"Naeimi","given":"Hossein","non-dropping-particle":"","parse-names":false,"suffix":""},{"dropping-particle":"","family":"Zarabi","given":"Maryam Farahnak","non-dropping-particle":"","parse-names":false,"suffix":""}],"container-title":"RSC Advances","id":"ITEM-1","issue":"13","issued":{"date-parts":[["2019"]]},"page":"7400-7410","publisher":"Royal Society of Chemistry","title":"Multisulfonate hyperbranched polyglycerol functionalized graphene oxide as an efficient reusable catalyst for green synthesis of benzo[a]pyrano-[2,3-c]phenazines under solvent-free conditions","type":"article-journal","volume":"9"},"uris":["http://www.mendeley.com/documents/?uuid=bf2d4e2b-a54e-4a0d-b7cd-2c4820498860"]}],"mendeley":{"formattedCitation":"[25]","plainTextFormattedCitation":"[25]","previouslyFormattedCitation":"[25]"},"properties":{"noteIndex":0},"schema":"https://github.com/citation-style-language/schema/raw/master/csl-citation.json"}</w:instrText>
                  </w:r>
                  <w:r w:rsidR="001945CC">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[25]</w:t>
                  </w:r>
                  <w:r w:rsidR="001945CC">
                    <w:rPr>
                      <w:rFonts w:asciiTheme="majorBidi" w:eastAsia="Times New Roman" w:hAnsiTheme="majorBidi" w:cstheme="majorBidi"/>
                      <w:color w:val="000000" w:themeColor="text1"/>
                      <w:sz w:val="18"/>
                      <w:szCs w:val="18"/>
                    </w:rPr>
                    <w:fldChar w:fldCharType="end"/>
                  </w:r>
                </w:p>
              </w:tc>
              <w:tc>
                <w:tcPr>
                  <w:tcW w:w="3423" w:type="dxa"/>
                  <w:tcBorders>
                    <w:top w:val="nil"/>
                    <w:left w:val="nil"/>
                    <w:bottom w:val="single" w:sz="4" w:space="0" w:color="auto"/>
                    <w:right w:val="nil"/>
                  </w:tcBorders>
                  <w:shd w:val="clear" w:color="auto" w:fill="FFFFFF"/>
                </w:tcPr>
                <w:p w14:paraId="51FFBE41" w14:textId="77777777" w:rsidR="00F467B3" w:rsidRPr="001B74EF" w:rsidRDefault="00F467B3" w:rsidP="00707F5E">
                  <w:pPr>
                    <w:spacing w:after="0"/>
                    <w:jc w:val="center"/>
                    <w:rPr>
                      <w:rFonts w:asciiTheme="majorBidi" w:eastAsia="Times New Roman" w:hAnsiTheme="majorBidi" w:cstheme="majorBidi"/>
                      <w:color w:val="000000" w:themeColor="text1"/>
                    </w:rPr>
                  </w:pPr>
                </w:p>
                <w:p w14:paraId="5B3292E3" w14:textId="77777777" w:rsidR="00F467B3" w:rsidRPr="001B74EF" w:rsidRDefault="00F467B3" w:rsidP="00707F5E">
                  <w:pPr>
                    <w:spacing w:after="0"/>
                    <w:jc w:val="center"/>
                    <w:rPr>
                      <w:rFonts w:asciiTheme="majorBidi" w:eastAsia="Times New Roman" w:hAnsiTheme="majorBidi" w:cstheme="majorBidi"/>
                      <w:color w:val="000000" w:themeColor="text1"/>
                    </w:rPr>
                  </w:pPr>
                  <w:r w:rsidRPr="001B74EF">
                    <w:rPr>
                      <w:rFonts w:asciiTheme="majorBidi" w:eastAsia="Times New Roman" w:hAnsiTheme="majorBidi" w:cstheme="majorBidi"/>
                      <w:noProof/>
                      <w:color w:val="000000" w:themeColor="text1"/>
                      <w:lang w:bidi="ar-SA"/>
                    </w:rPr>
                    <w:lastRenderedPageBreak/>
                    <w:drawing>
                      <wp:inline distT="0" distB="0" distL="0" distR="0" wp14:anchorId="4060D8BE" wp14:editId="5E67C46B">
                        <wp:extent cx="1248410" cy="114490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8410" cy="1144905"/>
                                </a:xfrm>
                                <a:prstGeom prst="rect">
                                  <a:avLst/>
                                </a:prstGeom>
                                <a:noFill/>
                                <a:ln>
                                  <a:noFill/>
                                </a:ln>
                              </pic:spPr>
                            </pic:pic>
                          </a:graphicData>
                        </a:graphic>
                      </wp:inline>
                    </w:drawing>
                  </w:r>
                  <w:r w:rsidRPr="001B74EF">
                    <w:rPr>
                      <w:rFonts w:asciiTheme="majorBidi" w:eastAsia="Times New Roman" w:hAnsiTheme="majorBidi" w:cstheme="majorBidi"/>
                      <w:color w:val="000000" w:themeColor="text1"/>
                    </w:rPr>
                    <w:t>5O</w:t>
                  </w:r>
                </w:p>
                <w:p w14:paraId="3E39EF0C"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Time: 50 min, Yield (%)</w:t>
                  </w:r>
                  <w:r w:rsidRPr="001B74EF">
                    <w:rPr>
                      <w:rFonts w:asciiTheme="majorBidi" w:eastAsia="Times New Roman" w:hAnsiTheme="majorBidi" w:cstheme="majorBidi"/>
                      <w:color w:val="000000" w:themeColor="text1"/>
                      <w:sz w:val="18"/>
                      <w:szCs w:val="18"/>
                      <w:vertAlign w:val="superscript"/>
                    </w:rPr>
                    <w:t>b</w:t>
                  </w:r>
                  <w:r w:rsidRPr="001B74EF">
                    <w:rPr>
                      <w:rFonts w:asciiTheme="majorBidi" w:eastAsia="Times New Roman" w:hAnsiTheme="majorBidi" w:cstheme="majorBidi"/>
                      <w:color w:val="000000" w:themeColor="text1"/>
                      <w:sz w:val="18"/>
                      <w:szCs w:val="18"/>
                    </w:rPr>
                    <w:t>: 92 %</w:t>
                  </w:r>
                </w:p>
                <w:p w14:paraId="4F947E5E" w14:textId="77777777" w:rsidR="00F467B3" w:rsidRPr="001B74EF" w:rsidRDefault="00F467B3" w:rsidP="00707F5E">
                  <w:pPr>
                    <w:spacing w:after="0"/>
                    <w:jc w:val="center"/>
                    <w:rPr>
                      <w:rFonts w:asciiTheme="majorBidi" w:eastAsia="Times New Roman" w:hAnsiTheme="majorBidi" w:cstheme="majorBidi"/>
                      <w:color w:val="000000" w:themeColor="text1"/>
                      <w:sz w:val="18"/>
                      <w:szCs w:val="18"/>
                    </w:rPr>
                  </w:pPr>
                  <w:r w:rsidRPr="001B74EF">
                    <w:rPr>
                      <w:rFonts w:asciiTheme="majorBidi" w:eastAsia="Times New Roman" w:hAnsiTheme="majorBidi" w:cstheme="majorBidi"/>
                      <w:color w:val="000000" w:themeColor="text1"/>
                      <w:sz w:val="18"/>
                      <w:szCs w:val="18"/>
                    </w:rPr>
                    <w:t>M.P (°C) (Observed): 271-273</w:t>
                  </w:r>
                </w:p>
                <w:p w14:paraId="0EC0C247" w14:textId="77777777" w:rsidR="00F467B3" w:rsidRPr="001B74EF" w:rsidRDefault="00F467B3" w:rsidP="003460CE">
                  <w:pPr>
                    <w:spacing w:after="0"/>
                    <w:jc w:val="center"/>
                    <w:rPr>
                      <w:rFonts w:asciiTheme="majorBidi" w:eastAsia="Times New Roman" w:hAnsiTheme="majorBidi" w:cstheme="majorBidi"/>
                      <w:b/>
                      <w:bCs/>
                      <w:color w:val="000000" w:themeColor="text1"/>
                    </w:rPr>
                  </w:pPr>
                  <w:r w:rsidRPr="001B74EF">
                    <w:rPr>
                      <w:rFonts w:asciiTheme="majorBidi" w:eastAsia="Times New Roman" w:hAnsiTheme="majorBidi" w:cstheme="majorBidi"/>
                      <w:color w:val="000000" w:themeColor="text1"/>
                      <w:sz w:val="18"/>
                      <w:szCs w:val="18"/>
                    </w:rPr>
                    <w:t>M.P (°C) (Litreature): 273</w:t>
                  </w:r>
                  <w:r w:rsidR="00731546">
                    <w:rPr>
                      <w:rFonts w:asciiTheme="majorBidi" w:eastAsia="Times New Roman" w:hAnsiTheme="majorBidi" w:cstheme="majorBidi"/>
                      <w:color w:val="000000" w:themeColor="text1"/>
                      <w:sz w:val="18"/>
                      <w:szCs w:val="18"/>
                    </w:rPr>
                    <w:t xml:space="preserve"> </w:t>
                  </w:r>
                  <w:r w:rsidR="00731546">
                    <w:rPr>
                      <w:rFonts w:asciiTheme="majorBidi" w:eastAsia="Times New Roman" w:hAnsiTheme="majorBidi" w:cstheme="majorBidi"/>
                      <w:color w:val="000000" w:themeColor="text1"/>
                      <w:sz w:val="18"/>
                      <w:szCs w:val="18"/>
                    </w:rPr>
                    <w:fldChar w:fldCharType="begin" w:fldLock="1"/>
                  </w:r>
                  <w:r w:rsidR="001945CC">
                    <w:rPr>
                      <w:rFonts w:asciiTheme="majorBidi" w:eastAsia="Times New Roman" w:hAnsiTheme="majorBidi" w:cstheme="majorBidi"/>
                      <w:color w:val="000000" w:themeColor="text1"/>
                      <w:sz w:val="18"/>
                      <w:szCs w:val="18"/>
                    </w:rPr>
                    <w:instrText>ADDIN CSL_CITATION {"citationItems":[{"id":"ITEM-1","itemData":{"DOI":"10.1016/j.molliq.2012.11.006","ISSN":"0167-7322","author":[{"dropping-particle":"","family":"Shaterian","given":"Hamid Reza","non-dropping-particle":"","parse-names":false,"suffix":""},{"dropping-particle":"","family":"Mohammadnia","given":"Majid","non-dropping-particle":"","parse-names":false,"suffix":""}],"container-title":"Journal of Molecular Liquids","id":"ITEM-1","issued":{"date-parts":[["2013"]]},"page":"162-166","publisher":"Elsevier B.V.","title":"Mild basic ionic liquid catalyzed four component synthesis of functionalized benzo [ a ] pyrano [ 2 , 3-c ] phenazine derivatives","type":"article-journal","volume":"177"},"uris":["http://www.mendeley.com/documents/?uuid=80794012-d617-4955-9fe7-d694dc82f0bd"]}],"mendeley":{"formattedCitation":"[26]","plainTextFormattedCitation":"[26]","previouslyFormattedCitation":"[26]"},"properties":{"noteIndex":0},"schema":"https://github.com/citation-style-language/schema/raw/master/csl-citation.json"}</w:instrText>
                  </w:r>
                  <w:r w:rsidR="00731546">
                    <w:rPr>
                      <w:rFonts w:asciiTheme="majorBidi" w:eastAsia="Times New Roman" w:hAnsiTheme="majorBidi" w:cstheme="majorBidi"/>
                      <w:color w:val="000000" w:themeColor="text1"/>
                      <w:sz w:val="18"/>
                      <w:szCs w:val="18"/>
                    </w:rPr>
                    <w:fldChar w:fldCharType="separate"/>
                  </w:r>
                  <w:r w:rsidR="001945CC" w:rsidRPr="001945CC">
                    <w:rPr>
                      <w:rFonts w:asciiTheme="majorBidi" w:eastAsia="Times New Roman" w:hAnsiTheme="majorBidi" w:cstheme="majorBidi"/>
                      <w:noProof/>
                      <w:color w:val="000000" w:themeColor="text1"/>
                      <w:sz w:val="18"/>
                      <w:szCs w:val="18"/>
                    </w:rPr>
                    <w:t>[26]</w:t>
                  </w:r>
                  <w:r w:rsidR="00731546">
                    <w:rPr>
                      <w:rFonts w:asciiTheme="majorBidi" w:eastAsia="Times New Roman" w:hAnsiTheme="majorBidi" w:cstheme="majorBidi"/>
                      <w:color w:val="000000" w:themeColor="text1"/>
                      <w:sz w:val="18"/>
                      <w:szCs w:val="18"/>
                    </w:rPr>
                    <w:fldChar w:fldCharType="end"/>
                  </w:r>
                </w:p>
              </w:tc>
            </w:tr>
          </w:tbl>
          <w:p w14:paraId="0F5E0F97" w14:textId="77777777" w:rsidR="00F467B3" w:rsidRPr="00F467B3" w:rsidRDefault="00F467B3" w:rsidP="00F467B3">
            <w:pPr>
              <w:spacing w:line="276" w:lineRule="auto"/>
              <w:jc w:val="both"/>
              <w:rPr>
                <w:rFonts w:asciiTheme="majorBidi" w:hAnsiTheme="majorBidi" w:cstheme="majorBidi"/>
                <w:sz w:val="18"/>
                <w:szCs w:val="18"/>
                <w:lang w:val="de-DE"/>
              </w:rPr>
            </w:pPr>
            <w:r w:rsidRPr="00F467B3">
              <w:rPr>
                <w:rFonts w:asciiTheme="majorBidi" w:hAnsiTheme="majorBidi" w:cstheme="majorBidi"/>
                <w:sz w:val="18"/>
                <w:szCs w:val="18"/>
                <w:vertAlign w:val="superscript"/>
                <w:lang w:val="de-DE"/>
              </w:rPr>
              <w:lastRenderedPageBreak/>
              <w:t>a</w:t>
            </w:r>
            <w:r w:rsidRPr="00F467B3">
              <w:rPr>
                <w:rFonts w:asciiTheme="majorBidi" w:hAnsiTheme="majorBidi" w:cstheme="majorBidi"/>
                <w:sz w:val="18"/>
                <w:szCs w:val="18"/>
                <w:lang w:val="de-DE"/>
              </w:rPr>
              <w:t xml:space="preserve"> Reaction conditions: 2-hydroxynaphthalene-1,4-dione (1 mmol), benzene-1,2-diamine (1 mmol), aldehyde (1 mmol), and malononitrile (1 mmol), and 30 mol% of 3-(triethoxysilyl)propane-1-aminium formate in 90 °C. </w:t>
            </w:r>
            <w:r w:rsidRPr="00F467B3">
              <w:rPr>
                <w:rFonts w:asciiTheme="majorBidi" w:hAnsiTheme="majorBidi" w:cstheme="majorBidi"/>
                <w:sz w:val="18"/>
                <w:szCs w:val="18"/>
                <w:vertAlign w:val="superscript"/>
                <w:lang w:val="de-DE"/>
              </w:rPr>
              <w:t>b</w:t>
            </w:r>
            <w:r w:rsidRPr="00F467B3">
              <w:rPr>
                <w:rFonts w:asciiTheme="majorBidi" w:hAnsiTheme="majorBidi" w:cstheme="majorBidi"/>
                <w:sz w:val="18"/>
                <w:szCs w:val="18"/>
                <w:lang w:val="de-DE"/>
              </w:rPr>
              <w:t xml:space="preserve"> Isolated yields after purification.</w:t>
            </w:r>
          </w:p>
          <w:p w14:paraId="2688D2CC" w14:textId="77777777" w:rsidR="00F467B3" w:rsidRPr="00F467B3" w:rsidRDefault="00F467B3" w:rsidP="00F467B3">
            <w:pPr>
              <w:bidi/>
              <w:spacing w:line="276" w:lineRule="auto"/>
              <w:jc w:val="both"/>
              <w:rPr>
                <w:rFonts w:asciiTheme="majorBidi" w:hAnsiTheme="majorBidi" w:cstheme="majorBidi"/>
                <w:b/>
                <w:bCs/>
              </w:rPr>
            </w:pPr>
          </w:p>
          <w:p w14:paraId="5BE318E2" w14:textId="4516EB15" w:rsidR="00F467B3" w:rsidRPr="00F467B3" w:rsidRDefault="00F467B3" w:rsidP="00F467B3">
            <w:pPr>
              <w:spacing w:line="276" w:lineRule="auto"/>
              <w:jc w:val="center"/>
              <w:rPr>
                <w:rFonts w:asciiTheme="majorBidi" w:hAnsiTheme="majorBidi" w:cstheme="majorBidi"/>
              </w:rPr>
            </w:pPr>
          </w:p>
        </w:tc>
      </w:tr>
    </w:tbl>
    <w:p w14:paraId="79615787" w14:textId="1B455D7F" w:rsidR="00F40B96" w:rsidRPr="00F40B96" w:rsidRDefault="00F40B96" w:rsidP="008C4774">
      <w:pPr>
        <w:spacing w:line="276" w:lineRule="auto"/>
        <w:jc w:val="both"/>
        <w:rPr>
          <w:rFonts w:asciiTheme="majorBidi" w:hAnsiTheme="majorBidi" w:cstheme="majorBidi"/>
        </w:rPr>
      </w:pPr>
    </w:p>
    <w:sectPr w:rsidR="00F40B96" w:rsidRPr="00F40B96" w:rsidSect="008C4774">
      <w:type w:val="continuous"/>
      <w:pgSz w:w="11906" w:h="16838" w:code="9"/>
      <w:pgMar w:top="1191" w:right="851" w:bottom="1225" w:left="851" w:header="709" w:footer="709" w:gutter="0"/>
      <w:cols w:space="4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13057D"/>
    <w:multiLevelType w:val="hybridMultilevel"/>
    <w:tmpl w:val="10CCB5DC"/>
    <w:lvl w:ilvl="0" w:tplc="2CFC2AB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D2"/>
    <w:rsid w:val="0000081F"/>
    <w:rsid w:val="00010E2B"/>
    <w:rsid w:val="00022A05"/>
    <w:rsid w:val="00052198"/>
    <w:rsid w:val="000B5A59"/>
    <w:rsid w:val="000D0523"/>
    <w:rsid w:val="000D32AF"/>
    <w:rsid w:val="000D384E"/>
    <w:rsid w:val="000D4EC6"/>
    <w:rsid w:val="001050E0"/>
    <w:rsid w:val="00107472"/>
    <w:rsid w:val="00111D11"/>
    <w:rsid w:val="0012536B"/>
    <w:rsid w:val="001428BF"/>
    <w:rsid w:val="00143709"/>
    <w:rsid w:val="00166C6A"/>
    <w:rsid w:val="00180AEE"/>
    <w:rsid w:val="001945CC"/>
    <w:rsid w:val="001A2715"/>
    <w:rsid w:val="001A2AAC"/>
    <w:rsid w:val="001A3E4E"/>
    <w:rsid w:val="001A71C5"/>
    <w:rsid w:val="001B74EF"/>
    <w:rsid w:val="001C0D78"/>
    <w:rsid w:val="001C176C"/>
    <w:rsid w:val="001D0BC0"/>
    <w:rsid w:val="001E7F91"/>
    <w:rsid w:val="00206729"/>
    <w:rsid w:val="00217AFC"/>
    <w:rsid w:val="002642EB"/>
    <w:rsid w:val="00274F08"/>
    <w:rsid w:val="00275482"/>
    <w:rsid w:val="00280D42"/>
    <w:rsid w:val="00296D3E"/>
    <w:rsid w:val="002A31ED"/>
    <w:rsid w:val="002B49D2"/>
    <w:rsid w:val="002F79F3"/>
    <w:rsid w:val="003436E3"/>
    <w:rsid w:val="003460CE"/>
    <w:rsid w:val="00367BA8"/>
    <w:rsid w:val="0039298C"/>
    <w:rsid w:val="003A152D"/>
    <w:rsid w:val="003B057B"/>
    <w:rsid w:val="003C55BA"/>
    <w:rsid w:val="004171F1"/>
    <w:rsid w:val="00431240"/>
    <w:rsid w:val="00436D92"/>
    <w:rsid w:val="0044662A"/>
    <w:rsid w:val="00477B38"/>
    <w:rsid w:val="00482985"/>
    <w:rsid w:val="004C4168"/>
    <w:rsid w:val="004C69A9"/>
    <w:rsid w:val="004E7293"/>
    <w:rsid w:val="00506731"/>
    <w:rsid w:val="00521E9B"/>
    <w:rsid w:val="0053298C"/>
    <w:rsid w:val="00542396"/>
    <w:rsid w:val="00590F8B"/>
    <w:rsid w:val="005A2F85"/>
    <w:rsid w:val="005A5D64"/>
    <w:rsid w:val="005B30AF"/>
    <w:rsid w:val="005D3E40"/>
    <w:rsid w:val="005D7FBF"/>
    <w:rsid w:val="0064316E"/>
    <w:rsid w:val="00666E84"/>
    <w:rsid w:val="006735AC"/>
    <w:rsid w:val="006E2519"/>
    <w:rsid w:val="006F3B5E"/>
    <w:rsid w:val="00707F5E"/>
    <w:rsid w:val="00711096"/>
    <w:rsid w:val="00731546"/>
    <w:rsid w:val="0079056E"/>
    <w:rsid w:val="0079068F"/>
    <w:rsid w:val="007F5EF1"/>
    <w:rsid w:val="00806276"/>
    <w:rsid w:val="00816A81"/>
    <w:rsid w:val="00823647"/>
    <w:rsid w:val="00856414"/>
    <w:rsid w:val="00867D51"/>
    <w:rsid w:val="00876665"/>
    <w:rsid w:val="00880C6C"/>
    <w:rsid w:val="008834BB"/>
    <w:rsid w:val="008A5F38"/>
    <w:rsid w:val="008C3854"/>
    <w:rsid w:val="008C4774"/>
    <w:rsid w:val="008C4BFE"/>
    <w:rsid w:val="009046FC"/>
    <w:rsid w:val="00913B57"/>
    <w:rsid w:val="009269A9"/>
    <w:rsid w:val="00957E94"/>
    <w:rsid w:val="00995867"/>
    <w:rsid w:val="009C3E85"/>
    <w:rsid w:val="009F709A"/>
    <w:rsid w:val="00A01BC8"/>
    <w:rsid w:val="00A22325"/>
    <w:rsid w:val="00A43E69"/>
    <w:rsid w:val="00A64815"/>
    <w:rsid w:val="00A72328"/>
    <w:rsid w:val="00A85E69"/>
    <w:rsid w:val="00A90F17"/>
    <w:rsid w:val="00A9441E"/>
    <w:rsid w:val="00A94F10"/>
    <w:rsid w:val="00AE5B1E"/>
    <w:rsid w:val="00AE662D"/>
    <w:rsid w:val="00AF155C"/>
    <w:rsid w:val="00B40D7A"/>
    <w:rsid w:val="00B72507"/>
    <w:rsid w:val="00BB2474"/>
    <w:rsid w:val="00BD21D0"/>
    <w:rsid w:val="00BE4303"/>
    <w:rsid w:val="00C102AB"/>
    <w:rsid w:val="00C231DE"/>
    <w:rsid w:val="00C35900"/>
    <w:rsid w:val="00C6667F"/>
    <w:rsid w:val="00C91530"/>
    <w:rsid w:val="00CE6582"/>
    <w:rsid w:val="00CF08F3"/>
    <w:rsid w:val="00CF0AEE"/>
    <w:rsid w:val="00CF2006"/>
    <w:rsid w:val="00D13D8D"/>
    <w:rsid w:val="00D23B0C"/>
    <w:rsid w:val="00D56539"/>
    <w:rsid w:val="00D5714F"/>
    <w:rsid w:val="00D65743"/>
    <w:rsid w:val="00D91A9A"/>
    <w:rsid w:val="00D92FAE"/>
    <w:rsid w:val="00DC0F51"/>
    <w:rsid w:val="00DC483A"/>
    <w:rsid w:val="00DD59AB"/>
    <w:rsid w:val="00DE25DD"/>
    <w:rsid w:val="00DE3D84"/>
    <w:rsid w:val="00E10584"/>
    <w:rsid w:val="00E2128F"/>
    <w:rsid w:val="00E30D57"/>
    <w:rsid w:val="00E326B1"/>
    <w:rsid w:val="00EA0807"/>
    <w:rsid w:val="00EC4136"/>
    <w:rsid w:val="00F068B6"/>
    <w:rsid w:val="00F21760"/>
    <w:rsid w:val="00F40B96"/>
    <w:rsid w:val="00F451AD"/>
    <w:rsid w:val="00F467B3"/>
    <w:rsid w:val="00F539AD"/>
    <w:rsid w:val="00F638A3"/>
    <w:rsid w:val="00F701CA"/>
    <w:rsid w:val="00F961F4"/>
    <w:rsid w:val="00FA2B7D"/>
    <w:rsid w:val="00FB09F6"/>
    <w:rsid w:val="00FD3242"/>
    <w:rsid w:val="00FD34C9"/>
    <w:rsid w:val="00FE1E01"/>
    <w:rsid w:val="00FE2089"/>
    <w:rsid w:val="00FE248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95A6"/>
  <w15:chartTrackingRefBased/>
  <w15:docId w15:val="{C38A7176-2E4A-4A8C-B3D3-CEFDD4AB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76C"/>
  </w:style>
  <w:style w:type="paragraph" w:styleId="Heading1">
    <w:name w:val="heading 1"/>
    <w:basedOn w:val="Normal"/>
    <w:next w:val="Normal"/>
    <w:link w:val="Heading1Char"/>
    <w:uiPriority w:val="9"/>
    <w:qFormat/>
    <w:rsid w:val="001C176C"/>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1C176C"/>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1C176C"/>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1C176C"/>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1C176C"/>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1C176C"/>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1C176C"/>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C176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C176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F08"/>
    <w:pPr>
      <w:ind w:left="720"/>
      <w:contextualSpacing/>
    </w:pPr>
  </w:style>
  <w:style w:type="table" w:styleId="ListTable4-Accent6">
    <w:name w:val="List Table 4 Accent 6"/>
    <w:basedOn w:val="TableNormal"/>
    <w:uiPriority w:val="49"/>
    <w:rsid w:val="00957E9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1C176C"/>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1C176C"/>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1C176C"/>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1C176C"/>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1C176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1C176C"/>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1C176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C176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C176C"/>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1C176C"/>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1C176C"/>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C176C"/>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C176C"/>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C176C"/>
    <w:rPr>
      <w:color w:val="5A5A5A" w:themeColor="text1" w:themeTint="A5"/>
      <w:spacing w:val="15"/>
    </w:rPr>
  </w:style>
  <w:style w:type="character" w:styleId="Strong">
    <w:name w:val="Strong"/>
    <w:basedOn w:val="DefaultParagraphFont"/>
    <w:uiPriority w:val="22"/>
    <w:qFormat/>
    <w:rsid w:val="001C176C"/>
    <w:rPr>
      <w:b/>
      <w:bCs/>
      <w:color w:val="auto"/>
    </w:rPr>
  </w:style>
  <w:style w:type="character" w:styleId="Emphasis">
    <w:name w:val="Emphasis"/>
    <w:basedOn w:val="DefaultParagraphFont"/>
    <w:uiPriority w:val="20"/>
    <w:qFormat/>
    <w:rsid w:val="001C176C"/>
    <w:rPr>
      <w:i/>
      <w:iCs/>
      <w:color w:val="auto"/>
    </w:rPr>
  </w:style>
  <w:style w:type="paragraph" w:styleId="NoSpacing">
    <w:name w:val="No Spacing"/>
    <w:uiPriority w:val="1"/>
    <w:qFormat/>
    <w:rsid w:val="001C176C"/>
    <w:pPr>
      <w:spacing w:after="0" w:line="240" w:lineRule="auto"/>
    </w:pPr>
  </w:style>
  <w:style w:type="paragraph" w:styleId="Quote">
    <w:name w:val="Quote"/>
    <w:basedOn w:val="Normal"/>
    <w:next w:val="Normal"/>
    <w:link w:val="QuoteChar"/>
    <w:uiPriority w:val="29"/>
    <w:qFormat/>
    <w:rsid w:val="001C176C"/>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C176C"/>
    <w:rPr>
      <w:i/>
      <w:iCs/>
      <w:color w:val="404040" w:themeColor="text1" w:themeTint="BF"/>
    </w:rPr>
  </w:style>
  <w:style w:type="paragraph" w:styleId="IntenseQuote">
    <w:name w:val="Intense Quote"/>
    <w:basedOn w:val="Normal"/>
    <w:next w:val="Normal"/>
    <w:link w:val="IntenseQuoteChar"/>
    <w:uiPriority w:val="30"/>
    <w:qFormat/>
    <w:rsid w:val="001C176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C176C"/>
    <w:rPr>
      <w:i/>
      <w:iCs/>
      <w:color w:val="404040" w:themeColor="text1" w:themeTint="BF"/>
    </w:rPr>
  </w:style>
  <w:style w:type="character" w:styleId="SubtleEmphasis">
    <w:name w:val="Subtle Emphasis"/>
    <w:basedOn w:val="DefaultParagraphFont"/>
    <w:uiPriority w:val="19"/>
    <w:qFormat/>
    <w:rsid w:val="001C176C"/>
    <w:rPr>
      <w:i/>
      <w:iCs/>
      <w:color w:val="404040" w:themeColor="text1" w:themeTint="BF"/>
    </w:rPr>
  </w:style>
  <w:style w:type="character" w:styleId="IntenseEmphasis">
    <w:name w:val="Intense Emphasis"/>
    <w:basedOn w:val="DefaultParagraphFont"/>
    <w:uiPriority w:val="21"/>
    <w:qFormat/>
    <w:rsid w:val="001C176C"/>
    <w:rPr>
      <w:b/>
      <w:bCs/>
      <w:i/>
      <w:iCs/>
      <w:color w:val="auto"/>
    </w:rPr>
  </w:style>
  <w:style w:type="character" w:styleId="SubtleReference">
    <w:name w:val="Subtle Reference"/>
    <w:basedOn w:val="DefaultParagraphFont"/>
    <w:uiPriority w:val="31"/>
    <w:qFormat/>
    <w:rsid w:val="001C176C"/>
    <w:rPr>
      <w:smallCaps/>
      <w:color w:val="404040" w:themeColor="text1" w:themeTint="BF"/>
    </w:rPr>
  </w:style>
  <w:style w:type="character" w:styleId="IntenseReference">
    <w:name w:val="Intense Reference"/>
    <w:basedOn w:val="DefaultParagraphFont"/>
    <w:uiPriority w:val="32"/>
    <w:qFormat/>
    <w:rsid w:val="001C176C"/>
    <w:rPr>
      <w:b/>
      <w:bCs/>
      <w:smallCaps/>
      <w:color w:val="404040" w:themeColor="text1" w:themeTint="BF"/>
      <w:spacing w:val="5"/>
    </w:rPr>
  </w:style>
  <w:style w:type="character" w:styleId="BookTitle">
    <w:name w:val="Book Title"/>
    <w:basedOn w:val="DefaultParagraphFont"/>
    <w:uiPriority w:val="33"/>
    <w:qFormat/>
    <w:rsid w:val="001C176C"/>
    <w:rPr>
      <w:b/>
      <w:bCs/>
      <w:i/>
      <w:iCs/>
      <w:spacing w:val="5"/>
    </w:rPr>
  </w:style>
  <w:style w:type="paragraph" w:styleId="TOCHeading">
    <w:name w:val="TOC Heading"/>
    <w:basedOn w:val="Heading1"/>
    <w:next w:val="Normal"/>
    <w:uiPriority w:val="39"/>
    <w:semiHidden/>
    <w:unhideWhenUsed/>
    <w:qFormat/>
    <w:rsid w:val="001C176C"/>
    <w:pPr>
      <w:outlineLvl w:val="9"/>
    </w:pPr>
  </w:style>
  <w:style w:type="character" w:styleId="Hyperlink">
    <w:name w:val="Hyperlink"/>
    <w:basedOn w:val="DefaultParagraphFont"/>
    <w:uiPriority w:val="99"/>
    <w:unhideWhenUsed/>
    <w:rsid w:val="00711096"/>
    <w:rPr>
      <w:color w:val="0563C1" w:themeColor="hyperlink"/>
      <w:u w:val="single"/>
    </w:rPr>
  </w:style>
  <w:style w:type="paragraph" w:customStyle="1" w:styleId="subheading">
    <w:name w:val="subheading"/>
    <w:basedOn w:val="Normal"/>
    <w:rsid w:val="00477B38"/>
    <w:pPr>
      <w:spacing w:before="120" w:after="120" w:line="220" w:lineRule="exact"/>
      <w:jc w:val="both"/>
    </w:pPr>
    <w:rPr>
      <w:rFonts w:ascii="TimesNewRoman-Bold" w:eastAsia="PMingLiU" w:hAnsi="TimesNewRoman-Bold" w:cs="TimesNewRoman-Bold"/>
      <w:color w:val="000000"/>
      <w:sz w:val="20"/>
      <w:szCs w:val="20"/>
      <w:lang w:val="de-DE"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24DF0A9-E19F-424F-9FAC-62BFB282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Trupti Sudge</cp:lastModifiedBy>
  <cp:revision>2</cp:revision>
  <dcterms:created xsi:type="dcterms:W3CDTF">2023-05-23T21:18:00Z</dcterms:created>
  <dcterms:modified xsi:type="dcterms:W3CDTF">2023-05-23T21:18:00Z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http://www.zotero.org/styles/arabian-journal-of-chemistry</vt:lpwstr>
  </property>
  <property fmtid="{D5CDD505-2E9C-101B-9397-08002B2CF9AE}" pid="3" name="Mendeley Recent Style Name 0_1">
    <vt:lpwstr>Arabian Journal of Chemistry</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http://csl.mendeley.com/styles/634826691/farhad-USB-3</vt:lpwstr>
  </property>
  <property fmtid="{D5CDD505-2E9C-101B-9397-08002B2CF9AE}" pid="11" name="Mendeley Recent Style Name 4_1">
    <vt:lpwstr>IEEE - farhad shirzaei</vt:lpwstr>
  </property>
  <property fmtid="{D5CDD505-2E9C-101B-9397-08002B2CF9AE}" pid="12" name="Mendeley Recent Style Id 5_1">
    <vt:lpwstr>http://www.zotero.org/styles/journal-of-molecular-liquids</vt:lpwstr>
  </property>
  <property fmtid="{D5CDD505-2E9C-101B-9397-08002B2CF9AE}" pid="13" name="Mendeley Recent Style Name 5_1">
    <vt:lpwstr>Journal of Molecular Liquids</vt:lpwstr>
  </property>
  <property fmtid="{D5CDD505-2E9C-101B-9397-08002B2CF9AE}" pid="14" name="Mendeley Recent Style Id 6_1">
    <vt:lpwstr>http://www.zotero.org/styles/journal-of-molecular-structure</vt:lpwstr>
  </property>
  <property fmtid="{D5CDD505-2E9C-101B-9397-08002B2CF9AE}" pid="15" name="Mendeley Recent Style Name 6_1">
    <vt:lpwstr>Journal of Molecular Structure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http://www.zotero.org/styles/research-on-chemical-intermediates</vt:lpwstr>
  </property>
  <property fmtid="{D5CDD505-2E9C-101B-9397-08002B2CF9AE}" pid="21" name="Mendeley Recent Style Name 9_1">
    <vt:lpwstr>Research on Chemical Intermediates</vt:lpwstr>
  </property>
  <property fmtid="{D5CDD505-2E9C-101B-9397-08002B2CF9AE}" pid="22" name="Mendeley Document_1">
    <vt:lpwstr>True</vt:lpwstr>
  </property>
  <property fmtid="{D5CDD505-2E9C-101B-9397-08002B2CF9AE}" pid="23" name="Mendeley Unique User Id_1">
    <vt:lpwstr>a0a500d6-68c0-3490-be94-653d9bb31363</vt:lpwstr>
  </property>
  <property fmtid="{D5CDD505-2E9C-101B-9397-08002B2CF9AE}" pid="24" name="Mendeley Citation Style_1">
    <vt:lpwstr>http://www.zotero.org/styles/research-on-chemical-intermediates</vt:lpwstr>
  </property>
</Properties>
</file>