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Table 2 Characteristics of NSCLC patients with major, complete, and non-majorpathological response to neoadjuvant immunotherapy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600"/>
        <w:gridCol w:w="1014"/>
        <w:gridCol w:w="2367"/>
        <w:gridCol w:w="1091"/>
        <w:gridCol w:w="6557"/>
        <w:gridCol w:w="158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Cases</w:t>
            </w:r>
          </w:p>
        </w:tc>
        <w:tc>
          <w:tcPr>
            <w:tcW w:w="6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101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Ge</w:t>
            </w:r>
            <w:bookmarkStart w:id="6" w:name="_GoBack"/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nder</w:t>
            </w:r>
            <w:bookmarkEnd w:id="6"/>
          </w:p>
        </w:tc>
        <w:tc>
          <w:tcPr>
            <w:tcW w:w="23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Histology</w:t>
            </w:r>
          </w:p>
        </w:tc>
        <w:tc>
          <w:tcPr>
            <w:tcW w:w="10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Stage</w:t>
            </w:r>
          </w:p>
        </w:tc>
        <w:tc>
          <w:tcPr>
            <w:tcW w:w="655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Neoadjuvant chemoimmunotherapy regime</w:t>
            </w:r>
          </w:p>
        </w:tc>
        <w:tc>
          <w:tcPr>
            <w:tcW w:w="15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Pathological response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6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01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236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Squamous</w:t>
            </w:r>
          </w:p>
        </w:tc>
        <w:tc>
          <w:tcPr>
            <w:tcW w:w="109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bookmarkStart w:id="0" w:name="OLE_LINK6"/>
            <w:bookmarkStart w:id="1" w:name="OLE_LINK1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Ⅰ</w:t>
            </w:r>
            <w:bookmarkEnd w:id="0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</w:t>
            </w:r>
            <w:bookmarkEnd w:id="1"/>
          </w:p>
        </w:tc>
        <w:tc>
          <w:tcPr>
            <w:tcW w:w="655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Pembrolizumab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nab-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paclitaxel</w:t>
            </w:r>
          </w:p>
        </w:tc>
        <w:tc>
          <w:tcPr>
            <w:tcW w:w="158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CPR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Squamous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ⅢA</w:t>
            </w:r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Tislelizumab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nab-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paclitaxel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+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Carboplatin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CPR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arcinosarcoma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ⅢA</w:t>
            </w:r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Pembrolizumab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nab-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paclitaxel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+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Nedaplatin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CPR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mall cell carcinoma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ⅢB</w:t>
            </w:r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Tislelizumab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Etoposide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+ Cisplatin 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Non-MPR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Squamous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Ⅰ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  <w:lang w:bidi="ar"/>
              </w:rPr>
            </w:pPr>
            <w:bookmarkStart w:id="2" w:name="OLE_LINK3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Peamplimab</w:t>
            </w:r>
            <w:bookmarkEnd w:id="2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nab-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paclitaxel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+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Nedaplatin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CPR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Squamous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ⅢA</w:t>
            </w:r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Tislelizumab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nab-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paclitaxel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+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Carboplatin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Non-MPR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Squamous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ⅢA</w:t>
            </w:r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Tislelizumab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nab-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paclitaxel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+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Cisplatin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CPR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Squamous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Ⅲ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B</w:t>
            </w:r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Peamplimab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nab-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paclitaxel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+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Cisplatin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MPR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Squamous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bookmarkStart w:id="3" w:name="OLE_LINK5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Ⅱ</w:t>
            </w:r>
            <w:bookmarkEnd w:id="3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Sintilimab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paclitaxel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+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Cisplatin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Non-MPR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Squamous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ⅢA</w:t>
            </w:r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Sintilimab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paclitaxel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+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Cisplatin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CPR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Female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Adenocarcinoma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bookmarkStart w:id="4" w:name="OLE_LINK2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ⅢB</w:t>
            </w:r>
            <w:bookmarkEnd w:id="4"/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Sintilimab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paclitaxel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+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Carboplatin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Non-MPR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Female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Squamous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ⅢA</w:t>
            </w:r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Sintilimab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paclitaxel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+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Carboplatin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CPR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Squamous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ⅢA</w:t>
            </w:r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Pembrolizumab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bookmarkStart w:id="5" w:name="OLE_LINK4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nab-</w:t>
            </w:r>
            <w:bookmarkEnd w:id="5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paclitaxel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+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is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platin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MPR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236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Squamous</w:t>
            </w:r>
          </w:p>
        </w:tc>
        <w:tc>
          <w:tcPr>
            <w:tcW w:w="1091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ⅢB</w:t>
            </w:r>
          </w:p>
        </w:tc>
        <w:tc>
          <w:tcPr>
            <w:tcW w:w="655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Pembrolizumab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combined with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Docetaxel + Cisplatin </w:t>
            </w:r>
          </w:p>
        </w:tc>
        <w:tc>
          <w:tcPr>
            <w:tcW w:w="1583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CPR</w:t>
            </w:r>
          </w:p>
        </w:tc>
      </w:tr>
    </w:tbl>
    <w:p>
      <w:pPr>
        <w:widowControl/>
        <w:jc w:val="both"/>
        <w:textAlignment w:val="center"/>
        <w:rPr>
          <w:rFonts w:hint="default" w:ascii="Times New Roman" w:hAnsi="Times New Roman" w:eastAsia="宋体" w:cs="Times New Roman"/>
          <w:color w:val="000000"/>
          <w:kern w:val="0"/>
          <w:sz w:val="22"/>
          <w:szCs w:val="22"/>
          <w:lang w:bidi="ar"/>
        </w:rPr>
      </w:pPr>
    </w:p>
    <w:sectPr>
      <w:pgSz w:w="16838" w:h="11906" w:orient="landscape"/>
      <w:pgMar w:top="1406" w:right="1157" w:bottom="1406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yMWE0ZTRlYjQ3NTg1NGYzMjc0Njc5NGIxM2ZlZjIifQ=="/>
  </w:docVars>
  <w:rsids>
    <w:rsidRoot w:val="001F6C7D"/>
    <w:rsid w:val="001F6C7D"/>
    <w:rsid w:val="002669B2"/>
    <w:rsid w:val="0062493D"/>
    <w:rsid w:val="00B024F8"/>
    <w:rsid w:val="00BB3D86"/>
    <w:rsid w:val="00E36DCC"/>
    <w:rsid w:val="00FA20D9"/>
    <w:rsid w:val="019F1D7A"/>
    <w:rsid w:val="01C74429"/>
    <w:rsid w:val="06961D95"/>
    <w:rsid w:val="0D63418C"/>
    <w:rsid w:val="17796888"/>
    <w:rsid w:val="193A14C2"/>
    <w:rsid w:val="25262805"/>
    <w:rsid w:val="2D0B213D"/>
    <w:rsid w:val="32002EBC"/>
    <w:rsid w:val="327306FD"/>
    <w:rsid w:val="340842AA"/>
    <w:rsid w:val="37C82A9F"/>
    <w:rsid w:val="3B11571F"/>
    <w:rsid w:val="3CD979CA"/>
    <w:rsid w:val="406931F7"/>
    <w:rsid w:val="44F73799"/>
    <w:rsid w:val="4DB51E84"/>
    <w:rsid w:val="4F5D6DF6"/>
    <w:rsid w:val="4FDD44F8"/>
    <w:rsid w:val="505A5A36"/>
    <w:rsid w:val="5765128E"/>
    <w:rsid w:val="61B81F31"/>
    <w:rsid w:val="624F58E0"/>
    <w:rsid w:val="62F42AEA"/>
    <w:rsid w:val="689F3365"/>
    <w:rsid w:val="6E0B0332"/>
    <w:rsid w:val="6F0E20EA"/>
    <w:rsid w:val="71355C00"/>
    <w:rsid w:val="74CF5B0F"/>
    <w:rsid w:val="75AD19B3"/>
    <w:rsid w:val="77995C9A"/>
    <w:rsid w:val="791C4BD4"/>
    <w:rsid w:val="7A7B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1161</Characters>
  <Lines>7</Lines>
  <Paragraphs>2</Paragraphs>
  <TotalTime>3</TotalTime>
  <ScaleCrop>false</ScaleCrop>
  <LinksUpToDate>false</LinksUpToDate>
  <CharactersWithSpaces>1254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2023-05-06T12:19:00Z</dcterms:created>
  <dc:creator>Jessica</dc:creator>
  <cp:lastModifiedBy>Serendipity</cp:lastModifiedBy>
  <dcterms:modified xsi:type="dcterms:W3CDTF">2023-05-21T03:20:25Z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C43AF16BA3B9499CA934BAC9D316B6DF_12</vt:lpwstr>
  </property>
</Properties>
</file>