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D2B936" w14:textId="77777777" w:rsidR="00882A95" w:rsidRPr="00D5124E" w:rsidRDefault="00882A95" w:rsidP="00882A95">
      <w:pPr>
        <w:tabs>
          <w:tab w:val="left" w:pos="7438"/>
        </w:tabs>
        <w:spacing w:line="480" w:lineRule="auto"/>
        <w:ind w:right="36"/>
        <w:jc w:val="both"/>
      </w:pPr>
      <w:r w:rsidRPr="00D5124E">
        <w:rPr>
          <w:b/>
          <w:bCs/>
        </w:rPr>
        <w:t>Table 1. Unconjugated and conjugated antibodies (with fluorescein isothiocyanate (FITC) or phycoerythrin (PE)) employed for the current study</w:t>
      </w:r>
    </w:p>
    <w:p w14:paraId="1A1834D8" w14:textId="77777777" w:rsidR="00882A95" w:rsidRPr="00D5124E" w:rsidRDefault="00882A95" w:rsidP="00882A95">
      <w:pPr>
        <w:tabs>
          <w:tab w:val="left" w:pos="7438"/>
        </w:tabs>
        <w:spacing w:line="480" w:lineRule="auto"/>
        <w:ind w:right="36"/>
        <w:jc w:val="both"/>
      </w:pPr>
      <w:r w:rsidRPr="00D5124E">
        <w:rPr>
          <w:noProof/>
        </w:rPr>
        <w:drawing>
          <wp:anchor distT="0" distB="0" distL="114300" distR="114300" simplePos="0" relativeHeight="251659264" behindDoc="0" locked="0" layoutInCell="1" allowOverlap="1" wp14:anchorId="1176A3E2" wp14:editId="0F79DF49">
            <wp:simplePos x="0" y="0"/>
            <wp:positionH relativeFrom="margin">
              <wp:posOffset>-62865</wp:posOffset>
            </wp:positionH>
            <wp:positionV relativeFrom="paragraph">
              <wp:posOffset>537267</wp:posOffset>
            </wp:positionV>
            <wp:extent cx="6164580" cy="4094480"/>
            <wp:effectExtent l="0" t="0" r="7620" b="127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580" cy="409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B00F59" w14:textId="77777777" w:rsidR="00882A95" w:rsidRPr="00D5124E" w:rsidRDefault="00882A95" w:rsidP="00882A95">
      <w:pPr>
        <w:spacing w:line="480" w:lineRule="auto"/>
        <w:ind w:right="36"/>
        <w:jc w:val="both"/>
      </w:pPr>
    </w:p>
    <w:p w14:paraId="56498ABE" w14:textId="77777777" w:rsidR="00882A95" w:rsidRPr="00D5124E" w:rsidRDefault="00882A95" w:rsidP="00882A95">
      <w:pPr>
        <w:spacing w:line="480" w:lineRule="auto"/>
        <w:ind w:right="36"/>
        <w:jc w:val="both"/>
      </w:pPr>
    </w:p>
    <w:p w14:paraId="5E5C8AD1" w14:textId="77777777" w:rsidR="00882A95" w:rsidRPr="00D5124E" w:rsidRDefault="00882A95" w:rsidP="00882A95">
      <w:pPr>
        <w:spacing w:line="480" w:lineRule="auto"/>
        <w:ind w:right="36"/>
        <w:jc w:val="both"/>
      </w:pPr>
    </w:p>
    <w:p w14:paraId="1F464E11" w14:textId="77777777" w:rsidR="00882A95" w:rsidRPr="00D5124E" w:rsidRDefault="00882A95" w:rsidP="00882A95">
      <w:pPr>
        <w:spacing w:line="480" w:lineRule="auto"/>
        <w:ind w:right="36"/>
        <w:jc w:val="both"/>
      </w:pPr>
    </w:p>
    <w:p w14:paraId="672DA95B" w14:textId="77777777" w:rsidR="00882A95" w:rsidRPr="00D5124E" w:rsidRDefault="00882A95" w:rsidP="00882A95">
      <w:pPr>
        <w:spacing w:line="480" w:lineRule="auto"/>
        <w:ind w:right="36"/>
        <w:jc w:val="both"/>
      </w:pPr>
    </w:p>
    <w:p w14:paraId="5DC6F753" w14:textId="77777777" w:rsidR="00882A95" w:rsidRPr="00D5124E" w:rsidRDefault="00882A95" w:rsidP="00882A95">
      <w:pPr>
        <w:spacing w:line="480" w:lineRule="auto"/>
        <w:ind w:right="36"/>
        <w:jc w:val="both"/>
      </w:pPr>
    </w:p>
    <w:p w14:paraId="350B213E" w14:textId="77777777" w:rsidR="00882A95" w:rsidRPr="00D5124E" w:rsidRDefault="00882A95" w:rsidP="00882A95">
      <w:pPr>
        <w:spacing w:line="480" w:lineRule="auto"/>
        <w:ind w:right="36"/>
        <w:jc w:val="both"/>
      </w:pPr>
    </w:p>
    <w:p w14:paraId="07070531" w14:textId="77777777" w:rsidR="00882A95" w:rsidRPr="00D5124E" w:rsidRDefault="00882A95" w:rsidP="00882A95">
      <w:pPr>
        <w:spacing w:line="480" w:lineRule="auto"/>
        <w:ind w:right="36"/>
        <w:jc w:val="both"/>
      </w:pPr>
    </w:p>
    <w:p w14:paraId="335EEF16" w14:textId="77777777" w:rsidR="00882A95" w:rsidRPr="00D5124E" w:rsidRDefault="00882A95" w:rsidP="00882A95">
      <w:pPr>
        <w:spacing w:line="480" w:lineRule="auto"/>
        <w:ind w:right="36"/>
        <w:jc w:val="both"/>
      </w:pPr>
    </w:p>
    <w:p w14:paraId="5C06E101" w14:textId="77777777" w:rsidR="00882A95" w:rsidRPr="00D5124E" w:rsidRDefault="00882A95" w:rsidP="00882A95">
      <w:pPr>
        <w:tabs>
          <w:tab w:val="left" w:pos="2147"/>
        </w:tabs>
        <w:spacing w:line="480" w:lineRule="auto"/>
        <w:ind w:right="36"/>
        <w:jc w:val="both"/>
        <w:rPr>
          <w:b/>
          <w:bCs/>
        </w:rPr>
      </w:pPr>
      <w:r w:rsidRPr="00D5124E">
        <w:rPr>
          <w:b/>
          <w:bCs/>
        </w:rPr>
        <w:lastRenderedPageBreak/>
        <w:t>Table 2. Studied genes and respective primers employed for quantitative real-time PCR (qPCR) analysis</w:t>
      </w:r>
    </w:p>
    <w:p w14:paraId="0EF2BE2E" w14:textId="77777777" w:rsidR="00882A95" w:rsidRPr="007F138B" w:rsidRDefault="00882A95" w:rsidP="00882A95">
      <w:pPr>
        <w:tabs>
          <w:tab w:val="left" w:pos="2147"/>
        </w:tabs>
        <w:spacing w:line="480" w:lineRule="auto"/>
        <w:ind w:right="36"/>
        <w:jc w:val="both"/>
        <w:rPr>
          <w:b/>
          <w:bCs/>
        </w:rPr>
      </w:pPr>
      <w:r w:rsidRPr="00D5124E">
        <w:rPr>
          <w:noProof/>
        </w:rPr>
        <w:drawing>
          <wp:anchor distT="0" distB="0" distL="114300" distR="114300" simplePos="0" relativeHeight="251660288" behindDoc="0" locked="0" layoutInCell="1" allowOverlap="1" wp14:anchorId="5177A040" wp14:editId="754BA1F2">
            <wp:simplePos x="0" y="0"/>
            <wp:positionH relativeFrom="margin">
              <wp:posOffset>0</wp:posOffset>
            </wp:positionH>
            <wp:positionV relativeFrom="paragraph">
              <wp:posOffset>41626</wp:posOffset>
            </wp:positionV>
            <wp:extent cx="5836920" cy="3971290"/>
            <wp:effectExtent l="0" t="0" r="0" b="0"/>
            <wp:wrapSquare wrapText="bothSides"/>
            <wp:docPr id="11" name="Picture 11" descr="A picture containing black, darkn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black, darkne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920" cy="3971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CA31CF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A95"/>
    <w:rsid w:val="00882A9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5B258"/>
  <w15:chartTrackingRefBased/>
  <w15:docId w15:val="{5D4388F9-9606-456A-95A4-E29E18EF5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A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220</Characters>
  <Application>Microsoft Office Word</Application>
  <DocSecurity>0</DocSecurity>
  <Lines>1</Lines>
  <Paragraphs>1</Paragraphs>
  <ScaleCrop>false</ScaleCrop>
  <Company>Springer Nature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2023-08-09T10:32:00Z</dcterms:created>
  <dcterms:modified xsi:type="dcterms:W3CDTF">2023-08-09T10:32:00Z</dcterms:modified>
</cp:coreProperties>
</file>