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E675" w14:textId="77777777" w:rsidR="000B7DD7" w:rsidRPr="002011B4" w:rsidRDefault="00307EFE">
      <w:pPr>
        <w:rPr>
          <w:rFonts w:ascii="Times New Roman" w:eastAsia="Times New Roman" w:hAnsi="Times New Roman" w:cs="Times New Roman"/>
          <w:b/>
          <w:sz w:val="24"/>
          <w:szCs w:val="24"/>
        </w:rPr>
      </w:pPr>
      <w:bookmarkStart w:id="0" w:name="_Hlk129953936"/>
      <w:bookmarkEnd w:id="0"/>
      <w:r w:rsidRPr="002011B4">
        <w:rPr>
          <w:rFonts w:ascii="Times New Roman" w:eastAsia="Times New Roman" w:hAnsi="Times New Roman" w:cs="Times New Roman"/>
          <w:b/>
          <w:sz w:val="24"/>
          <w:szCs w:val="24"/>
        </w:rPr>
        <w:t>Supplement</w:t>
      </w:r>
    </w:p>
    <w:p w14:paraId="6FA4E676" w14:textId="77777777" w:rsidR="000B7DD7" w:rsidRPr="002011B4" w:rsidRDefault="000B7DD7">
      <w:pPr>
        <w:rPr>
          <w:rFonts w:ascii="Times New Roman" w:eastAsia="Times New Roman" w:hAnsi="Times New Roman" w:cs="Times New Roman"/>
          <w:b/>
          <w:sz w:val="20"/>
          <w:szCs w:val="20"/>
        </w:rPr>
      </w:pPr>
    </w:p>
    <w:p w14:paraId="6FA4E677" w14:textId="77777777" w:rsidR="000B7DD7" w:rsidRPr="00C715B5" w:rsidRDefault="00307EFE">
      <w:pPr>
        <w:rPr>
          <w:rFonts w:ascii="Times New Roman" w:eastAsia="Times New Roman" w:hAnsi="Times New Roman" w:cs="Times New Roman"/>
          <w:b/>
          <w:bCs/>
          <w:iCs/>
          <w:sz w:val="20"/>
          <w:szCs w:val="20"/>
        </w:rPr>
      </w:pPr>
      <w:r w:rsidRPr="00C715B5">
        <w:rPr>
          <w:rFonts w:ascii="Times New Roman" w:eastAsia="Times New Roman" w:hAnsi="Times New Roman" w:cs="Times New Roman"/>
          <w:b/>
          <w:bCs/>
          <w:iCs/>
          <w:sz w:val="20"/>
          <w:szCs w:val="20"/>
        </w:rPr>
        <w:t>Sensitivity Analysis of Malaria Transmission Intensity</w:t>
      </w:r>
    </w:p>
    <w:p w14:paraId="6FA4E678" w14:textId="13862DE2" w:rsidR="000B7DD7" w:rsidRPr="002011B4" w:rsidRDefault="00307EFE">
      <w:pPr>
        <w:rPr>
          <w:rFonts w:ascii="Times New Roman" w:eastAsia="Times New Roman" w:hAnsi="Times New Roman" w:cs="Times New Roman"/>
          <w:sz w:val="20"/>
          <w:szCs w:val="20"/>
          <w:highlight w:val="white"/>
        </w:rPr>
      </w:pPr>
      <w:r w:rsidRPr="002011B4">
        <w:rPr>
          <w:rFonts w:ascii="Times New Roman" w:eastAsia="Times New Roman" w:hAnsi="Times New Roman" w:cs="Times New Roman"/>
          <w:sz w:val="20"/>
          <w:szCs w:val="20"/>
        </w:rPr>
        <w:t xml:space="preserve">To assess the robustness of our predicted Malaria Transmission Intensity (MTI) estimates, we compared our estimates with publicly available data on malaria incidence from the Malaria Atlas Project (MAP) using the </w:t>
      </w:r>
      <w:proofErr w:type="spellStart"/>
      <w:r w:rsidRPr="002011B4">
        <w:rPr>
          <w:rFonts w:ascii="Times New Roman" w:eastAsia="Times New Roman" w:hAnsi="Times New Roman" w:cs="Times New Roman"/>
          <w:sz w:val="20"/>
          <w:szCs w:val="20"/>
        </w:rPr>
        <w:t>malariaAtlas</w:t>
      </w:r>
      <w:proofErr w:type="spellEnd"/>
      <w:r w:rsidRPr="002011B4">
        <w:rPr>
          <w:rFonts w:ascii="Times New Roman" w:eastAsia="Times New Roman" w:hAnsi="Times New Roman" w:cs="Times New Roman"/>
          <w:sz w:val="20"/>
          <w:szCs w:val="20"/>
        </w:rPr>
        <w:t xml:space="preserve"> package in R</w:t>
      </w:r>
      <w:r w:rsidR="00D335D5" w:rsidRPr="002011B4">
        <w:rPr>
          <w:rFonts w:ascii="Times New Roman" w:eastAsia="Times New Roman" w:hAnsi="Times New Roman" w:cs="Times New Roman"/>
          <w:sz w:val="20"/>
          <w:szCs w:val="20"/>
        </w:rPr>
        <w:t>.</w:t>
      </w:r>
      <w:r w:rsidR="00C715B5" w:rsidRPr="002011B4">
        <w:rPr>
          <w:rFonts w:ascii="Times New Roman" w:hAnsi="Times New Roman" w:cs="Times New Roman"/>
          <w:sz w:val="20"/>
          <w:szCs w:val="20"/>
        </w:rPr>
        <w:fldChar w:fldCharType="begin" w:fldLock="1"/>
      </w:r>
      <w:r w:rsidR="00486E00" w:rsidRPr="002011B4">
        <w:rPr>
          <w:rFonts w:ascii="Times New Roman" w:hAnsi="Times New Roman" w:cs="Times New Roman"/>
          <w:sz w:val="20"/>
          <w:szCs w:val="20"/>
        </w:rPr>
        <w:instrText>ADDIN paperpile_citation &lt;clusterId&gt;C595P652L942J656&lt;/clusterId&gt;&lt;metadata&gt;&lt;citation&gt;&lt;id&gt;9D2758B080BD11ED86E93E84945E4932&lt;/id&gt;&lt;/citation&gt;&lt;/metadata&gt;&lt;data&gt;eJzFWGtv2zoS/SuEP3TvArYjye8UxW78aJvmCSdB76K4KGiKstlQokFKdr1F//ueoexaVrq9dz9tACPymDwcnjnDGfHTt8ZnFTfOG6NpNOgNx8EwGE/DcDYd9mejzmzYHXV7s+6oEzWajbhYf3YrHmK04L3hgAdBbzAIwyTuhoJ3R7IX9BaJjIb4aTAUchF2MUs5V0hMCfH8LHdbY2OHrzdcc6v4a1Y+mFTmVgkW8xy2u7XMWlwI6dxrds8tdyqXzPJcvmZztubimS8l8AqrG+efGqs8X5+fncVf27FRbWOXZ2HQDsNh/8yF0ajTbwXhsBX1gqDVwyQa7TB8u922M7FQ7Uyn7Uyt2kuzOVsXi1TGZ50gGgXD8M+Hp+KM21wJLd3Z/c2kHw46w0G/Mi0t9/nFFDbjur2gncZCZrnFN2HS4/S/4vOfoglTZLm0Z+s4+QXgHwimURSUX6wJKrRyKwl1fGukJstXfgIJge/wSGN2kls8RpjY+N5s5CrXFOu9mxe55u6c8QxBU+RWwoVkuWFLbRZcs/RF6NnKuFzGbLFj+UrutcGZB2L31nyRIseyfOGwYzyeN8YXk6t387un2+k5e/xvU9hvNxf3f2crWKC/ZywAJ7hzMl1oCf9iuAIH8WH84Jw5atC7tuBOMpMwt+a5+rnzibHMbKQFSCwFj2UbLqlyOs3LHNvQnMLR0JTnzq+dm7USrgmKhC5ilS3P2VKaljaCExeusBu5c7T2nldkwElK7D3mcaoyRczkaiPZAlKIud0x5OxaJgoae+3XOwzHo5VLZaAkAIF362BYW+kgKLjhQxAToFoUOcZVXaDZYNAI5Z1UWmdgSmIbC21MTPOQ6YBs+qE+/BvCBYwgkpDBbYaw+KhYSSLWOzxoCaJjVpVQs5TQPu/Z2pqNIp6IZ2UpvifqAujfAGngcyb1rlWsY+/jy4hRTN2eCAcpixXDrHWRO7g2e3x/N31gF7dTNp89PF0/PpQKE4W1cBburBFqKzdKbp3nKikykXs+Vb5jfMOV5iQwyKq6Hb/gSi1XGh9oQOEDX/0kktBBYXKtYpkqo81SCR8wrndOVZXQPgWWGa0HNEexBBWJlWCAxWabacPjJtsoV8A9V6q+RJS/yMetyldwf95mk3LburoxPyTfrbFkKV55/nON+tU2iBRliCgZRLDWBoHbn/muWGS8ZO8vK5kzrAVFuIIWAi0HGXuFHRSCR0duZEs/ptweaU57WYCmg88HFdRoBeUraSXRSkpm+RZTjHg+8OepRgYU3mOJQ2wLPRwSP+U7tiARCGPXxpbpktEBxFzOaWMxxE3nUqIxsaqAQ8TB/t3t5Prp4fLu9uH8hXNee8q6/OTQmrdOsuJlcJsnmZTJ7T4TYI0LoSjAqaRDC6SVmDTSFciSqjb4QWVHXRAOqhGKBsyeNew0R0C9jp1J8i0HnzLbKGuyFLJqs8us5GzLd02/o5NdHnKfq9SzLVCP/LHk90bDK2DkMHnYgl68CvaeVlCPCU9+Fhlyr02FJYG6lJfhsUc5rSVNNlZLNiUCLjPsKIcPTXZbYKbUMZtKCD8/eHEjYyVwCjXZU+Z1SDkO+91XhBnpODfGyY3UOZta/N788cPd7x02ePsvzLtq/7ym/R/8yFUqYl0I7v65RMH0HUebPUCl5N0PL7yE35VHynvJdb5ir9ijpSoHy9GVOVJog7TB4820yaJg2Auw0MNFu+b9ZZZIOlhRN6c4uqgQz45nI+RymeIopoSZGMBBJtcmi03W/PH/Y8TC+3d+F9TZQEnUg3Z61NYmRlOdQiOJtmjfWSWF1hUB7K0YvO9/ZTzoJNFwlMhQdka9rohHkQz7i2jQEaFI4qTficJRHJT9L2kp7A56rWg4oK6JF/nKoG/69K2BY44ynbyZXpAzlMb0hWcII/Mm3yrk1Ic17hOZJKg6fizEkB9t6L9O4B4n0wreo0pNvtqxCZvWIK8pnqwcvUf0pjre9IV3NaAbnHMVEHytQ3yoQHyA4NarGsR7bi2OgA9HlNLySyCZZYr2fwo1N/9WIKoCVVrqUFdV1q84jgicGPIF8Y9bg4rNriq8l6Y63lMF7sm6QvMa0pRru0vXOCWfjlg/jHW4SdW9CbfauBe+vSuktZxNKr6Vphdg1ydgh71e1wNpdihpfvAhlmSpo91UwG7Us6wzBoln7KbCFxl+DSJWaP9qOLfLYidPgEpLHemhgvTAU1UXxHiFJ/ZwhPGGOsqsgjLb8qwGMuGpRJFhsyPM3vQiXaoa3WfzhxraR4nDgU0rGvWWOtS86tTcOPRvqK+zeu6YLaI2r3jmLS/0Pvup3utoYzxAolcVuNJUx3tf5Z2ydec5PtGnWjhw9r7CfWmqY91/rGDdSzQv7GMdS1IlXzI/9ABW2hrfcX4LNILxeHetsmf8sr8YcGJlcJDjjd0stfTvyXvTP1b6jcxeafvmVVakbzrBKwJwb/63G4VnxINCc2gpLspX+vIdmtpj2s7954v54+Xkmhhdp4JM1fsCNE5SnxahQwFqsw9UtcizZ7k7nvj01t2KSedo7yW9h8+6027QfzuZRONJGM4uLsbdKBqPotF09LY7ftvz62TLgm5PUMRI3Ruji9TfzwxoDSu5JzrsD8LeYDgIh+1R0Bl2Q3LaXxRVrkbQ7Zb3A0Gz8Zncu4l7dJUU0V0QJtPfsN9dhIMwjEeDBY/7cRDQRZDDDoUsb566PSm6URC1eoNu0Ar6YdAaye6gFUUh7/cB1BvRlNiI2VesSB0P3Ugo99ZYqZYorgnkI6nSXmbXamHxptA4z23hTdd4i9Y/hniiZtS7YOGlVWiWsi8gXh8bmgOdt9zT8q4cxMYY1Pj+/Y//AKNTZbs=&lt;/data&gt; \* MERGEFORMAT</w:instrText>
      </w:r>
      <w:r w:rsidR="00C715B5" w:rsidRPr="002011B4">
        <w:rPr>
          <w:rFonts w:ascii="Times New Roman" w:hAnsi="Times New Roman" w:cs="Times New Roman"/>
          <w:sz w:val="20"/>
          <w:szCs w:val="20"/>
        </w:rPr>
        <w:fldChar w:fldCharType="separate"/>
      </w:r>
      <w:r w:rsidR="00D335D5" w:rsidRPr="002011B4">
        <w:rPr>
          <w:rFonts w:ascii="Times New Roman" w:eastAsia="Times New Roman" w:hAnsi="Times New Roman" w:cs="Times New Roman"/>
          <w:noProof/>
          <w:color w:val="000000"/>
          <w:sz w:val="20"/>
          <w:szCs w:val="20"/>
          <w:vertAlign w:val="superscript"/>
        </w:rPr>
        <w:t>1</w:t>
      </w:r>
      <w:r w:rsidR="00C715B5" w:rsidRPr="002011B4">
        <w:rPr>
          <w:rFonts w:ascii="Times New Roman" w:eastAsia="Times New Roman" w:hAnsi="Times New Roman" w:cs="Times New Roman"/>
          <w:color w:val="000000"/>
          <w:sz w:val="20"/>
          <w:szCs w:val="20"/>
        </w:rPr>
        <w:fldChar w:fldCharType="end"/>
      </w:r>
      <w:r w:rsidRPr="002011B4">
        <w:rPr>
          <w:rFonts w:ascii="Times New Roman" w:eastAsia="Times New Roman" w:hAnsi="Times New Roman" w:cs="Times New Roman"/>
          <w:sz w:val="20"/>
          <w:szCs w:val="20"/>
        </w:rPr>
        <w:t xml:space="preserve"> MAP is a widely used data platform that combines malaria data from Demographic Health Surveys (DHS), Malaria Indicator Cluster Surveys (MICS), government reports, and researcher contributions with cutting-edge geospatial modeling to provide global estimates of malaria risk and burden at a spatial resolution of 5km by 5km</w:t>
      </w:r>
      <w:r w:rsidR="00D335D5" w:rsidRPr="002011B4">
        <w:rPr>
          <w:rFonts w:ascii="Times New Roman" w:eastAsia="Times New Roman" w:hAnsi="Times New Roman" w:cs="Times New Roman"/>
          <w:sz w:val="20"/>
          <w:szCs w:val="20"/>
        </w:rPr>
        <w:t>.</w:t>
      </w:r>
      <w:r w:rsidR="00C715B5" w:rsidRPr="002011B4">
        <w:rPr>
          <w:rFonts w:ascii="Times New Roman" w:hAnsi="Times New Roman" w:cs="Times New Roman"/>
          <w:sz w:val="20"/>
          <w:szCs w:val="20"/>
        </w:rPr>
        <w:fldChar w:fldCharType="begin" w:fldLock="1"/>
      </w:r>
      <w:r w:rsidR="00486E00" w:rsidRPr="002011B4">
        <w:rPr>
          <w:rFonts w:ascii="Times New Roman" w:hAnsi="Times New Roman" w:cs="Times New Roman"/>
          <w:sz w:val="20"/>
          <w:szCs w:val="20"/>
        </w:rPr>
        <w:instrText>ADDIN paperpile_citation &lt;clusterId&gt;Y649L799H181F811&lt;/clusterId&gt;&lt;metadata&gt;&lt;citation&gt;&lt;id&gt;B60F848880BD11ED8C493E84945E4932&lt;/id&gt;&lt;/citation&gt;&lt;/metadata&gt;&lt;data&gt;eJyVVV1P3DoQ/StWHnhis4nzjbRq2WWh6EKFoFIfUIUc20kMjh3ZTiFF/Pc7zu5W9OqqVaV9sGfPfPicmcn9a/AgWHASrPPovEzLsozWZ3G8PSs3aZVsy7RKsy2ccHAcsHF4sB2JAU0YLVhccM7jqsBZHOGEFWnBSBNVMUuapk5ywnAMXsLakYNL7EOMRgYn90Hn3HCyXLKXkGkRatMu4yiMkyJePurRKCLDoecsjKIkSosE/LyDBY/n5+dQ0VqESvahEl3Y6u/LYawBvYyLOC3SvPgjvKdLYpygktvlzfUmLnIcZdU7t30RNhyktnN5/gA5BBWKH5yXjZD8g2Cr39V+5KaBrwYjlCO15H+d5E/xg2+gixae398zCCRJYTsOWr8GvVauO2gycWLgjKMoD95mvdQDkc7/naXVIs6LHFBOOOll/NJx1BNJjCDo1Eli0Y3Rj5y6E8T4dy71IFSLWqlrIgE4WKSbnw5G2CeIRWrrDKFuHw7Y6YmZUKvBBdAObIZTrpyckCSjolA2uv6/pEhY5PQh8+xpqeCK8vdpKZCpW0OGbgp9+gaUE8QJraCCQ9wbTxBFnzi8vUNEMbQdBOO90FK3E7owehyO0QaqMhw12qALvosJTtd71Y7RP1xNZHeHx9xyC+TS7lJZ4G90APhMhNG12CNDZAWIEXZk+vhD61C/hISGoydpIC23UB/f6ddoybgBwz0ovte4GSWMU3Bzpe/QoXEAup/RNC6qJqmLumAU86jCVcU4iaKMZnGW4ajkpMS0xrsZVT/1xoUfITK6TkNf3L8GQgknoFMBcXfpSxHGeu3ufOlotmjTE+d8cwWfyIRmGMjkdndoq1+i3H59F+VW19w49PU/Ye6UfkYzcB/HG4I3eDwVgFhPV0I9gXm/SiztNOgIA65byUOq+4PpQydXXB1JszpSY79KoiMfwK7+egc9CeULO2iKTncTupstP+ZeipuH09svl5urrTf31JvebxhJai5/FfEgIPSMb05f3BOfdsT5mVzAyjwO9LPifkq36Vka5eebDV5vYE2fnq5TjNeg7Vl1nq7PszmHakdoHt87Cu7ftRx7f/OPoIaTmWAY6zgrygKnYZVjjEtf7/wleLdHYUp3KyM6Dh58ZdcsA0RZFlncsDLmTdpQkuGMFRGp0zJnWZkxv/UtPI7y3aelSjj8MFkkRZ4soppVi5I39SLJ6rxOMMmiytfNNN2+QMYz4ohfUsKea8NFC53ZQN9w36aX6krUBpZFcOLMOJuuNPUk7iEzT9ueCM9rawSMunoEzuXH1ht9YxzY/ExmVi52ILQGUPD29u1f/CU9rA==&lt;/data&gt; \* MERGEFORMAT</w:instrText>
      </w:r>
      <w:r w:rsidR="00C715B5" w:rsidRPr="002011B4">
        <w:rPr>
          <w:rFonts w:ascii="Times New Roman" w:hAnsi="Times New Roman" w:cs="Times New Roman"/>
          <w:sz w:val="20"/>
          <w:szCs w:val="20"/>
        </w:rPr>
        <w:fldChar w:fldCharType="separate"/>
      </w:r>
      <w:r w:rsidR="00D335D5" w:rsidRPr="002011B4">
        <w:rPr>
          <w:rFonts w:ascii="Times New Roman" w:eastAsia="Times New Roman" w:hAnsi="Times New Roman" w:cs="Times New Roman"/>
          <w:noProof/>
          <w:color w:val="000000"/>
          <w:sz w:val="20"/>
          <w:szCs w:val="20"/>
          <w:vertAlign w:val="superscript"/>
        </w:rPr>
        <w:t>2</w:t>
      </w:r>
      <w:r w:rsidR="00C715B5" w:rsidRPr="002011B4">
        <w:rPr>
          <w:rFonts w:ascii="Times New Roman" w:eastAsia="Times New Roman" w:hAnsi="Times New Roman" w:cs="Times New Roman"/>
          <w:color w:val="000000"/>
          <w:sz w:val="20"/>
          <w:szCs w:val="20"/>
        </w:rPr>
        <w:fldChar w:fldCharType="end"/>
      </w:r>
      <w:r w:rsidRPr="002011B4">
        <w:rPr>
          <w:rFonts w:ascii="Times New Roman" w:eastAsia="Times New Roman" w:hAnsi="Times New Roman" w:cs="Times New Roman"/>
          <w:sz w:val="20"/>
          <w:szCs w:val="20"/>
        </w:rPr>
        <w:t xml:space="preserve"> We extracted two values of MTI using the MAP data: The </w:t>
      </w:r>
      <w:r w:rsidRPr="002011B4">
        <w:rPr>
          <w:rFonts w:ascii="Times New Roman" w:eastAsia="Times New Roman" w:hAnsi="Times New Roman" w:cs="Times New Roman"/>
          <w:i/>
          <w:sz w:val="20"/>
          <w:szCs w:val="20"/>
        </w:rPr>
        <w:t>Plasmodium falciparum</w:t>
      </w:r>
      <w:r w:rsidRPr="002011B4">
        <w:rPr>
          <w:rFonts w:ascii="Times New Roman" w:eastAsia="Times New Roman" w:hAnsi="Times New Roman" w:cs="Times New Roman"/>
          <w:sz w:val="20"/>
          <w:szCs w:val="20"/>
        </w:rPr>
        <w:t xml:space="preserve"> Incidence Rate, defined as the </w:t>
      </w:r>
      <w:r w:rsidRPr="002011B4">
        <w:rPr>
          <w:rFonts w:ascii="Times New Roman" w:eastAsia="Times New Roman" w:hAnsi="Times New Roman" w:cs="Times New Roman"/>
          <w:sz w:val="20"/>
          <w:szCs w:val="20"/>
          <w:highlight w:val="white"/>
        </w:rPr>
        <w:t xml:space="preserve">number of newly diagnosed </w:t>
      </w:r>
      <w:r w:rsidRPr="002011B4">
        <w:rPr>
          <w:rFonts w:ascii="Times New Roman" w:eastAsia="Times New Roman" w:hAnsi="Times New Roman" w:cs="Times New Roman"/>
          <w:i/>
          <w:sz w:val="20"/>
          <w:szCs w:val="20"/>
        </w:rPr>
        <w:t>Plasmodium falciparum</w:t>
      </w:r>
      <w:r w:rsidRPr="002011B4">
        <w:rPr>
          <w:rFonts w:ascii="Times New Roman" w:eastAsia="Times New Roman" w:hAnsi="Times New Roman" w:cs="Times New Roman"/>
          <w:sz w:val="20"/>
          <w:szCs w:val="20"/>
          <w:highlight w:val="white"/>
        </w:rPr>
        <w:t xml:space="preserve"> cases per person in a given year, and the Infection Prevalence (</w:t>
      </w:r>
      <w:proofErr w:type="spellStart"/>
      <w:r w:rsidRPr="002011B4">
        <w:rPr>
          <w:rFonts w:ascii="Times New Roman" w:eastAsia="Times New Roman" w:hAnsi="Times New Roman" w:cs="Times New Roman"/>
          <w:i/>
          <w:sz w:val="20"/>
          <w:szCs w:val="20"/>
          <w:highlight w:val="white"/>
        </w:rPr>
        <w:t>Pf</w:t>
      </w:r>
      <w:r w:rsidRPr="002011B4">
        <w:rPr>
          <w:rFonts w:ascii="Times New Roman" w:eastAsia="Times New Roman" w:hAnsi="Times New Roman" w:cs="Times New Roman"/>
          <w:sz w:val="20"/>
          <w:szCs w:val="20"/>
          <w:highlight w:val="white"/>
        </w:rPr>
        <w:t>Pr</w:t>
      </w:r>
      <w:proofErr w:type="spellEnd"/>
      <w:r w:rsidRPr="002011B4">
        <w:rPr>
          <w:rFonts w:ascii="Times New Roman" w:eastAsia="Times New Roman" w:hAnsi="Times New Roman" w:cs="Times New Roman"/>
          <w:sz w:val="20"/>
          <w:szCs w:val="20"/>
          <w:highlight w:val="white"/>
        </w:rPr>
        <w:t xml:space="preserve">), defined as the Proportion of Children 2 to 10 years of age showing detectable </w:t>
      </w:r>
      <w:r w:rsidRPr="002011B4">
        <w:rPr>
          <w:rFonts w:ascii="Times New Roman" w:eastAsia="Times New Roman" w:hAnsi="Times New Roman" w:cs="Times New Roman"/>
          <w:i/>
          <w:sz w:val="20"/>
          <w:szCs w:val="20"/>
          <w:highlight w:val="white"/>
        </w:rPr>
        <w:t>Plasmodium falciparum</w:t>
      </w:r>
      <w:r w:rsidRPr="002011B4">
        <w:rPr>
          <w:rFonts w:ascii="Times New Roman" w:eastAsia="Times New Roman" w:hAnsi="Times New Roman" w:cs="Times New Roman"/>
          <w:sz w:val="20"/>
          <w:szCs w:val="20"/>
          <w:highlight w:val="white"/>
        </w:rPr>
        <w:t xml:space="preserve"> parasite during a given year. Both measures were extracted for the years 2009 to 2014 and averaged for each location to yield a mean MTI over the study period. </w:t>
      </w:r>
    </w:p>
    <w:p w14:paraId="6FA4E679" w14:textId="77777777" w:rsidR="000B7DD7" w:rsidRPr="002011B4" w:rsidRDefault="000B7DD7">
      <w:pPr>
        <w:rPr>
          <w:rFonts w:ascii="Times New Roman" w:eastAsia="Times New Roman" w:hAnsi="Times New Roman" w:cs="Times New Roman"/>
          <w:sz w:val="20"/>
          <w:szCs w:val="20"/>
          <w:highlight w:val="white"/>
        </w:rPr>
      </w:pPr>
    </w:p>
    <w:p w14:paraId="6FA4E67A" w14:textId="5699DF72" w:rsidR="000B7DD7" w:rsidRPr="002011B4" w:rsidRDefault="00307EFE">
      <w:pPr>
        <w:rPr>
          <w:rFonts w:ascii="Times New Roman" w:eastAsia="Times New Roman" w:hAnsi="Times New Roman" w:cs="Times New Roman"/>
          <w:sz w:val="20"/>
          <w:szCs w:val="20"/>
          <w:highlight w:val="white"/>
        </w:rPr>
      </w:pPr>
      <w:r w:rsidRPr="002011B4">
        <w:rPr>
          <w:rFonts w:ascii="Times New Roman" w:eastAsia="Times New Roman" w:hAnsi="Times New Roman" w:cs="Times New Roman"/>
          <w:sz w:val="20"/>
          <w:szCs w:val="20"/>
          <w:highlight w:val="white"/>
        </w:rPr>
        <w:t xml:space="preserve">The comparisons of our predicted MTI estimates with the MAP estimates are shown below (Supplemental Figure 1). Our predicted cases per person per year were higher as compared to the MAP estimates likely due to differences in our denominator calculations where we restricted our denominator to infants and children as compared to the whole population denominator used in MAP. Importantly though, we notice that the relative distributions of incidence rate within and across the three sites is similar with </w:t>
      </w:r>
      <w:proofErr w:type="spellStart"/>
      <w:r w:rsidR="00832F2C" w:rsidRPr="002011B4">
        <w:rPr>
          <w:rFonts w:ascii="Times New Roman" w:eastAsia="Times New Roman" w:hAnsi="Times New Roman" w:cs="Times New Roman"/>
          <w:sz w:val="20"/>
          <w:szCs w:val="20"/>
        </w:rPr>
        <w:t>Lambaréné</w:t>
      </w:r>
      <w:proofErr w:type="spellEnd"/>
      <w:r w:rsidRPr="002011B4">
        <w:rPr>
          <w:rFonts w:ascii="Times New Roman" w:eastAsia="Times New Roman" w:hAnsi="Times New Roman" w:cs="Times New Roman"/>
          <w:sz w:val="20"/>
          <w:szCs w:val="20"/>
          <w:highlight w:val="white"/>
        </w:rPr>
        <w:t xml:space="preserve">, Gabon having the lowest MTI while Kintampo, Ghana has the highest. Additionally, the </w:t>
      </w:r>
      <w:r w:rsidRPr="002011B4">
        <w:rPr>
          <w:rFonts w:ascii="Times New Roman" w:eastAsia="Times New Roman" w:hAnsi="Times New Roman" w:cs="Times New Roman"/>
          <w:i/>
          <w:sz w:val="20"/>
          <w:szCs w:val="20"/>
          <w:highlight w:val="white"/>
        </w:rPr>
        <w:t>Plasmodium falciparum</w:t>
      </w:r>
      <w:r w:rsidRPr="002011B4">
        <w:rPr>
          <w:rFonts w:ascii="Times New Roman" w:eastAsia="Times New Roman" w:hAnsi="Times New Roman" w:cs="Times New Roman"/>
          <w:sz w:val="20"/>
          <w:szCs w:val="20"/>
          <w:highlight w:val="white"/>
        </w:rPr>
        <w:t xml:space="preserve"> prevalence within 2-to-10-year-olds - a measure of malaria transmission intensity in areas with no specific data - also exhibits a similar violin plot distribution compared to our predicted violin plots. </w:t>
      </w:r>
    </w:p>
    <w:p w14:paraId="6FA4E67B" w14:textId="77777777" w:rsidR="000B7DD7" w:rsidRPr="002011B4" w:rsidRDefault="000B7DD7">
      <w:pPr>
        <w:rPr>
          <w:rFonts w:ascii="Times New Roman" w:eastAsia="Times New Roman" w:hAnsi="Times New Roman" w:cs="Times New Roman"/>
          <w:sz w:val="20"/>
          <w:szCs w:val="20"/>
        </w:rPr>
      </w:pPr>
    </w:p>
    <w:p w14:paraId="6FA4E67D" w14:textId="186AB3E3" w:rsidR="000B7DD7" w:rsidRPr="00C715B5" w:rsidRDefault="00307EFE">
      <w:pPr>
        <w:rPr>
          <w:rFonts w:ascii="Times New Roman" w:eastAsia="Times New Roman" w:hAnsi="Times New Roman" w:cs="Times New Roman"/>
          <w:b/>
          <w:bCs/>
          <w:iCs/>
          <w:sz w:val="20"/>
          <w:szCs w:val="20"/>
        </w:rPr>
      </w:pPr>
      <w:r w:rsidRPr="00C715B5">
        <w:rPr>
          <w:rFonts w:ascii="Times New Roman" w:eastAsia="Times New Roman" w:hAnsi="Times New Roman" w:cs="Times New Roman"/>
          <w:b/>
          <w:bCs/>
          <w:iCs/>
          <w:sz w:val="20"/>
          <w:szCs w:val="20"/>
        </w:rPr>
        <w:t>Impact on antibody response and RTS,S/AS01 vaccine efficacy against the first case of malaria</w:t>
      </w:r>
    </w:p>
    <w:p w14:paraId="6FA4E67E" w14:textId="77777777" w:rsidR="000B7DD7" w:rsidRPr="002011B4" w:rsidRDefault="00307EFE">
      <w:pPr>
        <w:rPr>
          <w:rFonts w:ascii="Times New Roman" w:eastAsia="Times New Roman" w:hAnsi="Times New Roman" w:cs="Times New Roman"/>
          <w:sz w:val="20"/>
          <w:szCs w:val="20"/>
        </w:rPr>
      </w:pPr>
      <w:r w:rsidRPr="002011B4">
        <w:rPr>
          <w:rFonts w:ascii="Times New Roman" w:eastAsia="Times New Roman" w:hAnsi="Times New Roman" w:cs="Times New Roman"/>
          <w:sz w:val="20"/>
          <w:szCs w:val="20"/>
        </w:rPr>
        <w:t>Supplemental Figure 2 shows a boxplot of antibody levels 1-month post-vaccination with the third dose of RTS,S/AS01. Supplemental Figures 3 and 4 display the relationship between Anti-CSP response and malaria transmission intensity, defined by MAP mean incidence per person year and mean malaria infection prevalence, respectively. These two measures of transmission intensity provided very similar results.</w:t>
      </w:r>
    </w:p>
    <w:p w14:paraId="6FA4E67F" w14:textId="77777777" w:rsidR="000B7DD7" w:rsidRPr="002011B4" w:rsidRDefault="000B7DD7">
      <w:pPr>
        <w:rPr>
          <w:rFonts w:ascii="Times New Roman" w:eastAsia="Times New Roman" w:hAnsi="Times New Roman" w:cs="Times New Roman"/>
          <w:sz w:val="20"/>
          <w:szCs w:val="20"/>
        </w:rPr>
      </w:pPr>
    </w:p>
    <w:p w14:paraId="6FA4E681" w14:textId="791F4D04" w:rsidR="000B7DD7" w:rsidRDefault="00307EFE">
      <w:pPr>
        <w:rPr>
          <w:rFonts w:ascii="Times New Roman" w:eastAsia="Times New Roman" w:hAnsi="Times New Roman" w:cs="Times New Roman"/>
          <w:sz w:val="20"/>
          <w:szCs w:val="20"/>
        </w:rPr>
      </w:pPr>
      <w:r w:rsidRPr="002011B4">
        <w:rPr>
          <w:rFonts w:ascii="Times New Roman" w:eastAsia="Times New Roman" w:hAnsi="Times New Roman" w:cs="Times New Roman"/>
          <w:sz w:val="20"/>
          <w:szCs w:val="20"/>
        </w:rPr>
        <w:t>One month before vaccination with RTS,S/AS01 or a control vaccine, participant anti-CSP levels were essentially zero, regardless of malaria transmission intensity. One month after the third dose, those who received the control vaccine maintained low antibody levels, regardless of malaria transmission intensity, while those who received the three-dose RTS,S/AS01 vaccine series had greatly increased antibody levels. Among those who received RTS,S/AS01, antibody level was positively associated with transmission intensity, both overall and within study areas.</w:t>
      </w:r>
    </w:p>
    <w:p w14:paraId="40DA8731" w14:textId="77777777" w:rsidR="00C715B5" w:rsidRPr="002011B4" w:rsidRDefault="00C715B5">
      <w:pPr>
        <w:rPr>
          <w:rFonts w:ascii="Times New Roman" w:eastAsia="Times New Roman" w:hAnsi="Times New Roman" w:cs="Times New Roman"/>
          <w:sz w:val="20"/>
          <w:szCs w:val="20"/>
        </w:rPr>
      </w:pPr>
    </w:p>
    <w:p w14:paraId="6FA4E682" w14:textId="77777777" w:rsidR="000B7DD7" w:rsidRPr="002011B4" w:rsidRDefault="00307EFE">
      <w:pPr>
        <w:rPr>
          <w:rFonts w:ascii="Times New Roman" w:eastAsia="Times New Roman" w:hAnsi="Times New Roman" w:cs="Times New Roman"/>
          <w:sz w:val="20"/>
          <w:szCs w:val="20"/>
        </w:rPr>
      </w:pPr>
      <w:r w:rsidRPr="002011B4">
        <w:rPr>
          <w:rFonts w:ascii="Times New Roman" w:eastAsia="Times New Roman" w:hAnsi="Times New Roman" w:cs="Times New Roman"/>
          <w:sz w:val="20"/>
          <w:szCs w:val="20"/>
        </w:rPr>
        <w:t xml:space="preserve">Supplemental Figure 5 highlights the relationship between vaccine efficacy and malaria transmission intensity (MAP mean incidence) and cases during vaccination using a Cox proportional hazards model. </w:t>
      </w:r>
      <w:proofErr w:type="gramStart"/>
      <w:r w:rsidRPr="002011B4">
        <w:rPr>
          <w:rFonts w:ascii="Times New Roman" w:eastAsia="Times New Roman" w:hAnsi="Times New Roman" w:cs="Times New Roman"/>
          <w:sz w:val="20"/>
          <w:szCs w:val="20"/>
        </w:rPr>
        <w:t>Similar to</w:t>
      </w:r>
      <w:proofErr w:type="gramEnd"/>
      <w:r w:rsidRPr="002011B4">
        <w:rPr>
          <w:rFonts w:ascii="Times New Roman" w:eastAsia="Times New Roman" w:hAnsi="Times New Roman" w:cs="Times New Roman"/>
          <w:sz w:val="20"/>
          <w:szCs w:val="20"/>
        </w:rPr>
        <w:t xml:space="preserve"> our main analysis, we observed that while RTS,S/AS01 efficacy waned over time and that there was very weak evidence that efficacy against the first case of malaria varied by transmission intensity or parasitemia during the three-dose vaccination series.</w:t>
      </w:r>
    </w:p>
    <w:p w14:paraId="6FA4E683" w14:textId="77777777" w:rsidR="000B7DD7" w:rsidRPr="002011B4" w:rsidRDefault="00307EFE">
      <w:pPr>
        <w:rPr>
          <w:rFonts w:ascii="Times New Roman" w:eastAsia="Times New Roman" w:hAnsi="Times New Roman" w:cs="Times New Roman"/>
          <w:b/>
          <w:sz w:val="20"/>
          <w:szCs w:val="20"/>
        </w:rPr>
      </w:pPr>
      <w:r w:rsidRPr="002011B4">
        <w:rPr>
          <w:rFonts w:ascii="Times New Roman" w:hAnsi="Times New Roman" w:cs="Times New Roman"/>
          <w:sz w:val="20"/>
          <w:szCs w:val="20"/>
        </w:rPr>
        <w:br w:type="page"/>
      </w:r>
      <w:r w:rsidRPr="002011B4">
        <w:rPr>
          <w:rFonts w:ascii="Times New Roman" w:eastAsia="Times New Roman" w:hAnsi="Times New Roman" w:cs="Times New Roman"/>
          <w:b/>
          <w:noProof/>
          <w:sz w:val="20"/>
          <w:szCs w:val="20"/>
        </w:rPr>
        <w:lastRenderedPageBreak/>
        <w:drawing>
          <wp:inline distT="114300" distB="114300" distL="114300" distR="114300" wp14:anchorId="6FA4E6C8" wp14:editId="6FA4E6C9">
            <wp:extent cx="5943600" cy="26797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t="53685" r="-2884"/>
                    <a:stretch>
                      <a:fillRect/>
                    </a:stretch>
                  </pic:blipFill>
                  <pic:spPr>
                    <a:xfrm>
                      <a:off x="0" y="0"/>
                      <a:ext cx="5943600" cy="2679700"/>
                    </a:xfrm>
                    <a:prstGeom prst="rect">
                      <a:avLst/>
                    </a:prstGeom>
                    <a:ln/>
                  </pic:spPr>
                </pic:pic>
              </a:graphicData>
            </a:graphic>
          </wp:inline>
        </w:drawing>
      </w:r>
      <w:r w:rsidRPr="002011B4">
        <w:rPr>
          <w:rFonts w:ascii="Times New Roman" w:eastAsia="Times New Roman" w:hAnsi="Times New Roman" w:cs="Times New Roman"/>
          <w:b/>
          <w:noProof/>
          <w:sz w:val="20"/>
          <w:szCs w:val="20"/>
        </w:rPr>
        <w:drawing>
          <wp:inline distT="114300" distB="114300" distL="114300" distR="114300" wp14:anchorId="6FA4E6CA" wp14:editId="6FA4E6CB">
            <wp:extent cx="3969745" cy="3276312"/>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3969745" cy="3276312"/>
                    </a:xfrm>
                    <a:prstGeom prst="rect">
                      <a:avLst/>
                    </a:prstGeom>
                    <a:ln/>
                  </pic:spPr>
                </pic:pic>
              </a:graphicData>
            </a:graphic>
          </wp:inline>
        </w:drawing>
      </w:r>
    </w:p>
    <w:p w14:paraId="6FA4E684" w14:textId="77777777" w:rsidR="000B7DD7" w:rsidRPr="002011B4" w:rsidRDefault="000B7DD7">
      <w:pPr>
        <w:rPr>
          <w:rFonts w:ascii="Times New Roman" w:eastAsia="Times New Roman" w:hAnsi="Times New Roman" w:cs="Times New Roman"/>
          <w:b/>
          <w:sz w:val="20"/>
          <w:szCs w:val="20"/>
        </w:rPr>
      </w:pPr>
    </w:p>
    <w:p w14:paraId="6FA4E685"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lastRenderedPageBreak/>
        <w:drawing>
          <wp:inline distT="114300" distB="114300" distL="114300" distR="114300" wp14:anchorId="6FA4E6CC" wp14:editId="6FA4E6CD">
            <wp:extent cx="4057922" cy="334711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57922" cy="3347110"/>
                    </a:xfrm>
                    <a:prstGeom prst="rect">
                      <a:avLst/>
                    </a:prstGeom>
                    <a:ln/>
                  </pic:spPr>
                </pic:pic>
              </a:graphicData>
            </a:graphic>
          </wp:inline>
        </w:drawing>
      </w:r>
    </w:p>
    <w:p w14:paraId="6FA4E686" w14:textId="77777777" w:rsidR="000B7DD7" w:rsidRPr="002011B4" w:rsidRDefault="000B7DD7">
      <w:pPr>
        <w:rPr>
          <w:rFonts w:ascii="Times New Roman" w:eastAsia="Times New Roman" w:hAnsi="Times New Roman" w:cs="Times New Roman"/>
          <w:b/>
          <w:sz w:val="20"/>
          <w:szCs w:val="20"/>
        </w:rPr>
      </w:pPr>
    </w:p>
    <w:p w14:paraId="6FA4E687" w14:textId="77777777" w:rsidR="000B7DD7" w:rsidRPr="002011B4" w:rsidRDefault="00307EFE">
      <w:pPr>
        <w:rPr>
          <w:rFonts w:ascii="Times New Roman" w:eastAsia="Times New Roman" w:hAnsi="Times New Roman" w:cs="Times New Roman"/>
          <w:sz w:val="20"/>
          <w:szCs w:val="20"/>
        </w:rPr>
      </w:pPr>
      <w:r w:rsidRPr="002011B4">
        <w:rPr>
          <w:rFonts w:ascii="Times New Roman" w:eastAsia="Times New Roman" w:hAnsi="Times New Roman" w:cs="Times New Roman"/>
          <w:b/>
          <w:sz w:val="20"/>
          <w:szCs w:val="20"/>
        </w:rPr>
        <w:t xml:space="preserve">Supplemental Figure 1: Distribution of MTI values within and across study sites using a) our original predicted values b) </w:t>
      </w:r>
      <w:r w:rsidRPr="002011B4">
        <w:rPr>
          <w:rFonts w:ascii="Times New Roman" w:eastAsia="Times New Roman" w:hAnsi="Times New Roman" w:cs="Times New Roman"/>
          <w:b/>
          <w:i/>
          <w:sz w:val="20"/>
          <w:szCs w:val="20"/>
        </w:rPr>
        <w:t xml:space="preserve">Plasmodium falciparum </w:t>
      </w:r>
      <w:r w:rsidRPr="002011B4">
        <w:rPr>
          <w:rFonts w:ascii="Times New Roman" w:eastAsia="Times New Roman" w:hAnsi="Times New Roman" w:cs="Times New Roman"/>
          <w:b/>
          <w:sz w:val="20"/>
          <w:szCs w:val="20"/>
        </w:rPr>
        <w:t xml:space="preserve">incidence rate and c) </w:t>
      </w:r>
      <w:r w:rsidRPr="002011B4">
        <w:rPr>
          <w:rFonts w:ascii="Times New Roman" w:eastAsia="Times New Roman" w:hAnsi="Times New Roman" w:cs="Times New Roman"/>
          <w:b/>
          <w:i/>
          <w:sz w:val="20"/>
          <w:szCs w:val="20"/>
        </w:rPr>
        <w:t xml:space="preserve">Plasmodium falciparum </w:t>
      </w:r>
      <w:r w:rsidRPr="002011B4">
        <w:rPr>
          <w:rFonts w:ascii="Times New Roman" w:eastAsia="Times New Roman" w:hAnsi="Times New Roman" w:cs="Times New Roman"/>
          <w:b/>
          <w:sz w:val="20"/>
          <w:szCs w:val="20"/>
        </w:rPr>
        <w:t xml:space="preserve">infection prevalence among </w:t>
      </w:r>
      <w:proofErr w:type="gramStart"/>
      <w:r w:rsidRPr="002011B4">
        <w:rPr>
          <w:rFonts w:ascii="Times New Roman" w:eastAsia="Times New Roman" w:hAnsi="Times New Roman" w:cs="Times New Roman"/>
          <w:b/>
          <w:sz w:val="20"/>
          <w:szCs w:val="20"/>
        </w:rPr>
        <w:t>2-10 year</w:t>
      </w:r>
      <w:proofErr w:type="gramEnd"/>
      <w:r w:rsidRPr="002011B4">
        <w:rPr>
          <w:rFonts w:ascii="Times New Roman" w:eastAsia="Times New Roman" w:hAnsi="Times New Roman" w:cs="Times New Roman"/>
          <w:b/>
          <w:sz w:val="20"/>
          <w:szCs w:val="20"/>
        </w:rPr>
        <w:t xml:space="preserve"> olds</w:t>
      </w:r>
    </w:p>
    <w:p w14:paraId="6FA4E688" w14:textId="77777777" w:rsidR="000B7DD7" w:rsidRPr="002011B4" w:rsidRDefault="000B7DD7">
      <w:pPr>
        <w:rPr>
          <w:rFonts w:ascii="Times New Roman" w:eastAsia="Times New Roman" w:hAnsi="Times New Roman" w:cs="Times New Roman"/>
          <w:b/>
          <w:sz w:val="20"/>
          <w:szCs w:val="20"/>
        </w:rPr>
      </w:pPr>
    </w:p>
    <w:p w14:paraId="6FA4E689" w14:textId="77777777" w:rsidR="000B7DD7" w:rsidRPr="002011B4" w:rsidRDefault="000B7DD7">
      <w:pPr>
        <w:rPr>
          <w:rFonts w:ascii="Times New Roman" w:eastAsia="Times New Roman" w:hAnsi="Times New Roman" w:cs="Times New Roman"/>
          <w:b/>
          <w:sz w:val="20"/>
          <w:szCs w:val="20"/>
        </w:rPr>
      </w:pPr>
    </w:p>
    <w:p w14:paraId="6FA4E68A"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lastRenderedPageBreak/>
        <w:drawing>
          <wp:inline distT="114300" distB="114300" distL="114300" distR="114300" wp14:anchorId="6FA4E6CE" wp14:editId="6FA4E6CF">
            <wp:extent cx="2890913" cy="7577138"/>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890913" cy="7577138"/>
                    </a:xfrm>
                    <a:prstGeom prst="rect">
                      <a:avLst/>
                    </a:prstGeom>
                    <a:ln/>
                  </pic:spPr>
                </pic:pic>
              </a:graphicData>
            </a:graphic>
          </wp:inline>
        </w:drawing>
      </w:r>
    </w:p>
    <w:p w14:paraId="6FA4E68B"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sz w:val="20"/>
          <w:szCs w:val="20"/>
        </w:rPr>
        <w:t>Supplemental Figure 2: Anti-CSP Antibody Response by Study Area (1 Month Post-Vaccination)</w:t>
      </w:r>
    </w:p>
    <w:p w14:paraId="6FA4E68C"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lastRenderedPageBreak/>
        <w:drawing>
          <wp:inline distT="114300" distB="114300" distL="114300" distR="114300" wp14:anchorId="6FA4E6D0" wp14:editId="6FA4E6D1">
            <wp:extent cx="5548313" cy="5548313"/>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548313" cy="5548313"/>
                    </a:xfrm>
                    <a:prstGeom prst="rect">
                      <a:avLst/>
                    </a:prstGeom>
                    <a:ln/>
                  </pic:spPr>
                </pic:pic>
              </a:graphicData>
            </a:graphic>
          </wp:inline>
        </w:drawing>
      </w:r>
    </w:p>
    <w:p w14:paraId="6FA4E68D"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sz w:val="20"/>
          <w:szCs w:val="20"/>
        </w:rPr>
        <w:t xml:space="preserve">Supplemental Figure 3: Anti-CSP Antibody Response by Transmission Intensity, All Study Areas and Study Area Adjusted (A: 1 Month Pre-Vaccination, B: 1 Month Post-Vaccination) using </w:t>
      </w:r>
      <w:r w:rsidRPr="002011B4">
        <w:rPr>
          <w:rFonts w:ascii="Times New Roman" w:eastAsia="Times New Roman" w:hAnsi="Times New Roman" w:cs="Times New Roman"/>
          <w:b/>
          <w:i/>
          <w:sz w:val="20"/>
          <w:szCs w:val="20"/>
        </w:rPr>
        <w:t>Plasmodium falciparum</w:t>
      </w:r>
      <w:r w:rsidRPr="002011B4">
        <w:rPr>
          <w:rFonts w:ascii="Times New Roman" w:eastAsia="Times New Roman" w:hAnsi="Times New Roman" w:cs="Times New Roman"/>
          <w:b/>
          <w:sz w:val="20"/>
          <w:szCs w:val="20"/>
        </w:rPr>
        <w:t xml:space="preserve"> incidence rate per person per year.</w:t>
      </w:r>
    </w:p>
    <w:p w14:paraId="6FA4E68E"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lastRenderedPageBreak/>
        <w:drawing>
          <wp:inline distT="114300" distB="114300" distL="114300" distR="114300" wp14:anchorId="6FA4E6D2" wp14:editId="6FA4E6D3">
            <wp:extent cx="5943600" cy="5943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43600" cy="5943600"/>
                    </a:xfrm>
                    <a:prstGeom prst="rect">
                      <a:avLst/>
                    </a:prstGeom>
                    <a:ln/>
                  </pic:spPr>
                </pic:pic>
              </a:graphicData>
            </a:graphic>
          </wp:inline>
        </w:drawing>
      </w:r>
      <w:r w:rsidRPr="002011B4">
        <w:rPr>
          <w:rFonts w:ascii="Times New Roman" w:eastAsia="Times New Roman" w:hAnsi="Times New Roman" w:cs="Times New Roman"/>
          <w:b/>
          <w:sz w:val="20"/>
          <w:szCs w:val="20"/>
        </w:rPr>
        <w:t xml:space="preserve">Supplemental Figure 4: Anti-CSP Antibody Response by Transmission Intensity, All Study Areas and Study Area Adjusted (A: 1 Month Pre-Vaccination, B: 1 Month Post-Vaccination) using </w:t>
      </w:r>
      <w:r w:rsidRPr="002011B4">
        <w:rPr>
          <w:rFonts w:ascii="Times New Roman" w:eastAsia="Times New Roman" w:hAnsi="Times New Roman" w:cs="Times New Roman"/>
          <w:b/>
          <w:i/>
          <w:sz w:val="20"/>
          <w:szCs w:val="20"/>
        </w:rPr>
        <w:t>Plasmodium falciparum</w:t>
      </w:r>
      <w:r w:rsidRPr="002011B4">
        <w:rPr>
          <w:rFonts w:ascii="Times New Roman" w:eastAsia="Times New Roman" w:hAnsi="Times New Roman" w:cs="Times New Roman"/>
          <w:b/>
          <w:sz w:val="20"/>
          <w:szCs w:val="20"/>
        </w:rPr>
        <w:t xml:space="preserve"> infection prevalence among </w:t>
      </w:r>
      <w:proofErr w:type="gramStart"/>
      <w:r w:rsidRPr="002011B4">
        <w:rPr>
          <w:rFonts w:ascii="Times New Roman" w:eastAsia="Times New Roman" w:hAnsi="Times New Roman" w:cs="Times New Roman"/>
          <w:b/>
          <w:sz w:val="20"/>
          <w:szCs w:val="20"/>
        </w:rPr>
        <w:t>2-10 year olds</w:t>
      </w:r>
      <w:proofErr w:type="gramEnd"/>
      <w:r w:rsidRPr="002011B4">
        <w:rPr>
          <w:rFonts w:ascii="Times New Roman" w:eastAsia="Times New Roman" w:hAnsi="Times New Roman" w:cs="Times New Roman"/>
          <w:b/>
          <w:sz w:val="20"/>
          <w:szCs w:val="20"/>
        </w:rPr>
        <w:t>.</w:t>
      </w:r>
    </w:p>
    <w:p w14:paraId="6FA4E68F" w14:textId="77777777" w:rsidR="000B7DD7" w:rsidRPr="002011B4" w:rsidRDefault="000B7DD7">
      <w:pPr>
        <w:rPr>
          <w:rFonts w:ascii="Times New Roman" w:eastAsia="Times New Roman" w:hAnsi="Times New Roman" w:cs="Times New Roman"/>
          <w:b/>
          <w:sz w:val="20"/>
          <w:szCs w:val="20"/>
        </w:rPr>
      </w:pPr>
    </w:p>
    <w:p w14:paraId="6FA4E690" w14:textId="77777777" w:rsidR="000B7DD7" w:rsidRPr="002011B4" w:rsidRDefault="000B7DD7">
      <w:pPr>
        <w:rPr>
          <w:rFonts w:ascii="Times New Roman" w:eastAsia="Times New Roman" w:hAnsi="Times New Roman" w:cs="Times New Roman"/>
          <w:b/>
          <w:sz w:val="20"/>
          <w:szCs w:val="20"/>
        </w:rPr>
      </w:pPr>
    </w:p>
    <w:p w14:paraId="6FA4E691" w14:textId="77777777" w:rsidR="000B7DD7" w:rsidRPr="002011B4" w:rsidRDefault="000B7DD7">
      <w:pPr>
        <w:rPr>
          <w:rFonts w:ascii="Times New Roman" w:eastAsia="Times New Roman" w:hAnsi="Times New Roman" w:cs="Times New Roman"/>
          <w:b/>
          <w:sz w:val="20"/>
          <w:szCs w:val="20"/>
        </w:rPr>
      </w:pPr>
    </w:p>
    <w:p w14:paraId="6FA4E692" w14:textId="77777777" w:rsidR="000B7DD7" w:rsidRPr="002011B4" w:rsidRDefault="000B7DD7">
      <w:pPr>
        <w:rPr>
          <w:rFonts w:ascii="Times New Roman" w:eastAsia="Times New Roman" w:hAnsi="Times New Roman" w:cs="Times New Roman"/>
          <w:b/>
          <w:sz w:val="20"/>
          <w:szCs w:val="20"/>
        </w:rPr>
      </w:pPr>
    </w:p>
    <w:p w14:paraId="6FA4E693" w14:textId="77777777" w:rsidR="000B7DD7" w:rsidRPr="002011B4" w:rsidRDefault="000B7DD7">
      <w:pPr>
        <w:rPr>
          <w:rFonts w:ascii="Times New Roman" w:eastAsia="Times New Roman" w:hAnsi="Times New Roman" w:cs="Times New Roman"/>
          <w:b/>
          <w:sz w:val="20"/>
          <w:szCs w:val="20"/>
        </w:rPr>
      </w:pPr>
    </w:p>
    <w:p w14:paraId="6FA4E694" w14:textId="77777777" w:rsidR="000B7DD7" w:rsidRPr="002011B4" w:rsidRDefault="000B7DD7">
      <w:pPr>
        <w:rPr>
          <w:rFonts w:ascii="Times New Roman" w:eastAsia="Times New Roman" w:hAnsi="Times New Roman" w:cs="Times New Roman"/>
          <w:b/>
          <w:sz w:val="20"/>
          <w:szCs w:val="20"/>
        </w:rPr>
      </w:pPr>
    </w:p>
    <w:p w14:paraId="6FA4E695" w14:textId="77777777" w:rsidR="000B7DD7" w:rsidRPr="002011B4" w:rsidRDefault="000B7DD7">
      <w:pPr>
        <w:rPr>
          <w:rFonts w:ascii="Times New Roman" w:eastAsia="Times New Roman" w:hAnsi="Times New Roman" w:cs="Times New Roman"/>
          <w:b/>
          <w:sz w:val="20"/>
          <w:szCs w:val="20"/>
        </w:rPr>
      </w:pPr>
    </w:p>
    <w:p w14:paraId="6FA4E696" w14:textId="77777777" w:rsidR="000B7DD7" w:rsidRPr="002011B4" w:rsidRDefault="000B7DD7">
      <w:pPr>
        <w:rPr>
          <w:rFonts w:ascii="Times New Roman" w:eastAsia="Times New Roman" w:hAnsi="Times New Roman" w:cs="Times New Roman"/>
          <w:b/>
          <w:sz w:val="20"/>
          <w:szCs w:val="20"/>
        </w:rPr>
      </w:pPr>
    </w:p>
    <w:p w14:paraId="6FA4E697" w14:textId="77777777" w:rsidR="000B7DD7" w:rsidRPr="002011B4" w:rsidRDefault="000B7DD7">
      <w:pPr>
        <w:rPr>
          <w:rFonts w:ascii="Times New Roman" w:eastAsia="Times New Roman" w:hAnsi="Times New Roman" w:cs="Times New Roman"/>
          <w:b/>
          <w:sz w:val="20"/>
          <w:szCs w:val="20"/>
        </w:rPr>
      </w:pPr>
    </w:p>
    <w:p w14:paraId="6FA4E698" w14:textId="77777777" w:rsidR="000B7DD7" w:rsidRPr="002011B4" w:rsidRDefault="000B7DD7">
      <w:pPr>
        <w:rPr>
          <w:rFonts w:ascii="Times New Roman" w:eastAsia="Times New Roman" w:hAnsi="Times New Roman" w:cs="Times New Roman"/>
          <w:b/>
          <w:sz w:val="20"/>
          <w:szCs w:val="20"/>
        </w:rPr>
      </w:pPr>
    </w:p>
    <w:p w14:paraId="6FA4E699" w14:textId="77777777" w:rsidR="000B7DD7" w:rsidRPr="002011B4" w:rsidRDefault="000B7DD7">
      <w:pPr>
        <w:rPr>
          <w:rFonts w:ascii="Times New Roman" w:eastAsia="Times New Roman" w:hAnsi="Times New Roman" w:cs="Times New Roman"/>
          <w:b/>
          <w:sz w:val="20"/>
          <w:szCs w:val="20"/>
        </w:rPr>
      </w:pPr>
    </w:p>
    <w:p w14:paraId="6FA4E69A" w14:textId="77777777" w:rsidR="000B7DD7" w:rsidRPr="002011B4" w:rsidRDefault="000B7DD7">
      <w:pPr>
        <w:rPr>
          <w:rFonts w:ascii="Times New Roman" w:eastAsia="Times New Roman" w:hAnsi="Times New Roman" w:cs="Times New Roman"/>
          <w:b/>
          <w:sz w:val="20"/>
          <w:szCs w:val="20"/>
        </w:rPr>
      </w:pPr>
    </w:p>
    <w:p w14:paraId="6FA4E69B"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drawing>
          <wp:inline distT="114300" distB="114300" distL="114300" distR="114300" wp14:anchorId="6FA4E6D4" wp14:editId="6FA4E6D5">
            <wp:extent cx="5943600" cy="70612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43600" cy="7061200"/>
                    </a:xfrm>
                    <a:prstGeom prst="rect">
                      <a:avLst/>
                    </a:prstGeom>
                    <a:ln/>
                  </pic:spPr>
                </pic:pic>
              </a:graphicData>
            </a:graphic>
          </wp:inline>
        </w:drawing>
      </w:r>
    </w:p>
    <w:p w14:paraId="6FA4E69C" w14:textId="77777777" w:rsidR="000B7DD7" w:rsidRPr="002011B4" w:rsidRDefault="000B7DD7">
      <w:pPr>
        <w:rPr>
          <w:rFonts w:ascii="Times New Roman" w:eastAsia="Times New Roman" w:hAnsi="Times New Roman" w:cs="Times New Roman"/>
          <w:b/>
          <w:sz w:val="20"/>
          <w:szCs w:val="20"/>
        </w:rPr>
      </w:pPr>
    </w:p>
    <w:p w14:paraId="6FA4E69D"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sz w:val="20"/>
          <w:szCs w:val="20"/>
        </w:rPr>
        <w:t xml:space="preserve">Supplemental Figure 5: Efficacy Against the First Case of Malaria Over Time, Transmission Intensity, and Cases During Vaccination using </w:t>
      </w:r>
      <w:r w:rsidRPr="002011B4">
        <w:rPr>
          <w:rFonts w:ascii="Times New Roman" w:eastAsia="Times New Roman" w:hAnsi="Times New Roman" w:cs="Times New Roman"/>
          <w:b/>
          <w:i/>
          <w:sz w:val="20"/>
          <w:szCs w:val="20"/>
        </w:rPr>
        <w:t>Plasmodium falciparum</w:t>
      </w:r>
      <w:r w:rsidRPr="002011B4">
        <w:rPr>
          <w:rFonts w:ascii="Times New Roman" w:eastAsia="Times New Roman" w:hAnsi="Times New Roman" w:cs="Times New Roman"/>
          <w:b/>
          <w:sz w:val="20"/>
          <w:szCs w:val="20"/>
        </w:rPr>
        <w:t xml:space="preserve"> incidence rate</w:t>
      </w:r>
    </w:p>
    <w:p w14:paraId="6FA4E69E"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noProof/>
          <w:sz w:val="20"/>
          <w:szCs w:val="20"/>
        </w:rPr>
        <w:lastRenderedPageBreak/>
        <w:drawing>
          <wp:inline distT="114300" distB="114300" distL="114300" distR="114300" wp14:anchorId="6FA4E6D6" wp14:editId="6FA4E6D7">
            <wp:extent cx="5272416" cy="715803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272416" cy="7158038"/>
                    </a:xfrm>
                    <a:prstGeom prst="rect">
                      <a:avLst/>
                    </a:prstGeom>
                    <a:ln/>
                  </pic:spPr>
                </pic:pic>
              </a:graphicData>
            </a:graphic>
          </wp:inline>
        </w:drawing>
      </w:r>
    </w:p>
    <w:p w14:paraId="6FA4E69F" w14:textId="77777777"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sz w:val="20"/>
          <w:szCs w:val="20"/>
        </w:rPr>
        <w:t>Supplemental Figure 6: Multiplier Effect of RTS,S/AS01 Vaccination on the Time to First Case of Malaria</w:t>
      </w:r>
    </w:p>
    <w:p w14:paraId="0C1F3DCD" w14:textId="77777777" w:rsidR="005A157D" w:rsidRDefault="00307EFE">
      <w:pPr>
        <w:rPr>
          <w:rFonts w:ascii="Times New Roman" w:eastAsia="Times New Roman" w:hAnsi="Times New Roman" w:cs="Times New Roman"/>
          <w:i/>
          <w:sz w:val="20"/>
          <w:szCs w:val="20"/>
        </w:rPr>
      </w:pPr>
      <w:r w:rsidRPr="002011B4">
        <w:rPr>
          <w:rFonts w:ascii="Times New Roman" w:eastAsia="Times New Roman" w:hAnsi="Times New Roman" w:cs="Times New Roman"/>
          <w:i/>
          <w:sz w:val="20"/>
          <w:szCs w:val="20"/>
        </w:rPr>
        <w:t>A higher multiplier implies a greater delay until the first case of malaria (</w:t>
      </w:r>
      <w:proofErr w:type="gramStart"/>
      <w:r w:rsidRPr="002011B4">
        <w:rPr>
          <w:rFonts w:ascii="Times New Roman" w:eastAsia="Times New Roman" w:hAnsi="Times New Roman" w:cs="Times New Roman"/>
          <w:i/>
          <w:sz w:val="20"/>
          <w:szCs w:val="20"/>
        </w:rPr>
        <w:t>e.g.</w:t>
      </w:r>
      <w:proofErr w:type="gramEnd"/>
      <w:r w:rsidRPr="002011B4">
        <w:rPr>
          <w:rFonts w:ascii="Times New Roman" w:eastAsia="Times New Roman" w:hAnsi="Times New Roman" w:cs="Times New Roman"/>
          <w:i/>
          <w:sz w:val="20"/>
          <w:szCs w:val="20"/>
        </w:rPr>
        <w:t xml:space="preserve"> a multiplier of 2 where the control group experiences their first case of malaria in 100 days will extend the time to the first case to 200 days). The null value is 1.</w:t>
      </w:r>
    </w:p>
    <w:p w14:paraId="03A55D3D" w14:textId="77777777" w:rsidR="005A157D" w:rsidRDefault="005A157D">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br w:type="page"/>
      </w:r>
    </w:p>
    <w:p w14:paraId="6FA4E6A0" w14:textId="4B90B48C" w:rsidR="00613B02" w:rsidRPr="00613B02" w:rsidRDefault="001A499A">
      <w:pPr>
        <w:rPr>
          <w:rFonts w:ascii="Times New Roman" w:hAnsi="Times New Roman" w:cs="Times New Roman"/>
          <w:b/>
          <w:bCs/>
          <w:sz w:val="20"/>
          <w:szCs w:val="20"/>
        </w:rPr>
      </w:pPr>
      <w:r>
        <w:rPr>
          <w:rFonts w:ascii="Times New Roman" w:eastAsia="Times New Roman" w:hAnsi="Times New Roman" w:cs="Times New Roman"/>
          <w:b/>
          <w:noProof/>
          <w:sz w:val="20"/>
          <w:szCs w:val="20"/>
        </w:rPr>
        <w:lastRenderedPageBreak/>
        <w:drawing>
          <wp:inline distT="0" distB="0" distL="0" distR="0" wp14:anchorId="096B2C7D" wp14:editId="6504B2FE">
            <wp:extent cx="5943600" cy="59436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613B02" w:rsidRPr="002011B4">
        <w:rPr>
          <w:rFonts w:ascii="Times New Roman" w:eastAsia="Times New Roman" w:hAnsi="Times New Roman" w:cs="Times New Roman"/>
          <w:b/>
          <w:sz w:val="20"/>
          <w:szCs w:val="20"/>
        </w:rPr>
        <w:t xml:space="preserve">Supplemental Figure </w:t>
      </w:r>
      <w:r w:rsidR="00613B02">
        <w:rPr>
          <w:rFonts w:ascii="Times New Roman" w:eastAsia="Times New Roman" w:hAnsi="Times New Roman" w:cs="Times New Roman"/>
          <w:b/>
          <w:sz w:val="20"/>
          <w:szCs w:val="20"/>
        </w:rPr>
        <w:t>7</w:t>
      </w:r>
      <w:r w:rsidR="00613B02" w:rsidRPr="00613B02">
        <w:rPr>
          <w:rFonts w:ascii="Times New Roman" w:hAnsi="Times New Roman" w:cs="Times New Roman"/>
          <w:b/>
          <w:bCs/>
          <w:sz w:val="20"/>
          <w:szCs w:val="20"/>
        </w:rPr>
        <w:t>: Efficacy Against the First Case of Malaria Over Time, Transmission Intensity, and Cases During Vaccination</w:t>
      </w:r>
      <w:r w:rsidR="00613B02">
        <w:rPr>
          <w:rFonts w:ascii="Times New Roman" w:hAnsi="Times New Roman" w:cs="Times New Roman"/>
          <w:b/>
          <w:bCs/>
          <w:sz w:val="20"/>
          <w:szCs w:val="20"/>
        </w:rPr>
        <w:t>, Stratified by Study Area</w:t>
      </w:r>
    </w:p>
    <w:p w14:paraId="32ADA45F" w14:textId="77777777" w:rsidR="00613B02" w:rsidRDefault="00613B02">
      <w:pPr>
        <w:rPr>
          <w:rFonts w:ascii="Times New Roman" w:hAnsi="Times New Roman" w:cs="Times New Roman"/>
          <w:sz w:val="20"/>
          <w:szCs w:val="20"/>
        </w:rPr>
      </w:pPr>
      <w:r>
        <w:rPr>
          <w:rFonts w:ascii="Times New Roman" w:hAnsi="Times New Roman" w:cs="Times New Roman"/>
          <w:sz w:val="20"/>
          <w:szCs w:val="20"/>
        </w:rPr>
        <w:br w:type="page"/>
      </w:r>
    </w:p>
    <w:p w14:paraId="6FA4E6A1" w14:textId="43DB3289" w:rsidR="000B7DD7" w:rsidRPr="002011B4" w:rsidRDefault="00307EFE">
      <w:pPr>
        <w:rPr>
          <w:rFonts w:ascii="Times New Roman" w:eastAsia="Times New Roman" w:hAnsi="Times New Roman" w:cs="Times New Roman"/>
          <w:b/>
          <w:sz w:val="20"/>
          <w:szCs w:val="20"/>
        </w:rPr>
      </w:pPr>
      <w:r w:rsidRPr="002011B4">
        <w:rPr>
          <w:rFonts w:ascii="Times New Roman" w:eastAsia="Times New Roman" w:hAnsi="Times New Roman" w:cs="Times New Roman"/>
          <w:b/>
          <w:sz w:val="20"/>
          <w:szCs w:val="20"/>
        </w:rPr>
        <w:lastRenderedPageBreak/>
        <w:t>References</w:t>
      </w:r>
    </w:p>
    <w:p w14:paraId="4B2E8FE1" w14:textId="02BE9D2E" w:rsidR="00307EFE" w:rsidRPr="002011B4" w:rsidRDefault="00307EFE">
      <w:pPr>
        <w:rPr>
          <w:rFonts w:ascii="Times New Roman" w:eastAsia="Times New Roman" w:hAnsi="Times New Roman" w:cs="Times New Roman"/>
          <w:sz w:val="20"/>
          <w:szCs w:val="20"/>
        </w:rPr>
      </w:pPr>
    </w:p>
    <w:p w14:paraId="68A7A3D4" w14:textId="1F70CE35" w:rsidR="00D335D5" w:rsidRPr="002011B4" w:rsidRDefault="00486E00" w:rsidP="00D335D5">
      <w:pPr>
        <w:widowControl w:val="0"/>
        <w:pBdr>
          <w:top w:val="nil"/>
          <w:left w:val="nil"/>
          <w:bottom w:val="nil"/>
          <w:right w:val="nil"/>
          <w:between w:val="nil"/>
        </w:pBdr>
        <w:tabs>
          <w:tab w:val="left" w:pos="440"/>
        </w:tabs>
        <w:spacing w:after="220" w:line="240" w:lineRule="auto"/>
        <w:ind w:left="440" w:hanging="440"/>
        <w:rPr>
          <w:rFonts w:ascii="Times New Roman" w:eastAsia="Times New Roman" w:hAnsi="Times New Roman" w:cs="Times New Roman"/>
          <w:color w:val="000000"/>
          <w:sz w:val="20"/>
          <w:szCs w:val="20"/>
        </w:rPr>
      </w:pPr>
      <w:r w:rsidRPr="002011B4">
        <w:rPr>
          <w:rFonts w:ascii="Times New Roman" w:eastAsia="Times New Roman" w:hAnsi="Times New Roman" w:cs="Times New Roman"/>
          <w:color w:val="000000"/>
          <w:sz w:val="20"/>
          <w:szCs w:val="20"/>
        </w:rPr>
        <w:fldChar w:fldCharType="begin"/>
      </w:r>
      <w:r w:rsidR="00D335D5" w:rsidRPr="002011B4">
        <w:rPr>
          <w:rFonts w:ascii="Times New Roman" w:eastAsia="Times New Roman" w:hAnsi="Times New Roman" w:cs="Times New Roman"/>
          <w:color w:val="000000"/>
          <w:sz w:val="20"/>
          <w:szCs w:val="20"/>
        </w:rPr>
        <w:instrText>ADDIN paperpile_bibliography &lt;pp-bibliography&gt;&lt;first-reference-indices&gt;&lt;formatting&gt;1&lt;/formatting&gt;&lt;space-after&gt;1&lt;/space-after&gt;&lt;/first-reference-indices&gt;&lt;/pp-bibliography&gt; \* MERGEFORMAT</w:instrText>
      </w:r>
      <w:r w:rsidRPr="002011B4">
        <w:rPr>
          <w:rFonts w:ascii="Times New Roman" w:eastAsia="Times New Roman" w:hAnsi="Times New Roman" w:cs="Times New Roman"/>
          <w:color w:val="000000"/>
          <w:sz w:val="20"/>
          <w:szCs w:val="20"/>
        </w:rPr>
        <w:fldChar w:fldCharType="separate"/>
      </w:r>
      <w:r w:rsidR="00D335D5" w:rsidRPr="002011B4">
        <w:rPr>
          <w:rFonts w:ascii="Times New Roman" w:eastAsia="Times New Roman" w:hAnsi="Times New Roman" w:cs="Times New Roman"/>
          <w:color w:val="000000"/>
          <w:sz w:val="20"/>
          <w:szCs w:val="20"/>
        </w:rPr>
        <w:t>1</w:t>
      </w:r>
      <w:r w:rsidR="00D335D5" w:rsidRPr="002011B4">
        <w:rPr>
          <w:rFonts w:ascii="Times New Roman" w:eastAsia="Times New Roman" w:hAnsi="Times New Roman" w:cs="Times New Roman"/>
          <w:color w:val="000000"/>
          <w:sz w:val="20"/>
          <w:szCs w:val="20"/>
        </w:rPr>
        <w:tab/>
        <w:t xml:space="preserve">Pfeffer DA, Lucas TCD, May D, </w:t>
      </w:r>
      <w:r w:rsidR="00D335D5" w:rsidRPr="002011B4">
        <w:rPr>
          <w:rFonts w:ascii="Times New Roman" w:eastAsia="Times New Roman" w:hAnsi="Times New Roman" w:cs="Times New Roman"/>
          <w:i/>
          <w:color w:val="000000"/>
          <w:sz w:val="20"/>
          <w:szCs w:val="20"/>
        </w:rPr>
        <w:t>et al.</w:t>
      </w:r>
      <w:r w:rsidR="00D335D5" w:rsidRPr="002011B4">
        <w:rPr>
          <w:rFonts w:ascii="Times New Roman" w:eastAsia="Times New Roman" w:hAnsi="Times New Roman" w:cs="Times New Roman"/>
          <w:color w:val="000000"/>
          <w:sz w:val="20"/>
          <w:szCs w:val="20"/>
        </w:rPr>
        <w:t xml:space="preserve"> malariaAtlas: an R interface to global malariometric data hosted by the Malaria Atlas Project. </w:t>
      </w:r>
      <w:r w:rsidR="00D335D5" w:rsidRPr="002011B4">
        <w:rPr>
          <w:rFonts w:ascii="Times New Roman" w:eastAsia="Times New Roman" w:hAnsi="Times New Roman" w:cs="Times New Roman"/>
          <w:i/>
          <w:color w:val="000000"/>
          <w:sz w:val="20"/>
          <w:szCs w:val="20"/>
        </w:rPr>
        <w:t>Malar J</w:t>
      </w:r>
      <w:r w:rsidR="00D335D5" w:rsidRPr="002011B4">
        <w:rPr>
          <w:rFonts w:ascii="Times New Roman" w:eastAsia="Times New Roman" w:hAnsi="Times New Roman" w:cs="Times New Roman"/>
          <w:color w:val="000000"/>
          <w:sz w:val="20"/>
          <w:szCs w:val="20"/>
        </w:rPr>
        <w:t xml:space="preserve"> 2018; </w:t>
      </w:r>
      <w:r w:rsidR="00D335D5" w:rsidRPr="002011B4">
        <w:rPr>
          <w:rFonts w:ascii="Times New Roman" w:eastAsia="Times New Roman" w:hAnsi="Times New Roman" w:cs="Times New Roman"/>
          <w:b/>
          <w:color w:val="000000"/>
          <w:sz w:val="20"/>
          <w:szCs w:val="20"/>
        </w:rPr>
        <w:t>17</w:t>
      </w:r>
      <w:r w:rsidR="00D335D5" w:rsidRPr="002011B4">
        <w:rPr>
          <w:rFonts w:ascii="Times New Roman" w:eastAsia="Times New Roman" w:hAnsi="Times New Roman" w:cs="Times New Roman"/>
          <w:color w:val="000000"/>
          <w:sz w:val="20"/>
          <w:szCs w:val="20"/>
        </w:rPr>
        <w:t>: 352.</w:t>
      </w:r>
    </w:p>
    <w:p w14:paraId="30A03710" w14:textId="27EC4BCA" w:rsidR="00486E00" w:rsidRPr="002011B4" w:rsidRDefault="00D335D5" w:rsidP="00D335D5">
      <w:pPr>
        <w:widowControl w:val="0"/>
        <w:pBdr>
          <w:top w:val="nil"/>
          <w:left w:val="nil"/>
          <w:bottom w:val="nil"/>
          <w:right w:val="nil"/>
          <w:between w:val="nil"/>
        </w:pBdr>
        <w:tabs>
          <w:tab w:val="left" w:pos="440"/>
        </w:tabs>
        <w:spacing w:after="220" w:line="240" w:lineRule="auto"/>
        <w:ind w:left="440" w:hanging="440"/>
        <w:rPr>
          <w:rFonts w:ascii="Times New Roman" w:eastAsia="Times New Roman" w:hAnsi="Times New Roman" w:cs="Times New Roman"/>
          <w:color w:val="000000"/>
          <w:sz w:val="20"/>
          <w:szCs w:val="20"/>
        </w:rPr>
      </w:pPr>
      <w:r w:rsidRPr="002011B4">
        <w:rPr>
          <w:rFonts w:ascii="Times New Roman" w:eastAsia="Times New Roman" w:hAnsi="Times New Roman" w:cs="Times New Roman"/>
          <w:color w:val="000000"/>
          <w:sz w:val="20"/>
          <w:szCs w:val="20"/>
        </w:rPr>
        <w:t>2</w:t>
      </w:r>
      <w:r w:rsidRPr="002011B4">
        <w:rPr>
          <w:rFonts w:ascii="Times New Roman" w:eastAsia="Times New Roman" w:hAnsi="Times New Roman" w:cs="Times New Roman"/>
          <w:color w:val="000000"/>
          <w:sz w:val="20"/>
          <w:szCs w:val="20"/>
        </w:rPr>
        <w:tab/>
        <w:t xml:space="preserve">Hay SI, Snow RW. The malaria Atlas Project: developing global maps of malaria risk. </w:t>
      </w:r>
      <w:r w:rsidRPr="002011B4">
        <w:rPr>
          <w:rFonts w:ascii="Times New Roman" w:eastAsia="Times New Roman" w:hAnsi="Times New Roman" w:cs="Times New Roman"/>
          <w:i/>
          <w:color w:val="000000"/>
          <w:sz w:val="20"/>
          <w:szCs w:val="20"/>
        </w:rPr>
        <w:t>PLoS Med</w:t>
      </w:r>
      <w:r w:rsidRPr="002011B4">
        <w:rPr>
          <w:rFonts w:ascii="Times New Roman" w:eastAsia="Times New Roman" w:hAnsi="Times New Roman" w:cs="Times New Roman"/>
          <w:color w:val="000000"/>
          <w:sz w:val="20"/>
          <w:szCs w:val="20"/>
        </w:rPr>
        <w:t xml:space="preserve"> 2006; </w:t>
      </w:r>
      <w:r w:rsidRPr="002011B4">
        <w:rPr>
          <w:rFonts w:ascii="Times New Roman" w:eastAsia="Times New Roman" w:hAnsi="Times New Roman" w:cs="Times New Roman"/>
          <w:b/>
          <w:color w:val="000000"/>
          <w:sz w:val="20"/>
          <w:szCs w:val="20"/>
        </w:rPr>
        <w:t>3</w:t>
      </w:r>
      <w:r w:rsidRPr="002011B4">
        <w:rPr>
          <w:rFonts w:ascii="Times New Roman" w:eastAsia="Times New Roman" w:hAnsi="Times New Roman" w:cs="Times New Roman"/>
          <w:color w:val="000000"/>
          <w:sz w:val="20"/>
          <w:szCs w:val="20"/>
        </w:rPr>
        <w:t>: e473.</w:t>
      </w:r>
      <w:r w:rsidR="00486E00" w:rsidRPr="002011B4">
        <w:rPr>
          <w:rFonts w:ascii="Times New Roman" w:eastAsia="Times New Roman" w:hAnsi="Times New Roman" w:cs="Times New Roman"/>
          <w:color w:val="000000"/>
          <w:sz w:val="20"/>
          <w:szCs w:val="20"/>
        </w:rPr>
        <w:fldChar w:fldCharType="end"/>
      </w:r>
    </w:p>
    <w:p w14:paraId="6FA4E6C1" w14:textId="77777777" w:rsidR="000B7DD7" w:rsidRPr="002011B4" w:rsidRDefault="000B7DD7">
      <w:pPr>
        <w:widowControl w:val="0"/>
        <w:pBdr>
          <w:top w:val="nil"/>
          <w:left w:val="nil"/>
          <w:bottom w:val="nil"/>
          <w:right w:val="nil"/>
          <w:between w:val="nil"/>
        </w:pBdr>
        <w:spacing w:after="220" w:line="240" w:lineRule="auto"/>
        <w:ind w:left="440" w:hanging="440"/>
        <w:rPr>
          <w:rFonts w:ascii="Times New Roman" w:eastAsia="Times New Roman" w:hAnsi="Times New Roman" w:cs="Times New Roman"/>
          <w:sz w:val="20"/>
          <w:szCs w:val="20"/>
        </w:rPr>
      </w:pPr>
    </w:p>
    <w:sectPr w:rsidR="000B7DD7" w:rsidRPr="002011B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F973T133P423M134"/>
    <w:docVar w:name="paperpile-doc-name" w:val="bell_lancet_gh_submission1_supplement.docx"/>
    <w:docVar w:name="paperpile-includeDoi" w:val="false"/>
    <w:docVar w:name="paperpile-styleFile" w:val="the-lancet.csl"/>
    <w:docVar w:name="paperpile-styleId" w:val="the-lancet"/>
    <w:docVar w:name="paperpile-styleLabel" w:val="The Lancet"/>
    <w:docVar w:name="paperpile-styleLocale" w:val="default"/>
  </w:docVars>
  <w:rsids>
    <w:rsidRoot w:val="000B7DD7"/>
    <w:rsid w:val="000B7DD7"/>
    <w:rsid w:val="00142376"/>
    <w:rsid w:val="001A499A"/>
    <w:rsid w:val="002011B4"/>
    <w:rsid w:val="00307EFE"/>
    <w:rsid w:val="00486E00"/>
    <w:rsid w:val="005A157D"/>
    <w:rsid w:val="00613B02"/>
    <w:rsid w:val="006B1885"/>
    <w:rsid w:val="00832F2C"/>
    <w:rsid w:val="00B416AC"/>
    <w:rsid w:val="00C715B5"/>
    <w:rsid w:val="00D3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E5AD"/>
  <w15:docId w15:val="{A2416E02-27E0-488E-82F0-61573D9B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Bell, Griffin J.</cp:lastModifiedBy>
  <cp:revision>9</cp:revision>
  <dcterms:created xsi:type="dcterms:W3CDTF">2023-01-15T18:52:00Z</dcterms:created>
  <dcterms:modified xsi:type="dcterms:W3CDTF">2023-03-17T17:58:00Z</dcterms:modified>
</cp:coreProperties>
</file>