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35B" w:rsidRPr="00BA1FD8" w:rsidRDefault="00D00C80" w:rsidP="00BA1FD8">
      <w:pPr>
        <w:spacing w:line="360" w:lineRule="auto"/>
        <w:rPr>
          <w:rFonts w:ascii="Times New Roman" w:hAnsi="Times New Roman" w:cs="Times New Roman"/>
        </w:rPr>
      </w:pPr>
      <w:r w:rsidRPr="00D00C80">
        <w:rPr>
          <w:rFonts w:ascii="Times New Roman" w:hAnsi="Times New Roman" w:cs="Times New Roman"/>
          <w:noProof/>
        </w:rPr>
        <w:drawing>
          <wp:inline distT="0" distB="0" distL="0" distR="0">
            <wp:extent cx="5274310" cy="3496780"/>
            <wp:effectExtent l="0" t="0" r="2540" b="8890"/>
            <wp:docPr id="1" name="图片 1" descr="H:\文章\文章-罗光平\小图\Figure S1. 样本概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文章\文章-罗光平\小图\Figure S1. 样本概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FD8" w:rsidRDefault="00BA1FD8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BA1FD8">
        <w:rPr>
          <w:rFonts w:ascii="Times New Roman" w:hAnsi="Times New Roman" w:cs="Times New Roman"/>
          <w:b/>
          <w:sz w:val="18"/>
        </w:rPr>
        <w:t>Figure S1, Quality control of sequencing data GSE51575. A,</w:t>
      </w:r>
      <w:r w:rsidRPr="00BA1FD8">
        <w:rPr>
          <w:rFonts w:ascii="Times New Roman" w:hAnsi="Times New Roman" w:cs="Times New Roman"/>
          <w:sz w:val="18"/>
        </w:rPr>
        <w:t xml:space="preserve"> All samples were divided into 3 groups: normal tissue (green), EBVnGC (blue) and EBVaGC (red).</w:t>
      </w:r>
      <w:r w:rsidRPr="00BA1FD8">
        <w:rPr>
          <w:rFonts w:ascii="Times New Roman" w:hAnsi="Times New Roman" w:cs="Times New Roman"/>
          <w:b/>
          <w:sz w:val="18"/>
        </w:rPr>
        <w:t xml:space="preserve"> B,</w:t>
      </w:r>
      <w:r w:rsidRPr="00BA1FD8">
        <w:rPr>
          <w:rFonts w:ascii="Times New Roman" w:hAnsi="Times New Roman" w:cs="Times New Roman"/>
          <w:sz w:val="18"/>
        </w:rPr>
        <w:t xml:space="preserve"> The expression density of each samples. </w:t>
      </w:r>
      <w:r w:rsidRPr="00BA1FD8">
        <w:rPr>
          <w:rFonts w:ascii="Times New Roman" w:hAnsi="Times New Roman" w:cs="Times New Roman"/>
          <w:b/>
          <w:sz w:val="18"/>
        </w:rPr>
        <w:t xml:space="preserve">C, </w:t>
      </w:r>
      <w:r w:rsidRPr="00BA1FD8">
        <w:rPr>
          <w:rFonts w:ascii="Times New Roman" w:hAnsi="Times New Roman" w:cs="Times New Roman"/>
          <w:sz w:val="18"/>
        </w:rPr>
        <w:t>The PCA</w:t>
      </w:r>
      <w:r w:rsidRPr="00BA1FD8">
        <w:rPr>
          <w:sz w:val="18"/>
        </w:rPr>
        <w:t xml:space="preserve"> </w:t>
      </w:r>
      <w:r w:rsidRPr="00BA1FD8">
        <w:rPr>
          <w:rFonts w:ascii="Times New Roman" w:hAnsi="Times New Roman" w:cs="Times New Roman" w:hint="eastAsia"/>
          <w:sz w:val="18"/>
        </w:rPr>
        <w:t>d</w:t>
      </w:r>
      <w:r w:rsidRPr="00BA1FD8">
        <w:rPr>
          <w:rFonts w:ascii="Times New Roman" w:hAnsi="Times New Roman" w:cs="Times New Roman"/>
          <w:sz w:val="18"/>
        </w:rPr>
        <w:t xml:space="preserve">imensionality reduction and clustering of all samples. </w:t>
      </w:r>
      <w:r w:rsidRPr="00BA1FD8">
        <w:rPr>
          <w:rFonts w:ascii="Times New Roman" w:hAnsi="Times New Roman" w:cs="Times New Roman"/>
          <w:b/>
          <w:sz w:val="18"/>
        </w:rPr>
        <w:t>D and E,</w:t>
      </w:r>
      <w:r w:rsidRPr="00BA1FD8">
        <w:rPr>
          <w:rFonts w:ascii="Times New Roman" w:hAnsi="Times New Roman" w:cs="Times New Roman"/>
          <w:sz w:val="18"/>
        </w:rPr>
        <w:t xml:space="preserve"> The different expression genes of normal tissue vs. GC tissue and EBVnGC vs. EBVaGC. The blue and red points represent the down- and up-regulated genes, respectively.</w:t>
      </w:r>
    </w:p>
    <w:p w:rsidR="00BA1FD8" w:rsidRDefault="00BA1FD8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BA1FD8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drawing>
          <wp:inline distT="0" distB="0" distL="0" distR="0">
            <wp:extent cx="5274310" cy="2103581"/>
            <wp:effectExtent l="0" t="0" r="2540" b="0"/>
            <wp:docPr id="2" name="图片 2" descr="H:\文章\文章-罗光平\小图\Figure S2. 免疫GS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文章\文章-罗光平\小图\Figure S2. 免疫GSE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3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FD8" w:rsidRDefault="00BA1FD8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BA1FD8">
        <w:rPr>
          <w:rFonts w:ascii="Times New Roman" w:hAnsi="Times New Roman" w:cs="Times New Roman" w:hint="eastAsia"/>
          <w:b/>
          <w:sz w:val="18"/>
        </w:rPr>
        <w:t>Figu</w:t>
      </w:r>
      <w:r w:rsidRPr="00BA1FD8">
        <w:rPr>
          <w:rFonts w:ascii="Times New Roman" w:hAnsi="Times New Roman" w:cs="Times New Roman"/>
          <w:b/>
          <w:sz w:val="18"/>
        </w:rPr>
        <w:t xml:space="preserve">re S2, The GSEA charts of the whole genes in different compares. A, </w:t>
      </w:r>
      <w:r>
        <w:rPr>
          <w:rFonts w:ascii="Times New Roman" w:hAnsi="Times New Roman" w:cs="Times New Roman"/>
          <w:sz w:val="18"/>
        </w:rPr>
        <w:t xml:space="preserve">The pathways associated with various cancer types. </w:t>
      </w:r>
      <w:r w:rsidRPr="00BA1FD8">
        <w:rPr>
          <w:rFonts w:ascii="Times New Roman" w:hAnsi="Times New Roman" w:cs="Times New Roman"/>
          <w:b/>
          <w:sz w:val="18"/>
        </w:rPr>
        <w:t>B,</w:t>
      </w:r>
      <w:r>
        <w:rPr>
          <w:rFonts w:ascii="Times New Roman" w:hAnsi="Times New Roman" w:cs="Times New Roman"/>
          <w:sz w:val="18"/>
        </w:rPr>
        <w:t xml:space="preserve"> The pathways associated with</w:t>
      </w:r>
      <w:r w:rsidRPr="00BA1FD8"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 w:hint="eastAsia"/>
          <w:sz w:val="18"/>
        </w:rPr>
        <w:t>p</w:t>
      </w:r>
      <w:r w:rsidRPr="00BA1FD8">
        <w:rPr>
          <w:rFonts w:ascii="Times New Roman" w:hAnsi="Times New Roman" w:cs="Times New Roman"/>
          <w:sz w:val="18"/>
        </w:rPr>
        <w:t>athogenic microbial infection</w:t>
      </w:r>
      <w:r>
        <w:rPr>
          <w:rFonts w:ascii="Times New Roman" w:hAnsi="Times New Roman" w:cs="Times New Roman"/>
          <w:sz w:val="18"/>
        </w:rPr>
        <w:t xml:space="preserve">. </w:t>
      </w:r>
      <w:r w:rsidRPr="00BA1FD8">
        <w:rPr>
          <w:rFonts w:ascii="Times New Roman" w:hAnsi="Times New Roman" w:cs="Times New Roman"/>
          <w:b/>
          <w:sz w:val="18"/>
        </w:rPr>
        <w:t>C,</w:t>
      </w:r>
      <w:r>
        <w:rPr>
          <w:rFonts w:ascii="Times New Roman" w:hAnsi="Times New Roman" w:cs="Times New Roman"/>
          <w:sz w:val="18"/>
        </w:rPr>
        <w:t xml:space="preserve"> The pathways associated with immune response.</w:t>
      </w:r>
      <w:r w:rsidR="00AB07F2" w:rsidRPr="00AB07F2">
        <w:rPr>
          <w:rFonts w:ascii="Times New Roman" w:hAnsi="Times New Roman" w:cs="Times New Roman"/>
          <w:sz w:val="18"/>
        </w:rPr>
        <w:t xml:space="preserve"> </w:t>
      </w:r>
      <w:r w:rsidR="00AB07F2" w:rsidRPr="00570CC1">
        <w:rPr>
          <w:rFonts w:ascii="Times New Roman" w:hAnsi="Times New Roman" w:cs="Times New Roman"/>
          <w:sz w:val="18"/>
        </w:rPr>
        <w:t>The lines with various colors represent different pathways. The gray curve represents the sequencing of pathway-related genes according to their expressions.</w:t>
      </w:r>
    </w:p>
    <w:p w:rsidR="00AB07F2" w:rsidRDefault="00AB07F2" w:rsidP="00BA1FD8">
      <w:pPr>
        <w:spacing w:line="360" w:lineRule="auto"/>
        <w:rPr>
          <w:rFonts w:ascii="Times New Roman" w:hAnsi="Times New Roman" w:cs="Times New Roman"/>
          <w:noProof/>
          <w:sz w:val="18"/>
        </w:rPr>
      </w:pPr>
    </w:p>
    <w:p w:rsidR="00E1124A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drawing>
          <wp:inline distT="0" distB="0" distL="0" distR="0">
            <wp:extent cx="5274310" cy="5212413"/>
            <wp:effectExtent l="0" t="0" r="2540" b="7620"/>
            <wp:docPr id="3" name="图片 3" descr="H:\文章\文章-罗光平\小图\Figure S3. 癌旁vs胃癌-差异基因功能富集-树状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文章\文章-罗光平\小图\Figure S3. 癌旁vs胃癌-差异基因功能富集-树状图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1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7F2" w:rsidRDefault="00AB07F2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AB07F2">
        <w:rPr>
          <w:rFonts w:ascii="Times New Roman" w:hAnsi="Times New Roman" w:cs="Times New Roman" w:hint="eastAsia"/>
          <w:b/>
          <w:sz w:val="18"/>
        </w:rPr>
        <w:t xml:space="preserve">Figure S3, The </w:t>
      </w:r>
      <w:r w:rsidRPr="00AB07F2">
        <w:rPr>
          <w:rFonts w:ascii="Times New Roman" w:hAnsi="Times New Roman" w:cs="Times New Roman"/>
          <w:b/>
          <w:sz w:val="18"/>
        </w:rPr>
        <w:t>dendrogram of enrichment analysis according to the DEGs in normal tissue vs. GC tissue.</w:t>
      </w:r>
      <w:r>
        <w:rPr>
          <w:rFonts w:ascii="Times New Roman" w:hAnsi="Times New Roman" w:cs="Times New Roman"/>
          <w:sz w:val="18"/>
        </w:rPr>
        <w:t xml:space="preserve"> </w:t>
      </w:r>
      <w:r w:rsidRPr="00AB07F2">
        <w:rPr>
          <w:rFonts w:ascii="Times New Roman" w:hAnsi="Times New Roman" w:cs="Times New Roman"/>
          <w:sz w:val="18"/>
        </w:rPr>
        <w:t>From the top to the bottom</w:t>
      </w:r>
      <w:r>
        <w:rPr>
          <w:rFonts w:ascii="Times New Roman" w:hAnsi="Times New Roman" w:cs="Times New Roman"/>
          <w:sz w:val="18"/>
        </w:rPr>
        <w:t>，</w:t>
      </w:r>
      <w:r>
        <w:rPr>
          <w:rFonts w:ascii="Times New Roman" w:hAnsi="Times New Roman" w:cs="Times New Roman"/>
          <w:sz w:val="18"/>
        </w:rPr>
        <w:t xml:space="preserve">the BP, MF, CC and KEGG were listed. </w:t>
      </w:r>
      <w:r w:rsidRPr="00AB07F2">
        <w:rPr>
          <w:rFonts w:ascii="Times New Roman" w:hAnsi="Times New Roman" w:cs="Times New Roman"/>
          <w:sz w:val="18"/>
        </w:rPr>
        <w:t>The size and color of circles represent gene counts and p-value of each item.</w:t>
      </w:r>
    </w:p>
    <w:p w:rsidR="00AB07F2" w:rsidRDefault="00AB07F2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AB07F2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lastRenderedPageBreak/>
        <w:drawing>
          <wp:inline distT="0" distB="0" distL="0" distR="0">
            <wp:extent cx="5274310" cy="5603344"/>
            <wp:effectExtent l="0" t="0" r="2540" b="0"/>
            <wp:docPr id="4" name="图片 4" descr="H:\文章\文章-罗光平\小图\Figure S4. EBV(-)vs EBV(+)-差异基因功能富集-树状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文章\文章-罗光平\小图\Figure S4. EBV(-)vs EBV(+)-差异基因功能富集-树状图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7F2" w:rsidRDefault="00AB07F2" w:rsidP="00AB07F2">
      <w:pPr>
        <w:spacing w:line="360" w:lineRule="auto"/>
        <w:rPr>
          <w:rFonts w:ascii="Times New Roman" w:hAnsi="Times New Roman" w:cs="Times New Roman"/>
          <w:sz w:val="18"/>
        </w:rPr>
      </w:pPr>
      <w:r w:rsidRPr="00AB07F2">
        <w:rPr>
          <w:rFonts w:ascii="Times New Roman" w:hAnsi="Times New Roman" w:cs="Times New Roman" w:hint="eastAsia"/>
          <w:b/>
          <w:sz w:val="18"/>
        </w:rPr>
        <w:t>Figure S</w:t>
      </w:r>
      <w:r>
        <w:rPr>
          <w:rFonts w:ascii="Times New Roman" w:hAnsi="Times New Roman" w:cs="Times New Roman"/>
          <w:b/>
          <w:sz w:val="18"/>
        </w:rPr>
        <w:t>4</w:t>
      </w:r>
      <w:r w:rsidRPr="00AB07F2">
        <w:rPr>
          <w:rFonts w:ascii="Times New Roman" w:hAnsi="Times New Roman" w:cs="Times New Roman" w:hint="eastAsia"/>
          <w:b/>
          <w:sz w:val="18"/>
        </w:rPr>
        <w:t xml:space="preserve">, The </w:t>
      </w:r>
      <w:r w:rsidRPr="00AB07F2">
        <w:rPr>
          <w:rFonts w:ascii="Times New Roman" w:hAnsi="Times New Roman" w:cs="Times New Roman"/>
          <w:b/>
          <w:sz w:val="18"/>
        </w:rPr>
        <w:t xml:space="preserve">dendrogram of enrichment analysis according to the DEGs in </w:t>
      </w:r>
      <w:r>
        <w:rPr>
          <w:rFonts w:ascii="Times New Roman" w:hAnsi="Times New Roman" w:cs="Times New Roman"/>
          <w:b/>
          <w:sz w:val="18"/>
        </w:rPr>
        <w:t>EBVnGC</w:t>
      </w:r>
      <w:r w:rsidRPr="00AB07F2">
        <w:rPr>
          <w:rFonts w:ascii="Times New Roman" w:hAnsi="Times New Roman" w:cs="Times New Roman"/>
          <w:b/>
          <w:sz w:val="18"/>
        </w:rPr>
        <w:t xml:space="preserve"> vs. </w:t>
      </w:r>
      <w:r>
        <w:rPr>
          <w:rFonts w:ascii="Times New Roman" w:hAnsi="Times New Roman" w:cs="Times New Roman"/>
          <w:b/>
          <w:sz w:val="18"/>
        </w:rPr>
        <w:t>EBVaGC</w:t>
      </w:r>
      <w:r w:rsidRPr="00AB07F2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sz w:val="18"/>
        </w:rPr>
        <w:t xml:space="preserve"> </w:t>
      </w:r>
      <w:r w:rsidRPr="00AB07F2">
        <w:rPr>
          <w:rFonts w:ascii="Times New Roman" w:hAnsi="Times New Roman" w:cs="Times New Roman"/>
          <w:sz w:val="18"/>
        </w:rPr>
        <w:t>From the top to the bottom</w:t>
      </w:r>
      <w:r>
        <w:rPr>
          <w:rFonts w:ascii="Times New Roman" w:hAnsi="Times New Roman" w:cs="Times New Roman"/>
          <w:sz w:val="18"/>
        </w:rPr>
        <w:t>，</w:t>
      </w:r>
      <w:r>
        <w:rPr>
          <w:rFonts w:ascii="Times New Roman" w:hAnsi="Times New Roman" w:cs="Times New Roman"/>
          <w:sz w:val="18"/>
        </w:rPr>
        <w:t xml:space="preserve">the BP, MF, CC and KEGG were listed. </w:t>
      </w:r>
      <w:r w:rsidRPr="00AB07F2">
        <w:rPr>
          <w:rFonts w:ascii="Times New Roman" w:hAnsi="Times New Roman" w:cs="Times New Roman"/>
          <w:sz w:val="18"/>
        </w:rPr>
        <w:t>The size and color of circles represent gene counts and p-value of each item.</w:t>
      </w:r>
    </w:p>
    <w:p w:rsidR="00AB07F2" w:rsidRDefault="00AB07F2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E97FEC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lastRenderedPageBreak/>
        <w:drawing>
          <wp:inline distT="0" distB="0" distL="0" distR="0">
            <wp:extent cx="5274310" cy="3711386"/>
            <wp:effectExtent l="0" t="0" r="2540" b="3810"/>
            <wp:docPr id="5" name="图片 5" descr="H:\文章\文章-罗光平\小图\Figure S5. 共有下调基因-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文章\文章-罗光平\小图\Figure S5. 共有下调基因-G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1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FEC" w:rsidRDefault="00E97FEC" w:rsidP="00E97FEC">
      <w:pPr>
        <w:spacing w:line="360" w:lineRule="auto"/>
        <w:rPr>
          <w:rFonts w:ascii="Times New Roman" w:hAnsi="Times New Roman" w:cs="Times New Roman"/>
          <w:sz w:val="18"/>
        </w:rPr>
      </w:pPr>
      <w:r w:rsidRPr="00AB07F2">
        <w:rPr>
          <w:rFonts w:ascii="Times New Roman" w:hAnsi="Times New Roman" w:cs="Times New Roman" w:hint="eastAsia"/>
          <w:b/>
          <w:sz w:val="18"/>
        </w:rPr>
        <w:t>Figure S</w:t>
      </w:r>
      <w:r w:rsidR="00E1124A">
        <w:rPr>
          <w:rFonts w:ascii="Times New Roman" w:hAnsi="Times New Roman" w:cs="Times New Roman"/>
          <w:b/>
          <w:sz w:val="18"/>
        </w:rPr>
        <w:t>5</w:t>
      </w:r>
      <w:r w:rsidRPr="00AB07F2">
        <w:rPr>
          <w:rFonts w:ascii="Times New Roman" w:hAnsi="Times New Roman" w:cs="Times New Roman" w:hint="eastAsia"/>
          <w:b/>
          <w:sz w:val="18"/>
        </w:rPr>
        <w:t>, The</w:t>
      </w:r>
      <w:r>
        <w:rPr>
          <w:rFonts w:ascii="Times New Roman" w:hAnsi="Times New Roman" w:cs="Times New Roman"/>
          <w:b/>
          <w:sz w:val="18"/>
        </w:rPr>
        <w:t xml:space="preserve"> heatmap</w:t>
      </w:r>
      <w:r w:rsidRPr="00AB07F2">
        <w:rPr>
          <w:rFonts w:ascii="Times New Roman" w:hAnsi="Times New Roman" w:cs="Times New Roman"/>
          <w:b/>
          <w:sz w:val="18"/>
        </w:rPr>
        <w:t xml:space="preserve"> of enrichment analysis according to the </w:t>
      </w:r>
      <w:r w:rsidR="007F0CF8">
        <w:rPr>
          <w:rFonts w:ascii="Times New Roman" w:hAnsi="Times New Roman" w:cs="Times New Roman"/>
          <w:b/>
          <w:sz w:val="18"/>
        </w:rPr>
        <w:t>16</w:t>
      </w:r>
      <w:r>
        <w:rPr>
          <w:rFonts w:ascii="Times New Roman" w:hAnsi="Times New Roman" w:cs="Times New Roman"/>
          <w:b/>
          <w:sz w:val="18"/>
        </w:rPr>
        <w:t xml:space="preserve"> repeated </w:t>
      </w:r>
      <w:r w:rsidR="007F0CF8">
        <w:rPr>
          <w:rFonts w:ascii="Times New Roman" w:hAnsi="Times New Roman" w:cs="Times New Roman"/>
          <w:b/>
          <w:sz w:val="18"/>
        </w:rPr>
        <w:t>down-regulated genes</w:t>
      </w:r>
      <w:r w:rsidRPr="00AB07F2">
        <w:rPr>
          <w:rFonts w:ascii="Times New Roman" w:hAnsi="Times New Roman" w:cs="Times New Roman"/>
          <w:b/>
          <w:sz w:val="18"/>
        </w:rPr>
        <w:t xml:space="preserve"> in </w:t>
      </w:r>
      <w:r>
        <w:rPr>
          <w:rFonts w:ascii="Times New Roman" w:hAnsi="Times New Roman" w:cs="Times New Roman"/>
          <w:b/>
          <w:sz w:val="18"/>
        </w:rPr>
        <w:t xml:space="preserve">both </w:t>
      </w:r>
      <w:r w:rsidRPr="00AB07F2">
        <w:rPr>
          <w:rFonts w:ascii="Times New Roman" w:hAnsi="Times New Roman" w:cs="Times New Roman"/>
          <w:b/>
          <w:sz w:val="18"/>
        </w:rPr>
        <w:t>normal tissue vs. GC tissue</w:t>
      </w:r>
      <w:r>
        <w:rPr>
          <w:rFonts w:ascii="Times New Roman" w:hAnsi="Times New Roman" w:cs="Times New Roman"/>
          <w:b/>
          <w:sz w:val="18"/>
        </w:rPr>
        <w:t xml:space="preserve"> and EBVnGC</w:t>
      </w:r>
      <w:r w:rsidRPr="00AB07F2">
        <w:rPr>
          <w:rFonts w:ascii="Times New Roman" w:hAnsi="Times New Roman" w:cs="Times New Roman"/>
          <w:b/>
          <w:sz w:val="18"/>
        </w:rPr>
        <w:t xml:space="preserve"> vs. </w:t>
      </w:r>
      <w:r>
        <w:rPr>
          <w:rFonts w:ascii="Times New Roman" w:hAnsi="Times New Roman" w:cs="Times New Roman"/>
          <w:b/>
          <w:sz w:val="18"/>
        </w:rPr>
        <w:t>EBVaGC</w:t>
      </w:r>
      <w:r w:rsidRPr="00AB07F2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sz w:val="18"/>
        </w:rPr>
        <w:t xml:space="preserve"> </w:t>
      </w:r>
      <w:r w:rsidRPr="00AB07F2">
        <w:rPr>
          <w:rFonts w:ascii="Times New Roman" w:hAnsi="Times New Roman" w:cs="Times New Roman"/>
          <w:sz w:val="18"/>
        </w:rPr>
        <w:t>From the top to the bottom</w:t>
      </w:r>
      <w:r>
        <w:rPr>
          <w:rFonts w:ascii="Times New Roman" w:hAnsi="Times New Roman" w:cs="Times New Roman"/>
          <w:sz w:val="18"/>
        </w:rPr>
        <w:t>，</w:t>
      </w:r>
      <w:r w:rsidR="007F0CF8">
        <w:rPr>
          <w:rFonts w:ascii="Times New Roman" w:hAnsi="Times New Roman" w:cs="Times New Roman"/>
          <w:sz w:val="18"/>
        </w:rPr>
        <w:t>the BP, MF</w:t>
      </w:r>
      <w:r w:rsidR="007F0CF8" w:rsidRPr="007F0CF8">
        <w:rPr>
          <w:rFonts w:ascii="Times New Roman" w:hAnsi="Times New Roman" w:cs="Times New Roman"/>
          <w:sz w:val="18"/>
        </w:rPr>
        <w:t xml:space="preserve"> </w:t>
      </w:r>
      <w:r w:rsidR="007F0CF8">
        <w:rPr>
          <w:rFonts w:ascii="Times New Roman" w:hAnsi="Times New Roman" w:cs="Times New Roman"/>
          <w:sz w:val="18"/>
        </w:rPr>
        <w:t>and</w:t>
      </w:r>
      <w:r>
        <w:rPr>
          <w:rFonts w:ascii="Times New Roman" w:hAnsi="Times New Roman" w:cs="Times New Roman"/>
          <w:sz w:val="18"/>
        </w:rPr>
        <w:t xml:space="preserve"> CC were listed</w:t>
      </w:r>
      <w:r w:rsidR="007F0CF8" w:rsidRPr="007F0CF8">
        <w:t xml:space="preserve"> </w:t>
      </w:r>
      <w:r w:rsidR="007F0CF8" w:rsidRPr="007F0CF8">
        <w:rPr>
          <w:rFonts w:ascii="Times New Roman" w:hAnsi="Times New Roman" w:cs="Times New Roman"/>
          <w:sz w:val="18"/>
        </w:rPr>
        <w:t>with a panel shown associated genes.</w:t>
      </w:r>
    </w:p>
    <w:p w:rsidR="00E97FEC" w:rsidRDefault="00E97FEC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7F0CF8" w:rsidRDefault="00D00C80" w:rsidP="007F0CF8">
      <w:pPr>
        <w:spacing w:line="360" w:lineRule="auto"/>
        <w:jc w:val="center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lastRenderedPageBreak/>
        <w:drawing>
          <wp:inline distT="0" distB="0" distL="0" distR="0">
            <wp:extent cx="3225800" cy="8604665"/>
            <wp:effectExtent l="0" t="0" r="0" b="6350"/>
            <wp:docPr id="6" name="图片 6" descr="H:\文章\文章-罗光平\小图\Figure S6. 共有上调基因-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文章\文章-罗光平\小图\Figure S6. 共有上调基因-GO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794" cy="865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CF8" w:rsidRDefault="007F0CF8" w:rsidP="007F0CF8">
      <w:pPr>
        <w:spacing w:line="360" w:lineRule="auto"/>
        <w:rPr>
          <w:rFonts w:ascii="Times New Roman" w:hAnsi="Times New Roman" w:cs="Times New Roman"/>
          <w:sz w:val="18"/>
        </w:rPr>
      </w:pPr>
      <w:r w:rsidRPr="00AB07F2">
        <w:rPr>
          <w:rFonts w:ascii="Times New Roman" w:hAnsi="Times New Roman" w:cs="Times New Roman" w:hint="eastAsia"/>
          <w:b/>
          <w:sz w:val="18"/>
        </w:rPr>
        <w:lastRenderedPageBreak/>
        <w:t>Figure S</w:t>
      </w:r>
      <w:r w:rsidR="00E1124A">
        <w:rPr>
          <w:rFonts w:ascii="Times New Roman" w:hAnsi="Times New Roman" w:cs="Times New Roman"/>
          <w:b/>
          <w:sz w:val="18"/>
        </w:rPr>
        <w:t>6</w:t>
      </w:r>
      <w:r w:rsidRPr="00AB07F2">
        <w:rPr>
          <w:rFonts w:ascii="Times New Roman" w:hAnsi="Times New Roman" w:cs="Times New Roman" w:hint="eastAsia"/>
          <w:b/>
          <w:sz w:val="18"/>
        </w:rPr>
        <w:t>, The</w:t>
      </w:r>
      <w:r>
        <w:rPr>
          <w:rFonts w:ascii="Times New Roman" w:hAnsi="Times New Roman" w:cs="Times New Roman"/>
          <w:b/>
          <w:sz w:val="18"/>
        </w:rPr>
        <w:t xml:space="preserve"> heatmap</w:t>
      </w:r>
      <w:r w:rsidRPr="00AB07F2">
        <w:rPr>
          <w:rFonts w:ascii="Times New Roman" w:hAnsi="Times New Roman" w:cs="Times New Roman"/>
          <w:b/>
          <w:sz w:val="18"/>
        </w:rPr>
        <w:t xml:space="preserve"> of enrichment analysis according to the </w:t>
      </w:r>
      <w:r>
        <w:rPr>
          <w:rFonts w:ascii="Times New Roman" w:hAnsi="Times New Roman" w:cs="Times New Roman"/>
          <w:b/>
          <w:sz w:val="18"/>
        </w:rPr>
        <w:t>9 repeated up-regulated genes</w:t>
      </w:r>
      <w:r w:rsidRPr="00AB07F2">
        <w:rPr>
          <w:rFonts w:ascii="Times New Roman" w:hAnsi="Times New Roman" w:cs="Times New Roman"/>
          <w:b/>
          <w:sz w:val="18"/>
        </w:rPr>
        <w:t xml:space="preserve"> in </w:t>
      </w:r>
      <w:r>
        <w:rPr>
          <w:rFonts w:ascii="Times New Roman" w:hAnsi="Times New Roman" w:cs="Times New Roman"/>
          <w:b/>
          <w:sz w:val="18"/>
        </w:rPr>
        <w:t xml:space="preserve">both </w:t>
      </w:r>
      <w:r w:rsidRPr="00AB07F2">
        <w:rPr>
          <w:rFonts w:ascii="Times New Roman" w:hAnsi="Times New Roman" w:cs="Times New Roman"/>
          <w:b/>
          <w:sz w:val="18"/>
        </w:rPr>
        <w:t>normal tissue vs. GC tissue</w:t>
      </w:r>
      <w:r>
        <w:rPr>
          <w:rFonts w:ascii="Times New Roman" w:hAnsi="Times New Roman" w:cs="Times New Roman"/>
          <w:b/>
          <w:sz w:val="18"/>
        </w:rPr>
        <w:t xml:space="preserve"> and EBVnGC</w:t>
      </w:r>
      <w:r w:rsidRPr="00AB07F2">
        <w:rPr>
          <w:rFonts w:ascii="Times New Roman" w:hAnsi="Times New Roman" w:cs="Times New Roman"/>
          <w:b/>
          <w:sz w:val="18"/>
        </w:rPr>
        <w:t xml:space="preserve"> vs. </w:t>
      </w:r>
      <w:r>
        <w:rPr>
          <w:rFonts w:ascii="Times New Roman" w:hAnsi="Times New Roman" w:cs="Times New Roman"/>
          <w:b/>
          <w:sz w:val="18"/>
        </w:rPr>
        <w:t>EBVaGC</w:t>
      </w:r>
      <w:r w:rsidRPr="00AB07F2">
        <w:rPr>
          <w:rFonts w:ascii="Times New Roman" w:hAnsi="Times New Roman" w:cs="Times New Roman"/>
          <w:b/>
          <w:sz w:val="18"/>
        </w:rPr>
        <w:t>.</w:t>
      </w:r>
      <w:r>
        <w:rPr>
          <w:rFonts w:ascii="Times New Roman" w:hAnsi="Times New Roman" w:cs="Times New Roman"/>
          <w:sz w:val="18"/>
        </w:rPr>
        <w:t xml:space="preserve"> </w:t>
      </w:r>
      <w:r w:rsidRPr="00AB07F2">
        <w:rPr>
          <w:rFonts w:ascii="Times New Roman" w:hAnsi="Times New Roman" w:cs="Times New Roman"/>
          <w:sz w:val="18"/>
        </w:rPr>
        <w:t>From the top to the bottom</w:t>
      </w:r>
      <w:r>
        <w:rPr>
          <w:rFonts w:ascii="Times New Roman" w:hAnsi="Times New Roman" w:cs="Times New Roman"/>
          <w:sz w:val="18"/>
        </w:rPr>
        <w:t>，</w:t>
      </w:r>
      <w:r>
        <w:rPr>
          <w:rFonts w:ascii="Times New Roman" w:hAnsi="Times New Roman" w:cs="Times New Roman"/>
          <w:sz w:val="18"/>
        </w:rPr>
        <w:t>the BP, MF</w:t>
      </w:r>
      <w:r w:rsidRPr="007F0CF8"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>and CC were listed</w:t>
      </w:r>
      <w:r w:rsidRPr="007F0CF8">
        <w:t xml:space="preserve"> </w:t>
      </w:r>
      <w:r w:rsidRPr="007F0CF8">
        <w:rPr>
          <w:rFonts w:ascii="Times New Roman" w:hAnsi="Times New Roman" w:cs="Times New Roman"/>
          <w:sz w:val="18"/>
        </w:rPr>
        <w:t>with a panel shown associated genes.</w:t>
      </w:r>
    </w:p>
    <w:p w:rsidR="007F0CF8" w:rsidRDefault="007F0CF8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7F0CF8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drawing>
          <wp:inline distT="0" distB="0" distL="0" distR="0">
            <wp:extent cx="5274310" cy="3598892"/>
            <wp:effectExtent l="0" t="0" r="2540" b="1905"/>
            <wp:docPr id="7" name="图片 7" descr="H:\文章\文章-罗光平\小图\Figure S7. 非显著生存曲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文章\文章-罗光平\小图\Figure S7. 非显著生存曲线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98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CF8" w:rsidRDefault="007F0CF8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7F0CF8">
        <w:rPr>
          <w:rFonts w:ascii="Times New Roman" w:hAnsi="Times New Roman" w:cs="Times New Roman" w:hint="eastAsia"/>
          <w:b/>
          <w:sz w:val="18"/>
        </w:rPr>
        <w:t xml:space="preserve">Figure S7, The </w:t>
      </w:r>
      <w:r w:rsidRPr="007F0CF8">
        <w:rPr>
          <w:rFonts w:ascii="Times New Roman" w:hAnsi="Times New Roman" w:cs="Times New Roman"/>
          <w:b/>
          <w:sz w:val="18"/>
        </w:rPr>
        <w:t xml:space="preserve">overall survival curves of other 23 DEGs without significance in GC. </w:t>
      </w:r>
      <w:r w:rsidRPr="007F0CF8">
        <w:rPr>
          <w:rFonts w:ascii="Times New Roman" w:hAnsi="Times New Roman" w:cs="Times New Roman"/>
          <w:sz w:val="18"/>
        </w:rPr>
        <w:t>The red and blue lines represent the samples with a higher or lower gene level, respectively. The legend was listed on the right.</w:t>
      </w:r>
    </w:p>
    <w:p w:rsidR="007F0CF8" w:rsidRDefault="007F0CF8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7F0CF8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drawing>
          <wp:inline distT="0" distB="0" distL="0" distR="0">
            <wp:extent cx="5274310" cy="2761182"/>
            <wp:effectExtent l="0" t="0" r="2540" b="1270"/>
            <wp:docPr id="8" name="图片 8" descr="H:\文章\文章-罗光平\小图\Figure S8. 免疫细胞浸润-生存曲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文章\文章-罗光平\小图\Figure S8. 免疫细胞浸润-生存曲线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1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CF8" w:rsidRDefault="007F0CF8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7F0CF8">
        <w:rPr>
          <w:rFonts w:ascii="Times New Roman" w:hAnsi="Times New Roman" w:cs="Times New Roman" w:hint="eastAsia"/>
          <w:b/>
          <w:sz w:val="18"/>
        </w:rPr>
        <w:t>Figure S8,</w:t>
      </w:r>
      <w:r>
        <w:rPr>
          <w:rFonts w:ascii="Times New Roman" w:hAnsi="Times New Roman" w:cs="Times New Roman" w:hint="eastAsia"/>
          <w:sz w:val="18"/>
        </w:rPr>
        <w:t xml:space="preserve"> </w:t>
      </w:r>
      <w:r w:rsidRPr="00570CC1">
        <w:rPr>
          <w:rFonts w:ascii="Times New Roman" w:hAnsi="Times New Roman" w:cs="Times New Roman"/>
          <w:b/>
          <w:sz w:val="18"/>
        </w:rPr>
        <w:t xml:space="preserve">The </w:t>
      </w:r>
      <w:r>
        <w:rPr>
          <w:rFonts w:ascii="Times New Roman" w:hAnsi="Times New Roman" w:cs="Times New Roman"/>
          <w:b/>
          <w:sz w:val="18"/>
        </w:rPr>
        <w:t xml:space="preserve">correlation between </w:t>
      </w:r>
      <w:r>
        <w:rPr>
          <w:rFonts w:ascii="Times New Roman" w:hAnsi="Times New Roman" w:cs="Times New Roman" w:hint="eastAsia"/>
          <w:b/>
          <w:sz w:val="18"/>
        </w:rPr>
        <w:t>i</w:t>
      </w:r>
      <w:r w:rsidRPr="007F0CF8">
        <w:rPr>
          <w:rFonts w:ascii="Times New Roman" w:hAnsi="Times New Roman" w:cs="Times New Roman"/>
          <w:b/>
          <w:sz w:val="18"/>
        </w:rPr>
        <w:t>mmune cell infiltration</w:t>
      </w:r>
      <w:r w:rsidRPr="00570CC1">
        <w:rPr>
          <w:rFonts w:ascii="Times New Roman" w:hAnsi="Times New Roman" w:cs="Times New Roman"/>
          <w:b/>
          <w:sz w:val="18"/>
        </w:rPr>
        <w:t xml:space="preserve"> </w:t>
      </w:r>
      <w:r>
        <w:rPr>
          <w:rFonts w:ascii="Times New Roman" w:hAnsi="Times New Roman" w:cs="Times New Roman"/>
          <w:b/>
          <w:sz w:val="18"/>
        </w:rPr>
        <w:t>and ENTPD8</w:t>
      </w:r>
      <w:r>
        <w:rPr>
          <w:rFonts w:ascii="Times New Roman" w:hAnsi="Times New Roman" w:cs="Times New Roman" w:hint="eastAsia"/>
          <w:b/>
          <w:sz w:val="18"/>
        </w:rPr>
        <w:t>/</w:t>
      </w:r>
      <w:r w:rsidRPr="00570CC1">
        <w:rPr>
          <w:rFonts w:ascii="Times New Roman" w:hAnsi="Times New Roman" w:cs="Times New Roman"/>
          <w:b/>
          <w:sz w:val="18"/>
        </w:rPr>
        <w:t>PCOLCE2 expressions.</w:t>
      </w:r>
      <w:r>
        <w:rPr>
          <w:rFonts w:ascii="Times New Roman" w:hAnsi="Times New Roman" w:cs="Times New Roman"/>
          <w:b/>
          <w:sz w:val="18"/>
        </w:rPr>
        <w:t xml:space="preserve"> A, </w:t>
      </w:r>
      <w:r w:rsidRPr="00570CC1">
        <w:rPr>
          <w:rFonts w:ascii="Times New Roman" w:hAnsi="Times New Roman" w:cs="Times New Roman"/>
          <w:sz w:val="18"/>
        </w:rPr>
        <w:t xml:space="preserve">The </w:t>
      </w:r>
      <w:r w:rsidRPr="00570CC1">
        <w:rPr>
          <w:rFonts w:ascii="Times New Roman" w:hAnsi="Times New Roman" w:cs="Times New Roman"/>
          <w:sz w:val="18"/>
        </w:rPr>
        <w:lastRenderedPageBreak/>
        <w:t xml:space="preserve">survivorship curves of GC show the correlation between </w:t>
      </w:r>
      <w:r>
        <w:rPr>
          <w:rFonts w:ascii="Times New Roman" w:hAnsi="Times New Roman" w:cs="Times New Roman"/>
          <w:sz w:val="18"/>
        </w:rPr>
        <w:t>immune cell</w:t>
      </w:r>
      <w:r w:rsidRPr="00570CC1">
        <w:rPr>
          <w:rFonts w:ascii="Times New Roman" w:hAnsi="Times New Roman" w:cs="Times New Roman"/>
          <w:sz w:val="18"/>
        </w:rPr>
        <w:t xml:space="preserve"> infiltration and prognosis. The red and blue curves represent the higher or lower level of infiltration. </w:t>
      </w:r>
      <w:r>
        <w:rPr>
          <w:rFonts w:ascii="Times New Roman" w:hAnsi="Times New Roman" w:cs="Times New Roman"/>
          <w:b/>
          <w:sz w:val="18"/>
        </w:rPr>
        <w:t>B</w:t>
      </w:r>
      <w:r w:rsidRPr="00570CC1">
        <w:rPr>
          <w:rFonts w:ascii="Times New Roman" w:hAnsi="Times New Roman" w:cs="Times New Roman"/>
          <w:b/>
          <w:sz w:val="18"/>
        </w:rPr>
        <w:t>,</w:t>
      </w:r>
      <w:r w:rsidRPr="00570CC1">
        <w:rPr>
          <w:rFonts w:ascii="Times New Roman" w:hAnsi="Times New Roman" w:cs="Times New Roman"/>
          <w:sz w:val="18"/>
        </w:rPr>
        <w:t xml:space="preserve"> The correlation between </w:t>
      </w:r>
      <w:r>
        <w:rPr>
          <w:rFonts w:ascii="Times New Roman" w:hAnsi="Times New Roman" w:cs="Times New Roman"/>
          <w:sz w:val="18"/>
        </w:rPr>
        <w:t>each</w:t>
      </w:r>
      <w:r w:rsidRPr="00570CC1">
        <w:rPr>
          <w:rFonts w:ascii="Times New Roman" w:hAnsi="Times New Roman" w:cs="Times New Roman"/>
          <w:sz w:val="18"/>
        </w:rPr>
        <w:t xml:space="preserve"> infiltration</w:t>
      </w:r>
      <w:r>
        <w:rPr>
          <w:rFonts w:ascii="Times New Roman" w:hAnsi="Times New Roman" w:cs="Times New Roman"/>
          <w:sz w:val="18"/>
        </w:rPr>
        <w:t xml:space="preserve"> of immune cell</w:t>
      </w:r>
      <w:r w:rsidRPr="00570CC1">
        <w:rPr>
          <w:rFonts w:ascii="Times New Roman" w:hAnsi="Times New Roman" w:cs="Times New Roman"/>
          <w:sz w:val="18"/>
        </w:rPr>
        <w:t xml:space="preserve"> and ENTPD8 or PCOLCE2 expression. Each point represents a single GC samples. The blue lines represent the correlation coefficient.</w:t>
      </w:r>
    </w:p>
    <w:p w:rsidR="007F0CF8" w:rsidRDefault="007F0CF8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E1124A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drawing>
          <wp:inline distT="0" distB="0" distL="0" distR="0">
            <wp:extent cx="5274310" cy="2508121"/>
            <wp:effectExtent l="0" t="0" r="2540" b="6985"/>
            <wp:docPr id="9" name="图片 9" descr="H:\文章\文章-罗光平\小图\Figure S9. ENTPD8+PCOLCE2蛋白建模参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文章\文章-罗光平\小图\Figure S9. ENTPD8+PCOLCE2蛋白建模参数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0CF8" w:rsidRDefault="007F0CF8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45B25">
        <w:rPr>
          <w:rFonts w:ascii="Times New Roman" w:hAnsi="Times New Roman" w:cs="Times New Roman" w:hint="eastAsia"/>
          <w:b/>
          <w:sz w:val="18"/>
        </w:rPr>
        <w:t>Figure S</w:t>
      </w:r>
      <w:r w:rsidRPr="00D45B25">
        <w:rPr>
          <w:rFonts w:ascii="Times New Roman" w:hAnsi="Times New Roman" w:cs="Times New Roman"/>
          <w:b/>
          <w:sz w:val="18"/>
        </w:rPr>
        <w:t>9,</w:t>
      </w:r>
      <w:r w:rsidR="00D45B25" w:rsidRPr="00D45B25">
        <w:rPr>
          <w:rFonts w:ascii="Times New Roman" w:hAnsi="Times New Roman" w:cs="Times New Roman"/>
          <w:b/>
          <w:sz w:val="18"/>
        </w:rPr>
        <w:t xml:space="preserve"> The 3D modeling of protein based on the </w:t>
      </w:r>
      <w:r w:rsidR="00D45B25" w:rsidRPr="00D45B25">
        <w:rPr>
          <w:rFonts w:ascii="Times New Roman" w:hAnsi="Times New Roman" w:cs="Times New Roman" w:hint="eastAsia"/>
          <w:b/>
          <w:sz w:val="18"/>
        </w:rPr>
        <w:t>a</w:t>
      </w:r>
      <w:r w:rsidR="00D45B25" w:rsidRPr="00D45B25">
        <w:rPr>
          <w:rFonts w:ascii="Times New Roman" w:hAnsi="Times New Roman" w:cs="Times New Roman"/>
          <w:b/>
          <w:sz w:val="18"/>
        </w:rPr>
        <w:t xml:space="preserve">mino acid sequence of ENTPD8 and PCOLCE2. A, </w:t>
      </w:r>
      <w:r w:rsidR="00D45B25">
        <w:rPr>
          <w:rFonts w:ascii="Times New Roman" w:hAnsi="Times New Roman" w:cs="Times New Roman"/>
          <w:sz w:val="18"/>
        </w:rPr>
        <w:t>The comparison with non-redundant set of PDB structures.</w:t>
      </w:r>
      <w:r w:rsidR="00D45B25" w:rsidRPr="00D45B25">
        <w:rPr>
          <w:rFonts w:ascii="Times New Roman" w:hAnsi="Times New Roman" w:cs="Times New Roman"/>
          <w:b/>
          <w:sz w:val="18"/>
        </w:rPr>
        <w:t xml:space="preserve"> B,</w:t>
      </w:r>
      <w:r w:rsidR="00D45B25">
        <w:rPr>
          <w:rFonts w:ascii="Times New Roman" w:hAnsi="Times New Roman" w:cs="Times New Roman"/>
          <w:sz w:val="18"/>
        </w:rPr>
        <w:t xml:space="preserve"> Ramachandran plot of ENTPD8 and PCOLCE2. </w:t>
      </w:r>
      <w:r w:rsidR="00D45B25" w:rsidRPr="00D45B25">
        <w:rPr>
          <w:rFonts w:ascii="Times New Roman" w:hAnsi="Times New Roman" w:cs="Times New Roman"/>
          <w:b/>
          <w:sz w:val="18"/>
        </w:rPr>
        <w:t xml:space="preserve">C, </w:t>
      </w:r>
      <w:r w:rsidR="00D45B25">
        <w:rPr>
          <w:rFonts w:ascii="Times New Roman" w:hAnsi="Times New Roman" w:cs="Times New Roman"/>
          <w:sz w:val="18"/>
        </w:rPr>
        <w:t>The local quality estimate of ENTPD8 and PCOLCE2.</w:t>
      </w:r>
    </w:p>
    <w:p w:rsidR="00D45B25" w:rsidRDefault="00D45B25" w:rsidP="00BA1FD8">
      <w:pPr>
        <w:spacing w:line="360" w:lineRule="auto"/>
        <w:rPr>
          <w:rFonts w:ascii="Times New Roman" w:hAnsi="Times New Roman" w:cs="Times New Roman"/>
          <w:sz w:val="18"/>
        </w:rPr>
      </w:pPr>
    </w:p>
    <w:p w:rsidR="00D45B25" w:rsidRDefault="00D00C80" w:rsidP="00BA1FD8">
      <w:pPr>
        <w:spacing w:line="360" w:lineRule="auto"/>
        <w:rPr>
          <w:rFonts w:ascii="Times New Roman" w:hAnsi="Times New Roman" w:cs="Times New Roman"/>
          <w:sz w:val="18"/>
        </w:rPr>
      </w:pPr>
      <w:r w:rsidRPr="00D00C80">
        <w:rPr>
          <w:rFonts w:ascii="Times New Roman" w:hAnsi="Times New Roman" w:cs="Times New Roman"/>
          <w:noProof/>
          <w:sz w:val="18"/>
        </w:rPr>
        <w:lastRenderedPageBreak/>
        <w:drawing>
          <wp:inline distT="0" distB="0" distL="0" distR="0">
            <wp:extent cx="5274310" cy="4157936"/>
            <wp:effectExtent l="0" t="0" r="2540" b="0"/>
            <wp:docPr id="10" name="图片 10" descr="H:\文章\文章-罗光平\小图\Figure S10. ENTPD8+PCOLCE2 分子对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文章\文章-罗光平\小图\Figure S10. ENTPD8+PCOLCE2 分子对接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5B25" w:rsidRPr="00D45B25" w:rsidRDefault="00D45B25" w:rsidP="00BA1FD8">
      <w:pPr>
        <w:spacing w:line="360" w:lineRule="auto"/>
        <w:rPr>
          <w:rFonts w:ascii="Times New Roman" w:hAnsi="Times New Roman" w:cs="Times New Roman"/>
          <w:b/>
          <w:sz w:val="18"/>
        </w:rPr>
      </w:pPr>
      <w:r w:rsidRPr="00D45B25">
        <w:rPr>
          <w:rFonts w:ascii="Times New Roman" w:hAnsi="Times New Roman" w:cs="Times New Roman" w:hint="eastAsia"/>
          <w:b/>
          <w:sz w:val="18"/>
        </w:rPr>
        <w:t>Figure S10,</w:t>
      </w:r>
      <w:r w:rsidRPr="00D45B25">
        <w:rPr>
          <w:rFonts w:ascii="Times New Roman" w:hAnsi="Times New Roman" w:cs="Times New Roman"/>
          <w:b/>
          <w:sz w:val="18"/>
        </w:rPr>
        <w:t xml:space="preserve"> The top 4-9 stable binding modes of BLM to ENTPD8 and PCOLCE2 were shown via cartoon representation, respectively. In the local magnification, the dashed lines represent hydrogen bonds.</w:t>
      </w:r>
    </w:p>
    <w:sectPr w:rsidR="00D45B25" w:rsidRPr="00D45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606" w:rsidRDefault="00247606" w:rsidP="00BA1FD8">
      <w:r>
        <w:separator/>
      </w:r>
    </w:p>
  </w:endnote>
  <w:endnote w:type="continuationSeparator" w:id="0">
    <w:p w:rsidR="00247606" w:rsidRDefault="00247606" w:rsidP="00BA1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606" w:rsidRDefault="00247606" w:rsidP="00BA1FD8">
      <w:r>
        <w:separator/>
      </w:r>
    </w:p>
  </w:footnote>
  <w:footnote w:type="continuationSeparator" w:id="0">
    <w:p w:rsidR="00247606" w:rsidRDefault="00247606" w:rsidP="00BA1F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CFE"/>
    <w:rsid w:val="00247606"/>
    <w:rsid w:val="007F0CF8"/>
    <w:rsid w:val="00807C95"/>
    <w:rsid w:val="008E5072"/>
    <w:rsid w:val="00AB07F2"/>
    <w:rsid w:val="00BA1FD8"/>
    <w:rsid w:val="00BD4CFE"/>
    <w:rsid w:val="00C2335B"/>
    <w:rsid w:val="00D00C80"/>
    <w:rsid w:val="00D45B25"/>
    <w:rsid w:val="00E1124A"/>
    <w:rsid w:val="00E9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3A12AE-8CA0-4E06-8ED3-B4BEF41EF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C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1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1F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1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1F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zl1</dc:creator>
  <cp:keywords/>
  <dc:description/>
  <cp:lastModifiedBy>zl1</cp:lastModifiedBy>
  <cp:revision>5</cp:revision>
  <dcterms:created xsi:type="dcterms:W3CDTF">2023-05-04T08:02:00Z</dcterms:created>
  <dcterms:modified xsi:type="dcterms:W3CDTF">2023-05-05T02:41:00Z</dcterms:modified>
</cp:coreProperties>
</file>