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E218FB" w14:textId="77777777" w:rsidR="006E5430" w:rsidRDefault="006E5430" w:rsidP="00A51093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BAF42C5" w14:textId="0705C1A2" w:rsidR="00A51093" w:rsidRDefault="00A51093" w:rsidP="00A51093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Figure S2</w:t>
      </w:r>
    </w:p>
    <w:p w14:paraId="5DA12E05" w14:textId="77777777" w:rsidR="00A51093" w:rsidRDefault="00A51093" w:rsidP="00A51093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4BDC08D6" wp14:editId="534BD53B">
            <wp:extent cx="4322064" cy="3584448"/>
            <wp:effectExtent l="19050" t="0" r="2286" b="0"/>
            <wp:docPr id="12" name="Picture 11" descr="Fig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2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22064" cy="3584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F6756" w14:textId="30CA02D1" w:rsidR="006766C3" w:rsidRDefault="006E5430">
      <w:r w:rsidRPr="006E5430">
        <w:t xml:space="preserve">Comparison of interatomic interactions in the wild-type and mutant form. Wild-type and mutant residues are marked in green represented in stick form. (a)-(b) Structural comparison due to P4715L </w:t>
      </w:r>
      <w:proofErr w:type="spellStart"/>
      <w:r w:rsidRPr="006E5430">
        <w:t>RdRp</w:t>
      </w:r>
      <w:proofErr w:type="spellEnd"/>
      <w:r w:rsidRPr="006E5430">
        <w:t>. (c)-(d) Structural comparison due to D614G in spike protein.</w:t>
      </w:r>
    </w:p>
    <w:sectPr w:rsidR="006766C3" w:rsidSect="006766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1093"/>
    <w:rsid w:val="006766C3"/>
    <w:rsid w:val="006E5430"/>
    <w:rsid w:val="00A51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AC774"/>
  <w15:docId w15:val="{EEB01AF4-4DE3-4F56-9ADA-CE5924AA8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10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1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1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Raja</dc:creator>
  <cp:lastModifiedBy>Kelly</cp:lastModifiedBy>
  <cp:revision>2</cp:revision>
  <dcterms:created xsi:type="dcterms:W3CDTF">2020-05-18T14:42:00Z</dcterms:created>
  <dcterms:modified xsi:type="dcterms:W3CDTF">2020-05-21T15:44:00Z</dcterms:modified>
</cp:coreProperties>
</file>