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BB7E2" w14:textId="77777777" w:rsidR="009C048B" w:rsidRDefault="0080193E" w:rsidP="00C23909">
      <w:pPr>
        <w:pStyle w:val="Ttulo"/>
        <w:spacing w:line="360" w:lineRule="auto"/>
        <w:jc w:val="both"/>
        <w:rPr>
          <w:sz w:val="36"/>
          <w:szCs w:val="36"/>
          <w:lang w:val="en-GB"/>
        </w:rPr>
      </w:pPr>
      <w:r w:rsidRPr="00981863">
        <w:rPr>
          <w:sz w:val="36"/>
          <w:szCs w:val="36"/>
          <w:lang w:val="en-GB"/>
        </w:rPr>
        <w:t xml:space="preserve">International shipping in a </w:t>
      </w:r>
      <w:r w:rsidR="00072A47" w:rsidRPr="00981863">
        <w:rPr>
          <w:sz w:val="36"/>
          <w:szCs w:val="36"/>
          <w:lang w:val="en-GB"/>
        </w:rPr>
        <w:t xml:space="preserve">world </w:t>
      </w:r>
      <w:r w:rsidR="00801DC5" w:rsidRPr="00981863">
        <w:rPr>
          <w:sz w:val="36"/>
          <w:szCs w:val="36"/>
          <w:lang w:val="en-GB"/>
        </w:rPr>
        <w:t>below 2</w:t>
      </w:r>
      <w:r w:rsidR="00801DC5" w:rsidRPr="00981863">
        <w:rPr>
          <w:sz w:val="36"/>
          <w:szCs w:val="36"/>
          <w:vertAlign w:val="superscript"/>
          <w:lang w:val="en-GB"/>
        </w:rPr>
        <w:t>o</w:t>
      </w:r>
      <w:r w:rsidR="0016780E" w:rsidRPr="00981863">
        <w:rPr>
          <w:sz w:val="36"/>
          <w:szCs w:val="36"/>
          <w:lang w:val="en-GB"/>
        </w:rPr>
        <w:t>C</w:t>
      </w:r>
      <w:r w:rsidR="00BC0E81">
        <w:rPr>
          <w:sz w:val="36"/>
          <w:szCs w:val="36"/>
          <w:lang w:val="en-GB"/>
        </w:rPr>
        <w:t xml:space="preserve"> </w:t>
      </w:r>
      <w:r w:rsidR="009C048B">
        <w:rPr>
          <w:sz w:val="36"/>
          <w:szCs w:val="36"/>
          <w:lang w:val="en-GB"/>
        </w:rPr>
        <w:t xml:space="preserve"> </w:t>
      </w:r>
    </w:p>
    <w:p w14:paraId="49D6EF40" w14:textId="511ACE8F" w:rsidR="009C048B" w:rsidRPr="00C23909" w:rsidRDefault="009C048B" w:rsidP="00C23909">
      <w:pPr>
        <w:pStyle w:val="Ttulo"/>
        <w:spacing w:line="360" w:lineRule="auto"/>
        <w:jc w:val="both"/>
        <w:rPr>
          <w:color w:val="1F4E79" w:themeColor="accent5" w:themeShade="80"/>
          <w:sz w:val="32"/>
          <w:szCs w:val="32"/>
          <w:lang w:val="en-GB"/>
        </w:rPr>
      </w:pPr>
      <w:r w:rsidRPr="00C23909">
        <w:rPr>
          <w:color w:val="1F4E79" w:themeColor="accent5" w:themeShade="80"/>
          <w:sz w:val="32"/>
          <w:szCs w:val="32"/>
          <w:lang w:val="en-GB"/>
        </w:rPr>
        <w:t>Supplementary Information</w:t>
      </w:r>
    </w:p>
    <w:p w14:paraId="7E2FADD5" w14:textId="291230CF" w:rsidR="00662324" w:rsidRDefault="00662324" w:rsidP="009C048B">
      <w:pPr>
        <w:rPr>
          <w:lang w:val="en-GB"/>
        </w:rPr>
      </w:pPr>
    </w:p>
    <w:p w14:paraId="1EA2BF61" w14:textId="29218F39" w:rsidR="009C048B" w:rsidRDefault="009C048B" w:rsidP="009C048B">
      <w:pPr>
        <w:pStyle w:val="HollandsSpoor"/>
      </w:pPr>
      <w:r>
        <w:t>Short description of global IAMs and their approach of international shipping</w:t>
      </w:r>
    </w:p>
    <w:p w14:paraId="3B555039" w14:textId="77777777" w:rsidR="00D017F3" w:rsidRDefault="00D017F3" w:rsidP="00D017F3">
      <w:pPr>
        <w:pStyle w:val="HollandsSpoor2"/>
      </w:pPr>
      <w:r>
        <w:t>Overview</w:t>
      </w:r>
    </w:p>
    <w:p w14:paraId="7554D93B" w14:textId="12AC6FDD" w:rsidR="00F50C1C" w:rsidRPr="00D017F3" w:rsidRDefault="00D017F3" w:rsidP="00D017F3">
      <w:pPr>
        <w:spacing w:line="360" w:lineRule="auto"/>
        <w:jc w:val="both"/>
        <w:rPr>
          <w:lang w:val="en-GB"/>
        </w:rPr>
      </w:pPr>
      <w:r>
        <w:rPr>
          <w:lang w:val="en-GB"/>
        </w:rPr>
        <w:fldChar w:fldCharType="begin"/>
      </w:r>
      <w:r>
        <w:rPr>
          <w:lang w:val="en-GB"/>
        </w:rPr>
        <w:instrText xml:space="preserve"> REF _Ref134447882 \h  \* MERGEFORMAT </w:instrText>
      </w:r>
      <w:r>
        <w:rPr>
          <w:lang w:val="en-GB"/>
        </w:rPr>
      </w:r>
      <w:r>
        <w:rPr>
          <w:lang w:val="en-GB"/>
        </w:rPr>
        <w:fldChar w:fldCharType="separate"/>
      </w:r>
      <w:r w:rsidR="00F3536E" w:rsidRPr="00981863">
        <w:rPr>
          <w:lang w:val="en-GB"/>
        </w:rPr>
        <w:t xml:space="preserve">Table </w:t>
      </w:r>
      <w:r w:rsidR="00F3536E" w:rsidRPr="00F3536E">
        <w:rPr>
          <w:lang w:val="en-GB"/>
        </w:rPr>
        <w:t>1</w:t>
      </w:r>
      <w:r>
        <w:rPr>
          <w:lang w:val="en-GB"/>
        </w:rPr>
        <w:fldChar w:fldCharType="end"/>
      </w:r>
      <w:r>
        <w:rPr>
          <w:lang w:val="en-GB"/>
        </w:rPr>
        <w:t xml:space="preserve"> shows key characteristics of the six global IAMs</w:t>
      </w:r>
      <w:r w:rsidR="00752572">
        <w:rPr>
          <w:lang w:val="en-GB"/>
        </w:rPr>
        <w:t>,</w:t>
      </w:r>
      <w:r>
        <w:rPr>
          <w:lang w:val="en-GB"/>
        </w:rPr>
        <w:t xml:space="preserve"> while </w:t>
      </w:r>
      <w:r w:rsidR="00F50C1C">
        <w:rPr>
          <w:lang w:val="en-GB"/>
        </w:rPr>
        <w:fldChar w:fldCharType="begin"/>
      </w:r>
      <w:r w:rsidR="00F50C1C">
        <w:rPr>
          <w:lang w:val="en-GB"/>
        </w:rPr>
        <w:instrText xml:space="preserve"> REF _Ref134448088 \h  \* MERGEFORMAT </w:instrText>
      </w:r>
      <w:r w:rsidR="00F50C1C">
        <w:rPr>
          <w:lang w:val="en-GB"/>
        </w:rPr>
      </w:r>
      <w:r w:rsidR="00F50C1C">
        <w:rPr>
          <w:lang w:val="en-GB"/>
        </w:rPr>
        <w:fldChar w:fldCharType="separate"/>
      </w:r>
      <w:r w:rsidR="00F3536E" w:rsidRPr="00981863">
        <w:rPr>
          <w:lang w:val="en-GB"/>
        </w:rPr>
        <w:t xml:space="preserve">Table </w:t>
      </w:r>
      <w:r w:rsidR="00F3536E" w:rsidRPr="00F3536E">
        <w:rPr>
          <w:lang w:val="en-GB"/>
        </w:rPr>
        <w:t>2</w:t>
      </w:r>
      <w:r w:rsidR="00F50C1C">
        <w:rPr>
          <w:lang w:val="en-GB"/>
        </w:rPr>
        <w:fldChar w:fldCharType="end"/>
      </w:r>
      <w:r w:rsidR="00F50C1C">
        <w:rPr>
          <w:lang w:val="en-GB"/>
        </w:rPr>
        <w:t xml:space="preserve"> </w:t>
      </w:r>
      <w:r w:rsidR="00752572">
        <w:rPr>
          <w:lang w:val="en-GB"/>
        </w:rPr>
        <w:t xml:space="preserve">reveals </w:t>
      </w:r>
      <w:r w:rsidR="00F50C1C">
        <w:rPr>
          <w:lang w:val="en-GB"/>
        </w:rPr>
        <w:t>the energy carrier options</w:t>
      </w:r>
      <w:r w:rsidR="00752572">
        <w:rPr>
          <w:lang w:val="en-GB"/>
        </w:rPr>
        <w:t xml:space="preserve"> for the international shipping sector</w:t>
      </w:r>
      <w:r w:rsidR="00F50C1C">
        <w:rPr>
          <w:lang w:val="en-GB"/>
        </w:rPr>
        <w:t xml:space="preserve"> represented in each model.</w:t>
      </w:r>
    </w:p>
    <w:p w14:paraId="3170D28E" w14:textId="7D4DCAF9" w:rsidR="00D017F3" w:rsidRPr="00D017F3" w:rsidRDefault="00D017F3" w:rsidP="00D017F3">
      <w:pPr>
        <w:pStyle w:val="Legenda"/>
        <w:spacing w:line="360" w:lineRule="auto"/>
        <w:jc w:val="center"/>
        <w:rPr>
          <w:i w:val="0"/>
          <w:iCs w:val="0"/>
          <w:lang w:val="en-GB"/>
        </w:rPr>
      </w:pPr>
      <w:bookmarkStart w:id="0" w:name="_Ref134447882"/>
      <w:r w:rsidRPr="00981863">
        <w:rPr>
          <w:i w:val="0"/>
          <w:iCs w:val="0"/>
          <w:lang w:val="en-GB"/>
        </w:rPr>
        <w:t xml:space="preserve">Table </w:t>
      </w:r>
      <w:r w:rsidRPr="00981863">
        <w:rPr>
          <w:i w:val="0"/>
          <w:iCs w:val="0"/>
          <w:lang w:val="en-GB"/>
        </w:rPr>
        <w:fldChar w:fldCharType="begin"/>
      </w:r>
      <w:r w:rsidRPr="00981863">
        <w:rPr>
          <w:i w:val="0"/>
          <w:iCs w:val="0"/>
          <w:lang w:val="en-GB"/>
        </w:rPr>
        <w:instrText xml:space="preserve"> SEQ Table \* ARABIC </w:instrText>
      </w:r>
      <w:r w:rsidRPr="00981863">
        <w:rPr>
          <w:i w:val="0"/>
          <w:iCs w:val="0"/>
          <w:lang w:val="en-GB"/>
        </w:rPr>
        <w:fldChar w:fldCharType="separate"/>
      </w:r>
      <w:r w:rsidR="00F3536E">
        <w:rPr>
          <w:i w:val="0"/>
          <w:iCs w:val="0"/>
          <w:noProof/>
          <w:lang w:val="en-GB"/>
        </w:rPr>
        <w:t>1</w:t>
      </w:r>
      <w:r w:rsidRPr="00981863">
        <w:rPr>
          <w:i w:val="0"/>
          <w:iCs w:val="0"/>
          <w:lang w:val="en-GB"/>
        </w:rPr>
        <w:fldChar w:fldCharType="end"/>
      </w:r>
      <w:bookmarkEnd w:id="0"/>
      <w:r w:rsidRPr="00981863">
        <w:rPr>
          <w:i w:val="0"/>
          <w:iCs w:val="0"/>
          <w:lang w:val="en-GB"/>
        </w:rPr>
        <w:t xml:space="preserve"> – </w:t>
      </w:r>
      <w:r>
        <w:rPr>
          <w:i w:val="0"/>
          <w:iCs w:val="0"/>
          <w:lang w:val="en-GB"/>
        </w:rPr>
        <w:t>Key features of global IAMs</w:t>
      </w:r>
    </w:p>
    <w:tbl>
      <w:tblPr>
        <w:tblStyle w:val="Tabelacomgrade"/>
        <w:tblW w:w="10915" w:type="dxa"/>
        <w:jc w:val="center"/>
        <w:tblLayout w:type="fixed"/>
        <w:tblLook w:val="04A0" w:firstRow="1" w:lastRow="0" w:firstColumn="1" w:lastColumn="0" w:noHBand="0" w:noVBand="1"/>
      </w:tblPr>
      <w:tblGrid>
        <w:gridCol w:w="1271"/>
        <w:gridCol w:w="851"/>
        <w:gridCol w:w="708"/>
        <w:gridCol w:w="631"/>
        <w:gridCol w:w="992"/>
        <w:gridCol w:w="851"/>
        <w:gridCol w:w="1216"/>
        <w:gridCol w:w="1560"/>
        <w:gridCol w:w="992"/>
        <w:gridCol w:w="1843"/>
      </w:tblGrid>
      <w:tr w:rsidR="00D017F3" w:rsidRPr="00D017F3" w14:paraId="406E9A23" w14:textId="77777777" w:rsidTr="003965C3">
        <w:trPr>
          <w:jc w:val="center"/>
        </w:trPr>
        <w:tc>
          <w:tcPr>
            <w:tcW w:w="1271" w:type="dxa"/>
            <w:vAlign w:val="center"/>
          </w:tcPr>
          <w:p w14:paraId="504A5A44" w14:textId="77777777" w:rsidR="00D017F3" w:rsidRPr="00D017F3" w:rsidRDefault="00D017F3" w:rsidP="003965C3">
            <w:pPr>
              <w:spacing w:line="360" w:lineRule="auto"/>
              <w:rPr>
                <w:sz w:val="16"/>
                <w:szCs w:val="16"/>
                <w:lang w:val="en-GB"/>
              </w:rPr>
            </w:pPr>
          </w:p>
        </w:tc>
        <w:tc>
          <w:tcPr>
            <w:tcW w:w="851" w:type="dxa"/>
            <w:vAlign w:val="center"/>
          </w:tcPr>
          <w:p w14:paraId="4F75C3E2" w14:textId="77777777" w:rsidR="00D017F3" w:rsidRPr="00D017F3" w:rsidRDefault="00D017F3" w:rsidP="003965C3">
            <w:pPr>
              <w:spacing w:line="360" w:lineRule="auto"/>
              <w:rPr>
                <w:b/>
                <w:bCs/>
                <w:sz w:val="16"/>
                <w:szCs w:val="16"/>
                <w:lang w:val="en-GB"/>
              </w:rPr>
            </w:pPr>
            <w:r w:rsidRPr="00D017F3">
              <w:rPr>
                <w:b/>
                <w:bCs/>
                <w:sz w:val="16"/>
                <w:szCs w:val="16"/>
                <w:lang w:val="en-GB"/>
              </w:rPr>
              <w:t>Version</w:t>
            </w:r>
          </w:p>
        </w:tc>
        <w:tc>
          <w:tcPr>
            <w:tcW w:w="708" w:type="dxa"/>
            <w:vAlign w:val="center"/>
          </w:tcPr>
          <w:p w14:paraId="73E8A57E" w14:textId="77777777" w:rsidR="00D017F3" w:rsidRPr="00D017F3" w:rsidRDefault="00D017F3" w:rsidP="003965C3">
            <w:pPr>
              <w:spacing w:line="360" w:lineRule="auto"/>
              <w:rPr>
                <w:b/>
                <w:bCs/>
                <w:sz w:val="16"/>
                <w:szCs w:val="16"/>
                <w:lang w:val="en-GB"/>
              </w:rPr>
            </w:pPr>
            <w:r>
              <w:rPr>
                <w:b/>
                <w:bCs/>
                <w:sz w:val="16"/>
                <w:szCs w:val="16"/>
                <w:lang w:val="en-GB"/>
              </w:rPr>
              <w:t>#</w:t>
            </w:r>
          </w:p>
          <w:p w14:paraId="3F21BE4C" w14:textId="77777777" w:rsidR="00D017F3" w:rsidRPr="00D017F3" w:rsidRDefault="00D017F3" w:rsidP="003965C3">
            <w:pPr>
              <w:spacing w:line="360" w:lineRule="auto"/>
              <w:rPr>
                <w:b/>
                <w:bCs/>
                <w:sz w:val="16"/>
                <w:szCs w:val="16"/>
                <w:lang w:val="en-GB"/>
              </w:rPr>
            </w:pPr>
            <w:r w:rsidRPr="00D017F3">
              <w:rPr>
                <w:b/>
                <w:bCs/>
                <w:sz w:val="16"/>
                <w:szCs w:val="16"/>
                <w:lang w:val="en-GB"/>
              </w:rPr>
              <w:t>of regions</w:t>
            </w:r>
          </w:p>
        </w:tc>
        <w:tc>
          <w:tcPr>
            <w:tcW w:w="631" w:type="dxa"/>
            <w:vAlign w:val="center"/>
          </w:tcPr>
          <w:p w14:paraId="0C8E3644" w14:textId="77777777" w:rsidR="00D017F3" w:rsidRPr="00D017F3" w:rsidRDefault="00D017F3" w:rsidP="003965C3">
            <w:pPr>
              <w:spacing w:line="360" w:lineRule="auto"/>
              <w:rPr>
                <w:b/>
                <w:bCs/>
                <w:sz w:val="16"/>
                <w:szCs w:val="16"/>
                <w:lang w:val="en-GB"/>
              </w:rPr>
            </w:pPr>
            <w:r w:rsidRPr="00D017F3">
              <w:rPr>
                <w:b/>
                <w:bCs/>
                <w:sz w:val="16"/>
                <w:szCs w:val="16"/>
                <w:lang w:val="en-GB"/>
              </w:rPr>
              <w:t>Time horizon</w:t>
            </w:r>
          </w:p>
        </w:tc>
        <w:tc>
          <w:tcPr>
            <w:tcW w:w="992" w:type="dxa"/>
            <w:vAlign w:val="center"/>
          </w:tcPr>
          <w:p w14:paraId="46C47B36" w14:textId="77777777" w:rsidR="00D017F3" w:rsidRPr="00D017F3" w:rsidRDefault="00D017F3" w:rsidP="003965C3">
            <w:pPr>
              <w:spacing w:line="360" w:lineRule="auto"/>
              <w:rPr>
                <w:b/>
                <w:bCs/>
                <w:sz w:val="16"/>
                <w:szCs w:val="16"/>
                <w:lang w:val="en-GB"/>
              </w:rPr>
            </w:pPr>
            <w:r w:rsidRPr="00D017F3">
              <w:rPr>
                <w:b/>
                <w:bCs/>
                <w:sz w:val="16"/>
                <w:szCs w:val="16"/>
                <w:lang w:val="en-GB"/>
              </w:rPr>
              <w:t>Time step</w:t>
            </w:r>
          </w:p>
        </w:tc>
        <w:tc>
          <w:tcPr>
            <w:tcW w:w="851" w:type="dxa"/>
            <w:vAlign w:val="center"/>
          </w:tcPr>
          <w:p w14:paraId="7AB79C68" w14:textId="77777777" w:rsidR="00D017F3" w:rsidRPr="00D017F3" w:rsidRDefault="00D017F3" w:rsidP="003965C3">
            <w:pPr>
              <w:spacing w:line="360" w:lineRule="auto"/>
              <w:jc w:val="both"/>
              <w:rPr>
                <w:b/>
                <w:bCs/>
                <w:sz w:val="16"/>
                <w:szCs w:val="16"/>
                <w:lang w:val="en-GB"/>
              </w:rPr>
            </w:pPr>
            <w:r w:rsidRPr="00D017F3">
              <w:rPr>
                <w:b/>
                <w:bCs/>
                <w:sz w:val="16"/>
                <w:szCs w:val="16"/>
                <w:lang w:val="en-GB"/>
              </w:rPr>
              <w:t>Type</w:t>
            </w:r>
          </w:p>
        </w:tc>
        <w:tc>
          <w:tcPr>
            <w:tcW w:w="1216" w:type="dxa"/>
            <w:vAlign w:val="center"/>
          </w:tcPr>
          <w:p w14:paraId="70F84128" w14:textId="77777777" w:rsidR="00D017F3" w:rsidRPr="00D017F3" w:rsidRDefault="00D017F3" w:rsidP="003965C3">
            <w:pPr>
              <w:spacing w:line="360" w:lineRule="auto"/>
              <w:rPr>
                <w:b/>
                <w:bCs/>
                <w:sz w:val="16"/>
                <w:szCs w:val="16"/>
                <w:lang w:val="en-GB"/>
              </w:rPr>
            </w:pPr>
            <w:r w:rsidRPr="00D017F3">
              <w:rPr>
                <w:b/>
                <w:bCs/>
                <w:sz w:val="16"/>
                <w:szCs w:val="16"/>
                <w:lang w:val="en-GB"/>
              </w:rPr>
              <w:t>Solution method</w:t>
            </w:r>
          </w:p>
        </w:tc>
        <w:tc>
          <w:tcPr>
            <w:tcW w:w="1560" w:type="dxa"/>
            <w:vAlign w:val="center"/>
          </w:tcPr>
          <w:p w14:paraId="7EE893A3" w14:textId="77777777" w:rsidR="00D017F3" w:rsidRPr="00D017F3" w:rsidRDefault="00D017F3" w:rsidP="003965C3">
            <w:pPr>
              <w:spacing w:line="360" w:lineRule="auto"/>
              <w:rPr>
                <w:b/>
                <w:bCs/>
                <w:sz w:val="16"/>
                <w:szCs w:val="16"/>
                <w:lang w:val="en-GB"/>
              </w:rPr>
            </w:pPr>
            <w:r w:rsidRPr="00D017F3">
              <w:rPr>
                <w:b/>
                <w:bCs/>
                <w:sz w:val="16"/>
                <w:szCs w:val="16"/>
                <w:lang w:val="en-GB"/>
              </w:rPr>
              <w:t>Solution concept</w:t>
            </w:r>
          </w:p>
        </w:tc>
        <w:tc>
          <w:tcPr>
            <w:tcW w:w="992" w:type="dxa"/>
            <w:vAlign w:val="center"/>
          </w:tcPr>
          <w:p w14:paraId="3B74DB03" w14:textId="77777777" w:rsidR="00D017F3" w:rsidRPr="00D017F3" w:rsidRDefault="00D017F3" w:rsidP="003965C3">
            <w:pPr>
              <w:spacing w:line="360" w:lineRule="auto"/>
              <w:rPr>
                <w:b/>
                <w:bCs/>
                <w:sz w:val="16"/>
                <w:szCs w:val="16"/>
                <w:lang w:val="en-GB"/>
              </w:rPr>
            </w:pPr>
            <w:r w:rsidRPr="00D017F3">
              <w:rPr>
                <w:b/>
                <w:bCs/>
                <w:sz w:val="16"/>
                <w:szCs w:val="16"/>
                <w:lang w:val="en-GB"/>
              </w:rPr>
              <w:t>Discount rate (%)</w:t>
            </w:r>
          </w:p>
        </w:tc>
        <w:tc>
          <w:tcPr>
            <w:tcW w:w="1843" w:type="dxa"/>
            <w:vAlign w:val="center"/>
          </w:tcPr>
          <w:p w14:paraId="0D02D33E" w14:textId="77777777" w:rsidR="00D017F3" w:rsidRPr="00D017F3" w:rsidRDefault="00D017F3" w:rsidP="003965C3">
            <w:pPr>
              <w:spacing w:line="360" w:lineRule="auto"/>
              <w:rPr>
                <w:b/>
                <w:bCs/>
                <w:sz w:val="16"/>
                <w:szCs w:val="16"/>
                <w:lang w:val="en-GB"/>
              </w:rPr>
            </w:pPr>
            <w:r w:rsidRPr="00D017F3">
              <w:rPr>
                <w:b/>
                <w:bCs/>
                <w:sz w:val="16"/>
                <w:szCs w:val="16"/>
                <w:lang w:val="en-GB"/>
              </w:rPr>
              <w:t>International shipping demand</w:t>
            </w:r>
          </w:p>
        </w:tc>
      </w:tr>
      <w:tr w:rsidR="00D017F3" w:rsidRPr="00D017F3" w14:paraId="3BE85D59" w14:textId="77777777" w:rsidTr="003965C3">
        <w:trPr>
          <w:trHeight w:val="1863"/>
          <w:jc w:val="center"/>
        </w:trPr>
        <w:tc>
          <w:tcPr>
            <w:tcW w:w="1271" w:type="dxa"/>
            <w:vAlign w:val="center"/>
          </w:tcPr>
          <w:p w14:paraId="6E1BF56C" w14:textId="77777777" w:rsidR="00D017F3" w:rsidRPr="00D017F3" w:rsidRDefault="00D017F3" w:rsidP="003965C3">
            <w:pPr>
              <w:spacing w:line="360" w:lineRule="auto"/>
              <w:rPr>
                <w:b/>
                <w:bCs/>
                <w:sz w:val="16"/>
                <w:szCs w:val="16"/>
                <w:lang w:val="en-GB"/>
              </w:rPr>
            </w:pPr>
            <w:r w:rsidRPr="00D017F3">
              <w:rPr>
                <w:b/>
                <w:bCs/>
                <w:sz w:val="16"/>
                <w:szCs w:val="16"/>
                <w:lang w:val="en-GB"/>
              </w:rPr>
              <w:t>COFFEE</w:t>
            </w:r>
          </w:p>
        </w:tc>
        <w:tc>
          <w:tcPr>
            <w:tcW w:w="851" w:type="dxa"/>
            <w:vAlign w:val="center"/>
          </w:tcPr>
          <w:p w14:paraId="41A31FBA" w14:textId="77777777" w:rsidR="00D017F3" w:rsidRPr="00D017F3" w:rsidRDefault="00D017F3" w:rsidP="003965C3">
            <w:pPr>
              <w:spacing w:line="360" w:lineRule="auto"/>
              <w:rPr>
                <w:sz w:val="16"/>
                <w:szCs w:val="16"/>
                <w:lang w:val="en-GB"/>
              </w:rPr>
            </w:pPr>
            <w:r w:rsidRPr="00D017F3">
              <w:rPr>
                <w:sz w:val="16"/>
                <w:szCs w:val="16"/>
                <w:lang w:val="en-GB"/>
              </w:rPr>
              <w:t>1.5</w:t>
            </w:r>
          </w:p>
        </w:tc>
        <w:tc>
          <w:tcPr>
            <w:tcW w:w="708" w:type="dxa"/>
            <w:vAlign w:val="center"/>
          </w:tcPr>
          <w:p w14:paraId="2A050733" w14:textId="77777777" w:rsidR="00D017F3" w:rsidRPr="00D017F3" w:rsidRDefault="00D017F3" w:rsidP="003965C3">
            <w:pPr>
              <w:spacing w:line="360" w:lineRule="auto"/>
              <w:rPr>
                <w:sz w:val="16"/>
                <w:szCs w:val="16"/>
                <w:lang w:val="en-GB"/>
              </w:rPr>
            </w:pPr>
            <w:r w:rsidRPr="00D017F3">
              <w:rPr>
                <w:sz w:val="16"/>
                <w:szCs w:val="16"/>
                <w:lang w:val="en-GB"/>
              </w:rPr>
              <w:t>18</w:t>
            </w:r>
          </w:p>
        </w:tc>
        <w:tc>
          <w:tcPr>
            <w:tcW w:w="631" w:type="dxa"/>
            <w:vAlign w:val="center"/>
          </w:tcPr>
          <w:p w14:paraId="1DF20732" w14:textId="77777777" w:rsidR="00D017F3" w:rsidRPr="00D017F3" w:rsidRDefault="00D017F3" w:rsidP="003965C3">
            <w:pPr>
              <w:spacing w:line="360" w:lineRule="auto"/>
              <w:rPr>
                <w:sz w:val="16"/>
                <w:szCs w:val="16"/>
                <w:lang w:val="en-GB"/>
              </w:rPr>
            </w:pPr>
            <w:r w:rsidRPr="00D017F3">
              <w:rPr>
                <w:sz w:val="16"/>
                <w:szCs w:val="16"/>
                <w:lang w:val="en-GB"/>
              </w:rPr>
              <w:t>2100</w:t>
            </w:r>
          </w:p>
        </w:tc>
        <w:tc>
          <w:tcPr>
            <w:tcW w:w="992" w:type="dxa"/>
            <w:vAlign w:val="center"/>
          </w:tcPr>
          <w:p w14:paraId="690AD092" w14:textId="77777777" w:rsidR="00D017F3" w:rsidRPr="00D017F3" w:rsidRDefault="00D017F3" w:rsidP="003965C3">
            <w:pPr>
              <w:spacing w:line="360" w:lineRule="auto"/>
              <w:rPr>
                <w:sz w:val="16"/>
                <w:szCs w:val="16"/>
                <w:lang w:val="en-GB"/>
              </w:rPr>
            </w:pPr>
            <w:r w:rsidRPr="00D017F3">
              <w:rPr>
                <w:sz w:val="16"/>
                <w:szCs w:val="16"/>
                <w:lang w:val="en-GB"/>
              </w:rPr>
              <w:t>5 years until 2050, then, 10 years</w:t>
            </w:r>
          </w:p>
        </w:tc>
        <w:tc>
          <w:tcPr>
            <w:tcW w:w="851" w:type="dxa"/>
            <w:vAlign w:val="center"/>
          </w:tcPr>
          <w:p w14:paraId="5EF04ED9" w14:textId="77777777" w:rsidR="00D017F3" w:rsidRPr="00D017F3" w:rsidRDefault="00D017F3" w:rsidP="003965C3">
            <w:pPr>
              <w:spacing w:line="360" w:lineRule="auto"/>
              <w:jc w:val="both"/>
              <w:rPr>
                <w:sz w:val="16"/>
                <w:szCs w:val="16"/>
                <w:lang w:val="en-GB"/>
              </w:rPr>
            </w:pPr>
            <w:r w:rsidRPr="00D017F3">
              <w:rPr>
                <w:sz w:val="16"/>
                <w:szCs w:val="16"/>
                <w:lang w:val="en-GB"/>
              </w:rPr>
              <w:t>Bottom-up</w:t>
            </w:r>
          </w:p>
        </w:tc>
        <w:tc>
          <w:tcPr>
            <w:tcW w:w="1216" w:type="dxa"/>
            <w:vAlign w:val="center"/>
          </w:tcPr>
          <w:p w14:paraId="440DC48E" w14:textId="77777777" w:rsidR="00D017F3" w:rsidRPr="00D017F3" w:rsidRDefault="00D017F3" w:rsidP="003965C3">
            <w:pPr>
              <w:spacing w:line="360" w:lineRule="auto"/>
              <w:rPr>
                <w:sz w:val="16"/>
                <w:szCs w:val="16"/>
                <w:lang w:val="en-GB"/>
              </w:rPr>
            </w:pPr>
            <w:r w:rsidRPr="00D017F3">
              <w:rPr>
                <w:sz w:val="16"/>
                <w:szCs w:val="16"/>
                <w:lang w:val="en-GB"/>
              </w:rPr>
              <w:t>Intertemporal optimization with perfect foresight solved through linear programming</w:t>
            </w:r>
          </w:p>
        </w:tc>
        <w:tc>
          <w:tcPr>
            <w:tcW w:w="1560" w:type="dxa"/>
            <w:vAlign w:val="center"/>
          </w:tcPr>
          <w:p w14:paraId="5F3A60BD" w14:textId="77777777" w:rsidR="00D017F3" w:rsidRPr="00D017F3" w:rsidRDefault="00D017F3" w:rsidP="003965C3">
            <w:pPr>
              <w:spacing w:line="360" w:lineRule="auto"/>
              <w:rPr>
                <w:sz w:val="16"/>
                <w:szCs w:val="16"/>
                <w:lang w:val="en-GB"/>
              </w:rPr>
            </w:pPr>
            <w:r w:rsidRPr="00D017F3">
              <w:rPr>
                <w:sz w:val="16"/>
                <w:szCs w:val="16"/>
                <w:lang w:val="en-GB"/>
              </w:rPr>
              <w:t>Partial equilibrium, focusing on energy, agriculture, and land use</w:t>
            </w:r>
          </w:p>
        </w:tc>
        <w:tc>
          <w:tcPr>
            <w:tcW w:w="992" w:type="dxa"/>
            <w:vAlign w:val="center"/>
          </w:tcPr>
          <w:p w14:paraId="5D9E14BD" w14:textId="77777777" w:rsidR="00D017F3" w:rsidRPr="00D017F3" w:rsidRDefault="00D017F3" w:rsidP="003965C3">
            <w:pPr>
              <w:spacing w:line="360" w:lineRule="auto"/>
              <w:rPr>
                <w:sz w:val="16"/>
                <w:szCs w:val="16"/>
                <w:lang w:val="en-GB"/>
              </w:rPr>
            </w:pPr>
            <w:r w:rsidRPr="00D017F3">
              <w:rPr>
                <w:sz w:val="16"/>
                <w:szCs w:val="16"/>
                <w:lang w:val="en-GB"/>
              </w:rPr>
              <w:t>5</w:t>
            </w:r>
          </w:p>
        </w:tc>
        <w:tc>
          <w:tcPr>
            <w:tcW w:w="1843" w:type="dxa"/>
            <w:vAlign w:val="center"/>
          </w:tcPr>
          <w:p w14:paraId="148E8DF3" w14:textId="77777777" w:rsidR="00D017F3" w:rsidRPr="00D017F3" w:rsidRDefault="00D017F3" w:rsidP="003965C3">
            <w:pPr>
              <w:spacing w:line="360" w:lineRule="auto"/>
              <w:rPr>
                <w:sz w:val="16"/>
                <w:szCs w:val="16"/>
                <w:lang w:val="en-GB"/>
              </w:rPr>
            </w:pPr>
            <w:r w:rsidRPr="00D017F3">
              <w:rPr>
                <w:sz w:val="16"/>
                <w:szCs w:val="16"/>
                <w:lang w:val="en-GB"/>
              </w:rPr>
              <w:t>Endogenous for main energy and agricultural products. General cargo driven by GDP</w:t>
            </w:r>
          </w:p>
        </w:tc>
      </w:tr>
      <w:tr w:rsidR="00D017F3" w:rsidRPr="00D017F3" w14:paraId="056F943E" w14:textId="77777777" w:rsidTr="003965C3">
        <w:trPr>
          <w:jc w:val="center"/>
        </w:trPr>
        <w:tc>
          <w:tcPr>
            <w:tcW w:w="1271" w:type="dxa"/>
            <w:vAlign w:val="center"/>
          </w:tcPr>
          <w:p w14:paraId="5C51F067" w14:textId="77777777" w:rsidR="00D017F3" w:rsidRPr="00D017F3" w:rsidRDefault="00D017F3" w:rsidP="003965C3">
            <w:pPr>
              <w:spacing w:line="360" w:lineRule="auto"/>
              <w:rPr>
                <w:b/>
                <w:bCs/>
                <w:sz w:val="16"/>
                <w:szCs w:val="16"/>
                <w:lang w:val="en-GB"/>
              </w:rPr>
            </w:pPr>
            <w:r w:rsidRPr="00D017F3">
              <w:rPr>
                <w:b/>
                <w:bCs/>
                <w:sz w:val="16"/>
                <w:szCs w:val="16"/>
                <w:lang w:val="en-GB"/>
              </w:rPr>
              <w:t>IMACLIM-R</w:t>
            </w:r>
          </w:p>
        </w:tc>
        <w:tc>
          <w:tcPr>
            <w:tcW w:w="851" w:type="dxa"/>
            <w:vAlign w:val="center"/>
          </w:tcPr>
          <w:p w14:paraId="4E808DC9" w14:textId="77777777" w:rsidR="00D017F3" w:rsidRPr="00D017F3" w:rsidRDefault="00D017F3" w:rsidP="003965C3">
            <w:pPr>
              <w:spacing w:line="360" w:lineRule="auto"/>
              <w:rPr>
                <w:sz w:val="16"/>
                <w:szCs w:val="16"/>
                <w:lang w:val="en-GB"/>
              </w:rPr>
            </w:pPr>
            <w:r w:rsidRPr="00D017F3">
              <w:rPr>
                <w:sz w:val="16"/>
                <w:szCs w:val="16"/>
                <w:lang w:val="en-GB"/>
              </w:rPr>
              <w:t>2.0</w:t>
            </w:r>
          </w:p>
        </w:tc>
        <w:tc>
          <w:tcPr>
            <w:tcW w:w="708" w:type="dxa"/>
            <w:vAlign w:val="center"/>
          </w:tcPr>
          <w:p w14:paraId="34CC4737" w14:textId="77777777" w:rsidR="00D017F3" w:rsidRPr="00D017F3" w:rsidRDefault="00D017F3" w:rsidP="003965C3">
            <w:pPr>
              <w:spacing w:line="360" w:lineRule="auto"/>
              <w:rPr>
                <w:sz w:val="16"/>
                <w:szCs w:val="16"/>
                <w:lang w:val="en-GB"/>
              </w:rPr>
            </w:pPr>
            <w:r w:rsidRPr="00D017F3">
              <w:rPr>
                <w:sz w:val="16"/>
                <w:szCs w:val="16"/>
                <w:lang w:val="en-GB"/>
              </w:rPr>
              <w:t>12</w:t>
            </w:r>
          </w:p>
        </w:tc>
        <w:tc>
          <w:tcPr>
            <w:tcW w:w="631" w:type="dxa"/>
            <w:vAlign w:val="center"/>
          </w:tcPr>
          <w:p w14:paraId="1BD4D1BD" w14:textId="77777777" w:rsidR="00D017F3" w:rsidRPr="00D017F3" w:rsidRDefault="00D017F3" w:rsidP="003965C3">
            <w:pPr>
              <w:spacing w:line="360" w:lineRule="auto"/>
              <w:rPr>
                <w:sz w:val="16"/>
                <w:szCs w:val="16"/>
                <w:lang w:val="en-GB"/>
              </w:rPr>
            </w:pPr>
            <w:r w:rsidRPr="00D017F3">
              <w:rPr>
                <w:sz w:val="16"/>
                <w:szCs w:val="16"/>
                <w:lang w:val="en-GB"/>
              </w:rPr>
              <w:t>2100</w:t>
            </w:r>
          </w:p>
        </w:tc>
        <w:tc>
          <w:tcPr>
            <w:tcW w:w="992" w:type="dxa"/>
            <w:vAlign w:val="center"/>
          </w:tcPr>
          <w:p w14:paraId="4E7F0172" w14:textId="77777777" w:rsidR="00D017F3" w:rsidRPr="00D017F3" w:rsidRDefault="00D017F3" w:rsidP="003965C3">
            <w:pPr>
              <w:spacing w:line="360" w:lineRule="auto"/>
              <w:rPr>
                <w:sz w:val="16"/>
                <w:szCs w:val="16"/>
                <w:lang w:val="en-GB"/>
              </w:rPr>
            </w:pPr>
            <w:r w:rsidRPr="00D017F3">
              <w:rPr>
                <w:sz w:val="16"/>
                <w:szCs w:val="16"/>
                <w:lang w:val="en-GB"/>
              </w:rPr>
              <w:t>1 year</w:t>
            </w:r>
          </w:p>
        </w:tc>
        <w:tc>
          <w:tcPr>
            <w:tcW w:w="851" w:type="dxa"/>
            <w:vAlign w:val="center"/>
          </w:tcPr>
          <w:p w14:paraId="79675EAF" w14:textId="77777777" w:rsidR="00D017F3" w:rsidRPr="00D017F3" w:rsidRDefault="00D017F3" w:rsidP="003965C3">
            <w:pPr>
              <w:spacing w:line="360" w:lineRule="auto"/>
              <w:jc w:val="both"/>
              <w:rPr>
                <w:sz w:val="16"/>
                <w:szCs w:val="16"/>
                <w:lang w:val="en-GB"/>
              </w:rPr>
            </w:pPr>
            <w:r w:rsidRPr="00D017F3">
              <w:rPr>
                <w:sz w:val="16"/>
                <w:szCs w:val="16"/>
                <w:lang w:val="en-GB"/>
              </w:rPr>
              <w:t>Hybrid</w:t>
            </w:r>
          </w:p>
        </w:tc>
        <w:tc>
          <w:tcPr>
            <w:tcW w:w="1216" w:type="dxa"/>
            <w:vAlign w:val="center"/>
          </w:tcPr>
          <w:p w14:paraId="0DA84B79" w14:textId="77777777" w:rsidR="00D017F3" w:rsidRPr="00D017F3" w:rsidRDefault="00D017F3" w:rsidP="003965C3">
            <w:pPr>
              <w:spacing w:line="360" w:lineRule="auto"/>
              <w:rPr>
                <w:sz w:val="16"/>
                <w:szCs w:val="16"/>
                <w:lang w:val="en-GB"/>
              </w:rPr>
            </w:pPr>
            <w:r w:rsidRPr="00D017F3">
              <w:rPr>
                <w:sz w:val="16"/>
                <w:szCs w:val="16"/>
                <w:lang w:val="en-GB"/>
              </w:rPr>
              <w:t>Recursive dynamic (myopic)</w:t>
            </w:r>
          </w:p>
        </w:tc>
        <w:tc>
          <w:tcPr>
            <w:tcW w:w="1560" w:type="dxa"/>
            <w:vAlign w:val="center"/>
          </w:tcPr>
          <w:p w14:paraId="0C642A04" w14:textId="77777777" w:rsidR="00D017F3" w:rsidRPr="00D017F3" w:rsidRDefault="00D017F3" w:rsidP="003965C3">
            <w:pPr>
              <w:spacing w:line="360" w:lineRule="auto"/>
              <w:rPr>
                <w:sz w:val="16"/>
                <w:szCs w:val="16"/>
                <w:lang w:val="en-GB"/>
              </w:rPr>
            </w:pPr>
            <w:r w:rsidRPr="00D017F3">
              <w:rPr>
                <w:sz w:val="16"/>
                <w:szCs w:val="16"/>
                <w:lang w:val="en-GB"/>
              </w:rPr>
              <w:t>General equilibrium (closed economy)</w:t>
            </w:r>
          </w:p>
        </w:tc>
        <w:tc>
          <w:tcPr>
            <w:tcW w:w="992" w:type="dxa"/>
            <w:vAlign w:val="center"/>
          </w:tcPr>
          <w:p w14:paraId="79AC92BF" w14:textId="77777777" w:rsidR="00D017F3" w:rsidRPr="00D017F3" w:rsidRDefault="00D017F3" w:rsidP="003965C3">
            <w:pPr>
              <w:spacing w:line="360" w:lineRule="auto"/>
              <w:rPr>
                <w:sz w:val="16"/>
                <w:szCs w:val="16"/>
                <w:lang w:val="en-GB"/>
              </w:rPr>
            </w:pPr>
            <w:r w:rsidRPr="00D017F3">
              <w:rPr>
                <w:sz w:val="16"/>
                <w:szCs w:val="16"/>
                <w:lang w:val="en-GB"/>
              </w:rPr>
              <w:t>n/a</w:t>
            </w:r>
          </w:p>
        </w:tc>
        <w:tc>
          <w:tcPr>
            <w:tcW w:w="1843" w:type="dxa"/>
            <w:vAlign w:val="center"/>
          </w:tcPr>
          <w:p w14:paraId="6C86AB89" w14:textId="77777777" w:rsidR="00D017F3" w:rsidRPr="00D017F3" w:rsidRDefault="00D017F3" w:rsidP="003965C3">
            <w:pPr>
              <w:spacing w:line="360" w:lineRule="auto"/>
              <w:rPr>
                <w:sz w:val="16"/>
                <w:szCs w:val="16"/>
                <w:lang w:val="en-GB"/>
              </w:rPr>
            </w:pPr>
            <w:r w:rsidRPr="00D017F3">
              <w:rPr>
                <w:sz w:val="16"/>
                <w:szCs w:val="16"/>
                <w:lang w:val="en-GB"/>
              </w:rPr>
              <w:t>Endogenous to trade activities of all economic sectors</w:t>
            </w:r>
          </w:p>
        </w:tc>
      </w:tr>
      <w:tr w:rsidR="00D017F3" w:rsidRPr="00D017F3" w14:paraId="5D885007" w14:textId="77777777" w:rsidTr="003965C3">
        <w:trPr>
          <w:jc w:val="center"/>
        </w:trPr>
        <w:tc>
          <w:tcPr>
            <w:tcW w:w="1271" w:type="dxa"/>
            <w:vAlign w:val="center"/>
          </w:tcPr>
          <w:p w14:paraId="2496D08A" w14:textId="77777777" w:rsidR="00D017F3" w:rsidRPr="00D017F3" w:rsidRDefault="00D017F3" w:rsidP="003965C3">
            <w:pPr>
              <w:spacing w:line="360" w:lineRule="auto"/>
              <w:rPr>
                <w:b/>
                <w:bCs/>
                <w:sz w:val="16"/>
                <w:szCs w:val="16"/>
                <w:lang w:val="en-GB"/>
              </w:rPr>
            </w:pPr>
            <w:r w:rsidRPr="00D017F3">
              <w:rPr>
                <w:b/>
                <w:bCs/>
                <w:sz w:val="16"/>
                <w:szCs w:val="16"/>
                <w:lang w:val="en-GB"/>
              </w:rPr>
              <w:t>IMAGE</w:t>
            </w:r>
          </w:p>
        </w:tc>
        <w:tc>
          <w:tcPr>
            <w:tcW w:w="851" w:type="dxa"/>
            <w:vAlign w:val="center"/>
          </w:tcPr>
          <w:p w14:paraId="48CAF295" w14:textId="2EF583E3" w:rsidR="00D017F3" w:rsidRPr="00D017F3" w:rsidRDefault="0020486B" w:rsidP="003965C3">
            <w:pPr>
              <w:spacing w:line="360" w:lineRule="auto"/>
              <w:rPr>
                <w:sz w:val="16"/>
                <w:szCs w:val="16"/>
                <w:lang w:val="en-GB"/>
              </w:rPr>
            </w:pPr>
            <w:r>
              <w:rPr>
                <w:sz w:val="16"/>
                <w:szCs w:val="16"/>
                <w:lang w:val="en-GB"/>
              </w:rPr>
              <w:t>3.2</w:t>
            </w:r>
          </w:p>
        </w:tc>
        <w:tc>
          <w:tcPr>
            <w:tcW w:w="708" w:type="dxa"/>
            <w:vAlign w:val="center"/>
          </w:tcPr>
          <w:p w14:paraId="2CC91DAA" w14:textId="77777777" w:rsidR="00D017F3" w:rsidRPr="00D017F3" w:rsidRDefault="00D017F3" w:rsidP="003965C3">
            <w:pPr>
              <w:spacing w:line="360" w:lineRule="auto"/>
              <w:rPr>
                <w:sz w:val="16"/>
                <w:szCs w:val="16"/>
                <w:lang w:val="en-GB"/>
              </w:rPr>
            </w:pPr>
            <w:r w:rsidRPr="00D017F3">
              <w:rPr>
                <w:sz w:val="16"/>
                <w:szCs w:val="16"/>
                <w:lang w:val="en-GB"/>
              </w:rPr>
              <w:t>26</w:t>
            </w:r>
          </w:p>
        </w:tc>
        <w:tc>
          <w:tcPr>
            <w:tcW w:w="631" w:type="dxa"/>
            <w:vAlign w:val="center"/>
          </w:tcPr>
          <w:p w14:paraId="3A83CCF0" w14:textId="77777777" w:rsidR="00D017F3" w:rsidRPr="00D017F3" w:rsidRDefault="00D017F3" w:rsidP="003965C3">
            <w:pPr>
              <w:spacing w:line="360" w:lineRule="auto"/>
              <w:rPr>
                <w:sz w:val="16"/>
                <w:szCs w:val="16"/>
                <w:lang w:val="en-GB"/>
              </w:rPr>
            </w:pPr>
            <w:r w:rsidRPr="00D017F3">
              <w:rPr>
                <w:sz w:val="16"/>
                <w:szCs w:val="16"/>
                <w:lang w:val="en-GB"/>
              </w:rPr>
              <w:t>2100</w:t>
            </w:r>
          </w:p>
        </w:tc>
        <w:tc>
          <w:tcPr>
            <w:tcW w:w="992" w:type="dxa"/>
            <w:vAlign w:val="center"/>
          </w:tcPr>
          <w:p w14:paraId="6D59E648" w14:textId="77777777" w:rsidR="00D017F3" w:rsidRPr="00D017F3" w:rsidRDefault="00D017F3" w:rsidP="003965C3">
            <w:pPr>
              <w:spacing w:line="360" w:lineRule="auto"/>
              <w:rPr>
                <w:sz w:val="16"/>
                <w:szCs w:val="16"/>
                <w:lang w:val="en-GB"/>
              </w:rPr>
            </w:pPr>
            <w:r w:rsidRPr="00D017F3">
              <w:rPr>
                <w:sz w:val="16"/>
                <w:szCs w:val="16"/>
                <w:lang w:val="en-GB"/>
              </w:rPr>
              <w:t>1 year</w:t>
            </w:r>
          </w:p>
        </w:tc>
        <w:tc>
          <w:tcPr>
            <w:tcW w:w="851" w:type="dxa"/>
            <w:vAlign w:val="center"/>
          </w:tcPr>
          <w:p w14:paraId="2CE442DB" w14:textId="77777777" w:rsidR="00D017F3" w:rsidRPr="00D017F3" w:rsidRDefault="00D017F3" w:rsidP="003965C3">
            <w:pPr>
              <w:spacing w:line="360" w:lineRule="auto"/>
              <w:jc w:val="both"/>
              <w:rPr>
                <w:sz w:val="16"/>
                <w:szCs w:val="16"/>
                <w:lang w:val="en-GB"/>
              </w:rPr>
            </w:pPr>
            <w:r w:rsidRPr="00D017F3">
              <w:rPr>
                <w:sz w:val="16"/>
                <w:szCs w:val="16"/>
                <w:lang w:val="en-GB"/>
              </w:rPr>
              <w:t>Bottom-up</w:t>
            </w:r>
          </w:p>
        </w:tc>
        <w:tc>
          <w:tcPr>
            <w:tcW w:w="1216" w:type="dxa"/>
            <w:vAlign w:val="center"/>
          </w:tcPr>
          <w:p w14:paraId="4BE59836" w14:textId="77777777" w:rsidR="00D017F3" w:rsidRPr="00D017F3" w:rsidRDefault="00D017F3" w:rsidP="003965C3">
            <w:pPr>
              <w:spacing w:line="360" w:lineRule="auto"/>
              <w:rPr>
                <w:sz w:val="16"/>
                <w:szCs w:val="16"/>
                <w:lang w:val="en-GB"/>
              </w:rPr>
            </w:pPr>
            <w:r w:rsidRPr="00D017F3">
              <w:rPr>
                <w:sz w:val="16"/>
                <w:szCs w:val="16"/>
                <w:lang w:val="en-GB"/>
              </w:rPr>
              <w:t>Recursive dynamic</w:t>
            </w:r>
          </w:p>
        </w:tc>
        <w:tc>
          <w:tcPr>
            <w:tcW w:w="1560" w:type="dxa"/>
            <w:vAlign w:val="center"/>
          </w:tcPr>
          <w:p w14:paraId="420D227D" w14:textId="5BBB151B" w:rsidR="00D017F3" w:rsidRPr="00D017F3" w:rsidRDefault="0020486B" w:rsidP="003965C3">
            <w:pPr>
              <w:spacing w:line="360" w:lineRule="auto"/>
              <w:rPr>
                <w:sz w:val="16"/>
                <w:szCs w:val="16"/>
                <w:lang w:val="en-GB"/>
              </w:rPr>
            </w:pPr>
            <w:r>
              <w:rPr>
                <w:sz w:val="16"/>
                <w:szCs w:val="16"/>
                <w:lang w:val="en-GB"/>
              </w:rPr>
              <w:t>Partial equilibrium (price elastic demand)</w:t>
            </w:r>
          </w:p>
        </w:tc>
        <w:tc>
          <w:tcPr>
            <w:tcW w:w="992" w:type="dxa"/>
            <w:vAlign w:val="center"/>
          </w:tcPr>
          <w:p w14:paraId="0CF0EB35" w14:textId="439F8979" w:rsidR="00D017F3" w:rsidRPr="00D017F3" w:rsidRDefault="0020486B" w:rsidP="003965C3">
            <w:pPr>
              <w:spacing w:line="360" w:lineRule="auto"/>
              <w:rPr>
                <w:sz w:val="16"/>
                <w:szCs w:val="16"/>
                <w:lang w:val="en-GB"/>
              </w:rPr>
            </w:pPr>
            <w:r>
              <w:rPr>
                <w:sz w:val="16"/>
                <w:szCs w:val="16"/>
                <w:lang w:val="en-GB"/>
              </w:rPr>
              <w:t>10</w:t>
            </w:r>
          </w:p>
        </w:tc>
        <w:tc>
          <w:tcPr>
            <w:tcW w:w="1843" w:type="dxa"/>
            <w:vAlign w:val="center"/>
          </w:tcPr>
          <w:p w14:paraId="117C02E9" w14:textId="515C3130" w:rsidR="00D017F3" w:rsidRPr="00D017F3" w:rsidRDefault="0020486B" w:rsidP="003965C3">
            <w:pPr>
              <w:spacing w:line="360" w:lineRule="auto"/>
              <w:rPr>
                <w:sz w:val="16"/>
                <w:szCs w:val="16"/>
                <w:lang w:val="en-GB"/>
              </w:rPr>
            </w:pPr>
            <w:r>
              <w:rPr>
                <w:sz w:val="16"/>
                <w:szCs w:val="16"/>
                <w:lang w:val="en-GB"/>
              </w:rPr>
              <w:t>Demand is projected with constant elasticity of the industry value added, and demand sensitivity to transport prices depends on its share of energy costs in the total service costs</w:t>
            </w:r>
          </w:p>
        </w:tc>
      </w:tr>
      <w:tr w:rsidR="00D017F3" w:rsidRPr="00D017F3" w14:paraId="7D93089A" w14:textId="77777777" w:rsidTr="003965C3">
        <w:trPr>
          <w:jc w:val="center"/>
        </w:trPr>
        <w:tc>
          <w:tcPr>
            <w:tcW w:w="1271" w:type="dxa"/>
            <w:vAlign w:val="center"/>
          </w:tcPr>
          <w:p w14:paraId="5172FCE6" w14:textId="77777777" w:rsidR="00D017F3" w:rsidRPr="00D017F3" w:rsidRDefault="00D017F3" w:rsidP="003965C3">
            <w:pPr>
              <w:spacing w:line="360" w:lineRule="auto"/>
              <w:rPr>
                <w:b/>
                <w:bCs/>
                <w:sz w:val="16"/>
                <w:szCs w:val="16"/>
                <w:lang w:val="en-GB"/>
              </w:rPr>
            </w:pPr>
            <w:r w:rsidRPr="00D017F3">
              <w:rPr>
                <w:b/>
                <w:bCs/>
                <w:sz w:val="16"/>
                <w:szCs w:val="16"/>
                <w:lang w:val="en-GB"/>
              </w:rPr>
              <w:t>PROMETHEUS</w:t>
            </w:r>
          </w:p>
        </w:tc>
        <w:tc>
          <w:tcPr>
            <w:tcW w:w="851" w:type="dxa"/>
            <w:vAlign w:val="center"/>
          </w:tcPr>
          <w:p w14:paraId="435CF406" w14:textId="77777777" w:rsidR="00D017F3" w:rsidRPr="00D017F3" w:rsidRDefault="00D017F3" w:rsidP="003965C3">
            <w:pPr>
              <w:spacing w:line="360" w:lineRule="auto"/>
              <w:rPr>
                <w:sz w:val="16"/>
                <w:szCs w:val="16"/>
                <w:lang w:val="en-GB"/>
              </w:rPr>
            </w:pPr>
            <w:r w:rsidRPr="00D017F3">
              <w:rPr>
                <w:sz w:val="16"/>
                <w:szCs w:val="16"/>
                <w:lang w:val="en-GB"/>
              </w:rPr>
              <w:t>1.2</w:t>
            </w:r>
          </w:p>
        </w:tc>
        <w:tc>
          <w:tcPr>
            <w:tcW w:w="708" w:type="dxa"/>
            <w:vAlign w:val="center"/>
          </w:tcPr>
          <w:p w14:paraId="600A564E" w14:textId="77777777" w:rsidR="00D017F3" w:rsidRPr="00D017F3" w:rsidRDefault="00D017F3" w:rsidP="003965C3">
            <w:pPr>
              <w:spacing w:line="360" w:lineRule="auto"/>
              <w:rPr>
                <w:sz w:val="16"/>
                <w:szCs w:val="16"/>
                <w:lang w:val="en-GB"/>
              </w:rPr>
            </w:pPr>
            <w:r w:rsidRPr="00D017F3">
              <w:rPr>
                <w:sz w:val="16"/>
                <w:szCs w:val="16"/>
                <w:lang w:val="en-GB"/>
              </w:rPr>
              <w:t>10</w:t>
            </w:r>
          </w:p>
        </w:tc>
        <w:tc>
          <w:tcPr>
            <w:tcW w:w="631" w:type="dxa"/>
            <w:vAlign w:val="center"/>
          </w:tcPr>
          <w:p w14:paraId="079DDD29" w14:textId="77777777" w:rsidR="00D017F3" w:rsidRPr="00D017F3" w:rsidRDefault="00D017F3" w:rsidP="003965C3">
            <w:pPr>
              <w:spacing w:line="360" w:lineRule="auto"/>
              <w:rPr>
                <w:sz w:val="16"/>
                <w:szCs w:val="16"/>
                <w:lang w:val="en-GB"/>
              </w:rPr>
            </w:pPr>
            <w:r w:rsidRPr="00D017F3">
              <w:rPr>
                <w:sz w:val="16"/>
                <w:szCs w:val="16"/>
                <w:lang w:val="en-GB"/>
              </w:rPr>
              <w:t>2050</w:t>
            </w:r>
          </w:p>
        </w:tc>
        <w:tc>
          <w:tcPr>
            <w:tcW w:w="992" w:type="dxa"/>
            <w:vAlign w:val="center"/>
          </w:tcPr>
          <w:p w14:paraId="4E3A13CF" w14:textId="77777777" w:rsidR="00D017F3" w:rsidRPr="00D017F3" w:rsidRDefault="00D017F3" w:rsidP="003965C3">
            <w:pPr>
              <w:spacing w:line="360" w:lineRule="auto"/>
              <w:rPr>
                <w:sz w:val="16"/>
                <w:szCs w:val="16"/>
                <w:lang w:val="en-GB"/>
              </w:rPr>
            </w:pPr>
            <w:r w:rsidRPr="00D017F3">
              <w:rPr>
                <w:sz w:val="16"/>
                <w:szCs w:val="16"/>
                <w:lang w:val="en-GB"/>
              </w:rPr>
              <w:t>1 year</w:t>
            </w:r>
          </w:p>
        </w:tc>
        <w:tc>
          <w:tcPr>
            <w:tcW w:w="851" w:type="dxa"/>
            <w:vAlign w:val="center"/>
          </w:tcPr>
          <w:p w14:paraId="2516C298" w14:textId="77777777" w:rsidR="00D017F3" w:rsidRPr="00D017F3" w:rsidRDefault="00D017F3" w:rsidP="003965C3">
            <w:pPr>
              <w:spacing w:line="360" w:lineRule="auto"/>
              <w:jc w:val="both"/>
              <w:rPr>
                <w:sz w:val="16"/>
                <w:szCs w:val="16"/>
                <w:lang w:val="en-GB"/>
              </w:rPr>
            </w:pPr>
            <w:r w:rsidRPr="00D017F3">
              <w:rPr>
                <w:sz w:val="16"/>
                <w:szCs w:val="16"/>
                <w:lang w:val="en-GB"/>
              </w:rPr>
              <w:t>Hybrid</w:t>
            </w:r>
          </w:p>
        </w:tc>
        <w:tc>
          <w:tcPr>
            <w:tcW w:w="1216" w:type="dxa"/>
            <w:vAlign w:val="center"/>
          </w:tcPr>
          <w:p w14:paraId="75340540" w14:textId="77777777" w:rsidR="00D017F3" w:rsidRPr="00D017F3" w:rsidRDefault="00D017F3" w:rsidP="003965C3">
            <w:pPr>
              <w:spacing w:line="360" w:lineRule="auto"/>
              <w:rPr>
                <w:sz w:val="16"/>
                <w:szCs w:val="16"/>
                <w:lang w:val="en-GB"/>
              </w:rPr>
            </w:pPr>
            <w:r w:rsidRPr="00D017F3">
              <w:rPr>
                <w:sz w:val="16"/>
                <w:szCs w:val="16"/>
                <w:lang w:val="en-GB"/>
              </w:rPr>
              <w:t>Recursive dynamic</w:t>
            </w:r>
          </w:p>
        </w:tc>
        <w:tc>
          <w:tcPr>
            <w:tcW w:w="1560" w:type="dxa"/>
            <w:vAlign w:val="center"/>
          </w:tcPr>
          <w:p w14:paraId="67BA65C1" w14:textId="77777777" w:rsidR="00D017F3" w:rsidRPr="00D017F3" w:rsidRDefault="00D017F3" w:rsidP="003965C3">
            <w:pPr>
              <w:spacing w:line="360" w:lineRule="auto"/>
              <w:rPr>
                <w:sz w:val="16"/>
                <w:szCs w:val="16"/>
                <w:lang w:val="en-GB"/>
              </w:rPr>
            </w:pPr>
            <w:r w:rsidRPr="00D017F3">
              <w:rPr>
                <w:sz w:val="16"/>
                <w:szCs w:val="16"/>
                <w:lang w:val="en-GB"/>
              </w:rPr>
              <w:t>Energy system simulation model, focusing on demand and supply</w:t>
            </w:r>
          </w:p>
        </w:tc>
        <w:tc>
          <w:tcPr>
            <w:tcW w:w="992" w:type="dxa"/>
            <w:vAlign w:val="center"/>
          </w:tcPr>
          <w:p w14:paraId="74DE808A" w14:textId="77777777" w:rsidR="00D017F3" w:rsidRPr="00D017F3" w:rsidRDefault="00D017F3" w:rsidP="003965C3">
            <w:pPr>
              <w:spacing w:line="360" w:lineRule="auto"/>
              <w:rPr>
                <w:sz w:val="16"/>
                <w:szCs w:val="16"/>
                <w:lang w:val="en-GB"/>
              </w:rPr>
            </w:pPr>
            <w:r w:rsidRPr="00D017F3">
              <w:rPr>
                <w:sz w:val="16"/>
                <w:szCs w:val="16"/>
                <w:lang w:val="en-GB"/>
              </w:rPr>
              <w:t>8</w:t>
            </w:r>
          </w:p>
        </w:tc>
        <w:tc>
          <w:tcPr>
            <w:tcW w:w="1843" w:type="dxa"/>
            <w:vAlign w:val="center"/>
          </w:tcPr>
          <w:p w14:paraId="16F62FC3" w14:textId="77777777" w:rsidR="00D017F3" w:rsidRPr="00D017F3" w:rsidRDefault="00D017F3" w:rsidP="003965C3">
            <w:pPr>
              <w:spacing w:line="360" w:lineRule="auto"/>
              <w:rPr>
                <w:sz w:val="16"/>
                <w:szCs w:val="16"/>
                <w:lang w:val="en-GB"/>
              </w:rPr>
            </w:pPr>
            <w:r w:rsidRPr="00D017F3">
              <w:rPr>
                <w:sz w:val="16"/>
                <w:szCs w:val="16"/>
                <w:lang w:val="en-GB"/>
              </w:rPr>
              <w:t>Semi-endogenous driven by trade of energy products and GDP developments</w:t>
            </w:r>
          </w:p>
        </w:tc>
      </w:tr>
      <w:tr w:rsidR="00752572" w:rsidRPr="00D017F3" w14:paraId="7F47C359" w14:textId="77777777" w:rsidTr="003965C3">
        <w:trPr>
          <w:jc w:val="center"/>
        </w:trPr>
        <w:tc>
          <w:tcPr>
            <w:tcW w:w="1271" w:type="dxa"/>
            <w:vAlign w:val="center"/>
          </w:tcPr>
          <w:p w14:paraId="0CBE0811" w14:textId="77777777" w:rsidR="00752572" w:rsidRPr="00D017F3" w:rsidRDefault="00752572" w:rsidP="00752572">
            <w:pPr>
              <w:spacing w:line="360" w:lineRule="auto"/>
              <w:rPr>
                <w:b/>
                <w:bCs/>
                <w:sz w:val="16"/>
                <w:szCs w:val="16"/>
                <w:lang w:val="en-GB"/>
              </w:rPr>
            </w:pPr>
            <w:r w:rsidRPr="00D017F3">
              <w:rPr>
                <w:b/>
                <w:bCs/>
                <w:sz w:val="16"/>
                <w:szCs w:val="16"/>
                <w:lang w:val="en-GB"/>
              </w:rPr>
              <w:t>TIAM</w:t>
            </w:r>
          </w:p>
        </w:tc>
        <w:tc>
          <w:tcPr>
            <w:tcW w:w="851" w:type="dxa"/>
            <w:vAlign w:val="center"/>
          </w:tcPr>
          <w:p w14:paraId="71481B10" w14:textId="5AABBDCA" w:rsidR="00752572" w:rsidRPr="00D017F3" w:rsidRDefault="00752572" w:rsidP="00752572">
            <w:pPr>
              <w:spacing w:line="360" w:lineRule="auto"/>
              <w:rPr>
                <w:sz w:val="16"/>
                <w:szCs w:val="16"/>
                <w:lang w:val="en-GB"/>
              </w:rPr>
            </w:pPr>
          </w:p>
        </w:tc>
        <w:tc>
          <w:tcPr>
            <w:tcW w:w="708" w:type="dxa"/>
            <w:vAlign w:val="center"/>
          </w:tcPr>
          <w:p w14:paraId="76431910" w14:textId="77777777" w:rsidR="00752572" w:rsidRPr="00D017F3" w:rsidRDefault="00752572" w:rsidP="00752572">
            <w:pPr>
              <w:spacing w:line="360" w:lineRule="auto"/>
              <w:rPr>
                <w:sz w:val="16"/>
                <w:szCs w:val="16"/>
                <w:lang w:val="en-GB"/>
              </w:rPr>
            </w:pPr>
            <w:r w:rsidRPr="00D017F3">
              <w:rPr>
                <w:sz w:val="16"/>
                <w:szCs w:val="16"/>
                <w:lang w:val="en-GB"/>
              </w:rPr>
              <w:t>15</w:t>
            </w:r>
          </w:p>
        </w:tc>
        <w:tc>
          <w:tcPr>
            <w:tcW w:w="631" w:type="dxa"/>
            <w:vAlign w:val="center"/>
          </w:tcPr>
          <w:p w14:paraId="07257C84" w14:textId="77777777" w:rsidR="00752572" w:rsidRPr="00D017F3" w:rsidRDefault="00752572" w:rsidP="00752572">
            <w:pPr>
              <w:spacing w:line="360" w:lineRule="auto"/>
              <w:rPr>
                <w:sz w:val="16"/>
                <w:szCs w:val="16"/>
                <w:lang w:val="en-GB"/>
              </w:rPr>
            </w:pPr>
            <w:r w:rsidRPr="00D017F3">
              <w:rPr>
                <w:sz w:val="16"/>
                <w:szCs w:val="16"/>
                <w:lang w:val="en-GB"/>
              </w:rPr>
              <w:t>2100</w:t>
            </w:r>
          </w:p>
        </w:tc>
        <w:tc>
          <w:tcPr>
            <w:tcW w:w="992" w:type="dxa"/>
            <w:vAlign w:val="center"/>
          </w:tcPr>
          <w:p w14:paraId="4426979D" w14:textId="099CC35B" w:rsidR="00752572" w:rsidRPr="00D017F3" w:rsidRDefault="00752572" w:rsidP="00752572">
            <w:pPr>
              <w:spacing w:line="360" w:lineRule="auto"/>
              <w:rPr>
                <w:sz w:val="16"/>
                <w:szCs w:val="16"/>
                <w:lang w:val="en-GB"/>
              </w:rPr>
            </w:pPr>
          </w:p>
        </w:tc>
        <w:tc>
          <w:tcPr>
            <w:tcW w:w="851" w:type="dxa"/>
            <w:vAlign w:val="center"/>
          </w:tcPr>
          <w:p w14:paraId="17933CB4" w14:textId="5DFF2CC9" w:rsidR="00752572" w:rsidRPr="00D017F3" w:rsidRDefault="00752572" w:rsidP="00752572">
            <w:pPr>
              <w:spacing w:line="360" w:lineRule="auto"/>
              <w:jc w:val="both"/>
              <w:rPr>
                <w:sz w:val="16"/>
                <w:szCs w:val="16"/>
                <w:lang w:val="en-GB"/>
              </w:rPr>
            </w:pPr>
          </w:p>
        </w:tc>
        <w:tc>
          <w:tcPr>
            <w:tcW w:w="1216" w:type="dxa"/>
            <w:vAlign w:val="center"/>
          </w:tcPr>
          <w:p w14:paraId="068C70A1" w14:textId="2165F3BD" w:rsidR="00752572" w:rsidRPr="00D017F3" w:rsidRDefault="00752572" w:rsidP="00752572">
            <w:pPr>
              <w:spacing w:line="360" w:lineRule="auto"/>
              <w:rPr>
                <w:sz w:val="16"/>
                <w:szCs w:val="16"/>
                <w:lang w:val="en-GB"/>
              </w:rPr>
            </w:pPr>
          </w:p>
        </w:tc>
        <w:tc>
          <w:tcPr>
            <w:tcW w:w="1560" w:type="dxa"/>
            <w:vAlign w:val="center"/>
          </w:tcPr>
          <w:p w14:paraId="54C97C8C" w14:textId="5F444F88" w:rsidR="00752572" w:rsidRPr="00D017F3" w:rsidRDefault="00752572" w:rsidP="00752572">
            <w:pPr>
              <w:spacing w:line="360" w:lineRule="auto"/>
              <w:rPr>
                <w:sz w:val="16"/>
                <w:szCs w:val="16"/>
                <w:lang w:val="en-GB"/>
              </w:rPr>
            </w:pPr>
          </w:p>
        </w:tc>
        <w:tc>
          <w:tcPr>
            <w:tcW w:w="992" w:type="dxa"/>
            <w:vAlign w:val="center"/>
          </w:tcPr>
          <w:p w14:paraId="50BBD934" w14:textId="5AAC053F" w:rsidR="00752572" w:rsidRPr="00D017F3" w:rsidRDefault="00752572" w:rsidP="00752572">
            <w:pPr>
              <w:spacing w:line="360" w:lineRule="auto"/>
              <w:rPr>
                <w:sz w:val="16"/>
                <w:szCs w:val="16"/>
                <w:lang w:val="en-GB"/>
              </w:rPr>
            </w:pPr>
          </w:p>
        </w:tc>
        <w:tc>
          <w:tcPr>
            <w:tcW w:w="1843" w:type="dxa"/>
            <w:vAlign w:val="center"/>
          </w:tcPr>
          <w:p w14:paraId="518891A2" w14:textId="145230DC" w:rsidR="00752572" w:rsidRPr="00D017F3" w:rsidRDefault="00752572" w:rsidP="00752572">
            <w:pPr>
              <w:spacing w:line="360" w:lineRule="auto"/>
              <w:rPr>
                <w:sz w:val="16"/>
                <w:szCs w:val="16"/>
                <w:lang w:val="en-GB"/>
              </w:rPr>
            </w:pPr>
          </w:p>
        </w:tc>
      </w:tr>
      <w:tr w:rsidR="00D017F3" w:rsidRPr="00D017F3" w14:paraId="3FDDD45C" w14:textId="77777777" w:rsidTr="003965C3">
        <w:trPr>
          <w:trHeight w:val="1009"/>
          <w:jc w:val="center"/>
        </w:trPr>
        <w:tc>
          <w:tcPr>
            <w:tcW w:w="1271" w:type="dxa"/>
            <w:vAlign w:val="center"/>
          </w:tcPr>
          <w:p w14:paraId="7F1E22D1" w14:textId="77777777" w:rsidR="00D017F3" w:rsidRPr="00D017F3" w:rsidRDefault="00D017F3" w:rsidP="003965C3">
            <w:pPr>
              <w:spacing w:line="360" w:lineRule="auto"/>
              <w:rPr>
                <w:b/>
                <w:bCs/>
                <w:sz w:val="16"/>
                <w:szCs w:val="16"/>
                <w:lang w:val="en-GB"/>
              </w:rPr>
            </w:pPr>
            <w:r w:rsidRPr="00D017F3">
              <w:rPr>
                <w:b/>
                <w:bCs/>
                <w:sz w:val="16"/>
                <w:szCs w:val="16"/>
                <w:lang w:val="en-GB"/>
              </w:rPr>
              <w:t>WITCH</w:t>
            </w:r>
          </w:p>
        </w:tc>
        <w:tc>
          <w:tcPr>
            <w:tcW w:w="851" w:type="dxa"/>
            <w:vAlign w:val="center"/>
          </w:tcPr>
          <w:p w14:paraId="422AA4EF" w14:textId="77777777" w:rsidR="00D017F3" w:rsidRPr="00D017F3" w:rsidRDefault="00D017F3" w:rsidP="003965C3">
            <w:pPr>
              <w:spacing w:line="360" w:lineRule="auto"/>
              <w:rPr>
                <w:sz w:val="16"/>
                <w:szCs w:val="16"/>
                <w:lang w:val="en-GB"/>
              </w:rPr>
            </w:pPr>
            <w:r w:rsidRPr="00D017F3">
              <w:rPr>
                <w:sz w:val="16"/>
                <w:szCs w:val="16"/>
                <w:lang w:val="en-GB"/>
              </w:rPr>
              <w:t>5.0</w:t>
            </w:r>
          </w:p>
        </w:tc>
        <w:tc>
          <w:tcPr>
            <w:tcW w:w="708" w:type="dxa"/>
            <w:vAlign w:val="center"/>
          </w:tcPr>
          <w:p w14:paraId="79064C26" w14:textId="77777777" w:rsidR="00D017F3" w:rsidRPr="00D017F3" w:rsidRDefault="00D017F3" w:rsidP="003965C3">
            <w:pPr>
              <w:spacing w:line="360" w:lineRule="auto"/>
              <w:rPr>
                <w:sz w:val="16"/>
                <w:szCs w:val="16"/>
                <w:lang w:val="en-GB"/>
              </w:rPr>
            </w:pPr>
            <w:r w:rsidRPr="00D017F3">
              <w:rPr>
                <w:sz w:val="16"/>
                <w:szCs w:val="16"/>
                <w:lang w:val="en-GB"/>
              </w:rPr>
              <w:t>17</w:t>
            </w:r>
          </w:p>
        </w:tc>
        <w:tc>
          <w:tcPr>
            <w:tcW w:w="631" w:type="dxa"/>
            <w:vAlign w:val="center"/>
          </w:tcPr>
          <w:p w14:paraId="01A43A28" w14:textId="77777777" w:rsidR="00D017F3" w:rsidRPr="00D017F3" w:rsidRDefault="00D017F3" w:rsidP="003965C3">
            <w:pPr>
              <w:spacing w:line="360" w:lineRule="auto"/>
              <w:rPr>
                <w:sz w:val="16"/>
                <w:szCs w:val="16"/>
                <w:lang w:val="en-GB"/>
              </w:rPr>
            </w:pPr>
            <w:r w:rsidRPr="00D017F3">
              <w:rPr>
                <w:sz w:val="16"/>
                <w:szCs w:val="16"/>
                <w:lang w:val="en-GB"/>
              </w:rPr>
              <w:t>2100</w:t>
            </w:r>
          </w:p>
        </w:tc>
        <w:tc>
          <w:tcPr>
            <w:tcW w:w="992" w:type="dxa"/>
            <w:vAlign w:val="center"/>
          </w:tcPr>
          <w:p w14:paraId="1457B6D3" w14:textId="77777777" w:rsidR="00D017F3" w:rsidRPr="00D017F3" w:rsidRDefault="00D017F3" w:rsidP="003965C3">
            <w:pPr>
              <w:spacing w:line="360" w:lineRule="auto"/>
              <w:rPr>
                <w:sz w:val="16"/>
                <w:szCs w:val="16"/>
                <w:lang w:val="en-GB"/>
              </w:rPr>
            </w:pPr>
            <w:r w:rsidRPr="00D017F3">
              <w:rPr>
                <w:sz w:val="16"/>
                <w:szCs w:val="16"/>
                <w:lang w:val="en-GB"/>
              </w:rPr>
              <w:t>5 years</w:t>
            </w:r>
          </w:p>
        </w:tc>
        <w:tc>
          <w:tcPr>
            <w:tcW w:w="851" w:type="dxa"/>
            <w:vAlign w:val="center"/>
          </w:tcPr>
          <w:p w14:paraId="040D692A" w14:textId="77777777" w:rsidR="00D017F3" w:rsidRPr="00D017F3" w:rsidRDefault="00D017F3" w:rsidP="003965C3">
            <w:pPr>
              <w:spacing w:line="360" w:lineRule="auto"/>
              <w:jc w:val="both"/>
              <w:rPr>
                <w:sz w:val="16"/>
                <w:szCs w:val="16"/>
                <w:lang w:val="en-GB"/>
              </w:rPr>
            </w:pPr>
            <w:r w:rsidRPr="00D017F3">
              <w:rPr>
                <w:sz w:val="16"/>
                <w:szCs w:val="16"/>
                <w:lang w:val="en-GB"/>
              </w:rPr>
              <w:t>Hybrid</w:t>
            </w:r>
          </w:p>
        </w:tc>
        <w:tc>
          <w:tcPr>
            <w:tcW w:w="1216" w:type="dxa"/>
            <w:vAlign w:val="center"/>
          </w:tcPr>
          <w:p w14:paraId="11882B31" w14:textId="77777777" w:rsidR="00D017F3" w:rsidRPr="00D017F3" w:rsidRDefault="00D017F3" w:rsidP="003965C3">
            <w:pPr>
              <w:spacing w:line="360" w:lineRule="auto"/>
              <w:rPr>
                <w:sz w:val="16"/>
                <w:szCs w:val="16"/>
                <w:lang w:val="en-GB"/>
              </w:rPr>
            </w:pPr>
            <w:r w:rsidRPr="00D017F3">
              <w:rPr>
                <w:sz w:val="16"/>
                <w:szCs w:val="16"/>
                <w:lang w:val="en-GB"/>
              </w:rPr>
              <w:t>Intertemporal optimization with perfect foresight</w:t>
            </w:r>
          </w:p>
        </w:tc>
        <w:tc>
          <w:tcPr>
            <w:tcW w:w="1560" w:type="dxa"/>
            <w:vAlign w:val="center"/>
          </w:tcPr>
          <w:p w14:paraId="2FEDB81A" w14:textId="77777777" w:rsidR="00D017F3" w:rsidRPr="00D017F3" w:rsidRDefault="00D017F3" w:rsidP="003965C3">
            <w:pPr>
              <w:spacing w:line="360" w:lineRule="auto"/>
              <w:rPr>
                <w:sz w:val="16"/>
                <w:szCs w:val="16"/>
                <w:lang w:val="en-GB"/>
              </w:rPr>
            </w:pPr>
            <w:r w:rsidRPr="00D017F3">
              <w:rPr>
                <w:sz w:val="16"/>
                <w:szCs w:val="16"/>
                <w:lang w:val="en-GB"/>
              </w:rPr>
              <w:t>General equilibrium</w:t>
            </w:r>
          </w:p>
        </w:tc>
        <w:tc>
          <w:tcPr>
            <w:tcW w:w="992" w:type="dxa"/>
            <w:vAlign w:val="center"/>
          </w:tcPr>
          <w:p w14:paraId="4DBC8F9B" w14:textId="77777777" w:rsidR="00D017F3" w:rsidRPr="00D017F3" w:rsidRDefault="00D017F3" w:rsidP="003965C3">
            <w:pPr>
              <w:spacing w:line="360" w:lineRule="auto"/>
              <w:rPr>
                <w:sz w:val="16"/>
                <w:szCs w:val="16"/>
                <w:lang w:val="en-GB"/>
              </w:rPr>
            </w:pPr>
            <w:r w:rsidRPr="00D017F3">
              <w:rPr>
                <w:sz w:val="16"/>
                <w:szCs w:val="16"/>
                <w:lang w:val="en-GB"/>
              </w:rPr>
              <w:t>Ramsey rate (3-5%)</w:t>
            </w:r>
          </w:p>
        </w:tc>
        <w:tc>
          <w:tcPr>
            <w:tcW w:w="1843" w:type="dxa"/>
            <w:vAlign w:val="center"/>
          </w:tcPr>
          <w:p w14:paraId="55DDFA72" w14:textId="77777777" w:rsidR="00D017F3" w:rsidRPr="00D017F3" w:rsidRDefault="00D017F3" w:rsidP="003965C3">
            <w:pPr>
              <w:spacing w:line="360" w:lineRule="auto"/>
              <w:rPr>
                <w:sz w:val="16"/>
                <w:szCs w:val="16"/>
                <w:lang w:val="en-GB"/>
              </w:rPr>
            </w:pPr>
            <w:r w:rsidRPr="00D017F3">
              <w:rPr>
                <w:sz w:val="16"/>
                <w:szCs w:val="16"/>
                <w:lang w:val="en-GB"/>
              </w:rPr>
              <w:t>Demand evolution is based on calibrated income and price elasticities</w:t>
            </w:r>
          </w:p>
        </w:tc>
      </w:tr>
    </w:tbl>
    <w:p w14:paraId="67943229" w14:textId="77777777" w:rsidR="00D017F3" w:rsidRDefault="00D017F3" w:rsidP="00D017F3">
      <w:pPr>
        <w:pStyle w:val="HollandsSpoor"/>
        <w:numPr>
          <w:ilvl w:val="0"/>
          <w:numId w:val="0"/>
        </w:numPr>
      </w:pPr>
    </w:p>
    <w:p w14:paraId="1F1A1496" w14:textId="77777777" w:rsidR="00F50C1C" w:rsidRDefault="00F50C1C" w:rsidP="00D017F3">
      <w:pPr>
        <w:pStyle w:val="HollandsSpoor"/>
        <w:numPr>
          <w:ilvl w:val="0"/>
          <w:numId w:val="0"/>
        </w:numPr>
      </w:pPr>
    </w:p>
    <w:p w14:paraId="4AD06724" w14:textId="77777777" w:rsidR="00F50C1C" w:rsidRDefault="00F50C1C" w:rsidP="00D017F3">
      <w:pPr>
        <w:pStyle w:val="HollandsSpoor"/>
        <w:numPr>
          <w:ilvl w:val="0"/>
          <w:numId w:val="0"/>
        </w:numPr>
      </w:pPr>
    </w:p>
    <w:p w14:paraId="1906AA2A" w14:textId="77777777" w:rsidR="00F50C1C" w:rsidRDefault="00F50C1C" w:rsidP="00D017F3">
      <w:pPr>
        <w:pStyle w:val="HollandsSpoor"/>
        <w:numPr>
          <w:ilvl w:val="0"/>
          <w:numId w:val="0"/>
        </w:numPr>
      </w:pPr>
    </w:p>
    <w:p w14:paraId="578BD924" w14:textId="3E6EA6C1" w:rsidR="00F50C1C" w:rsidRPr="00981863" w:rsidRDefault="00F50C1C" w:rsidP="00F50C1C">
      <w:pPr>
        <w:pStyle w:val="Legenda"/>
        <w:spacing w:line="360" w:lineRule="auto"/>
        <w:jc w:val="center"/>
        <w:rPr>
          <w:i w:val="0"/>
          <w:iCs w:val="0"/>
          <w:lang w:val="en-GB"/>
        </w:rPr>
      </w:pPr>
      <w:bookmarkStart w:id="1" w:name="_Ref134448088"/>
      <w:r w:rsidRPr="00981863">
        <w:rPr>
          <w:i w:val="0"/>
          <w:iCs w:val="0"/>
          <w:lang w:val="en-GB"/>
        </w:rPr>
        <w:t xml:space="preserve">Table </w:t>
      </w:r>
      <w:r w:rsidRPr="00981863">
        <w:rPr>
          <w:i w:val="0"/>
          <w:iCs w:val="0"/>
          <w:lang w:val="en-GB"/>
        </w:rPr>
        <w:fldChar w:fldCharType="begin"/>
      </w:r>
      <w:r w:rsidRPr="00981863">
        <w:rPr>
          <w:i w:val="0"/>
          <w:iCs w:val="0"/>
          <w:lang w:val="en-GB"/>
        </w:rPr>
        <w:instrText xml:space="preserve"> SEQ Table \* ARABIC </w:instrText>
      </w:r>
      <w:r w:rsidRPr="00981863">
        <w:rPr>
          <w:i w:val="0"/>
          <w:iCs w:val="0"/>
          <w:lang w:val="en-GB"/>
        </w:rPr>
        <w:fldChar w:fldCharType="separate"/>
      </w:r>
      <w:r w:rsidR="00F3536E">
        <w:rPr>
          <w:i w:val="0"/>
          <w:iCs w:val="0"/>
          <w:noProof/>
          <w:lang w:val="en-GB"/>
        </w:rPr>
        <w:t>2</w:t>
      </w:r>
      <w:r w:rsidRPr="00981863">
        <w:rPr>
          <w:i w:val="0"/>
          <w:iCs w:val="0"/>
          <w:lang w:val="en-GB"/>
        </w:rPr>
        <w:fldChar w:fldCharType="end"/>
      </w:r>
      <w:bookmarkEnd w:id="1"/>
      <w:r w:rsidRPr="00981863">
        <w:rPr>
          <w:i w:val="0"/>
          <w:iCs w:val="0"/>
          <w:lang w:val="en-GB"/>
        </w:rPr>
        <w:t xml:space="preserve"> – Energy carrier options represented across IAMs</w:t>
      </w:r>
    </w:p>
    <w:tbl>
      <w:tblPr>
        <w:tblStyle w:val="Tabelacomgrade"/>
        <w:tblW w:w="9547" w:type="dxa"/>
        <w:jc w:val="center"/>
        <w:tblLook w:val="04A0" w:firstRow="1" w:lastRow="0" w:firstColumn="1" w:lastColumn="0" w:noHBand="0" w:noVBand="1"/>
      </w:tblPr>
      <w:tblGrid>
        <w:gridCol w:w="5194"/>
        <w:gridCol w:w="646"/>
        <w:gridCol w:w="708"/>
        <w:gridCol w:w="735"/>
        <w:gridCol w:w="769"/>
        <w:gridCol w:w="749"/>
        <w:gridCol w:w="746"/>
      </w:tblGrid>
      <w:tr w:rsidR="00F50C1C" w:rsidRPr="00F50C1C" w14:paraId="2BB9323A" w14:textId="77777777" w:rsidTr="003965C3">
        <w:trPr>
          <w:jc w:val="center"/>
        </w:trPr>
        <w:tc>
          <w:tcPr>
            <w:tcW w:w="5194" w:type="dxa"/>
          </w:tcPr>
          <w:p w14:paraId="2B161E1C" w14:textId="77777777" w:rsidR="00F50C1C" w:rsidRPr="00F50C1C" w:rsidRDefault="00F50C1C" w:rsidP="003965C3">
            <w:pPr>
              <w:spacing w:line="360" w:lineRule="auto"/>
              <w:jc w:val="both"/>
              <w:rPr>
                <w:rFonts w:cstheme="minorHAnsi"/>
                <w:color w:val="000000" w:themeColor="text1"/>
                <w:sz w:val="16"/>
                <w:szCs w:val="16"/>
                <w:shd w:val="clear" w:color="auto" w:fill="FFFFFF"/>
                <w:lang w:val="en-GB"/>
              </w:rPr>
            </w:pPr>
          </w:p>
        </w:tc>
        <w:tc>
          <w:tcPr>
            <w:tcW w:w="646" w:type="dxa"/>
          </w:tcPr>
          <w:p w14:paraId="0A8DDE75"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color w:val="000000" w:themeColor="text1"/>
                <w:sz w:val="16"/>
                <w:szCs w:val="16"/>
                <w:shd w:val="clear" w:color="auto" w:fill="FFFFFF"/>
                <w:lang w:val="en-GB"/>
              </w:rPr>
              <w:t>COF</w:t>
            </w:r>
          </w:p>
        </w:tc>
        <w:tc>
          <w:tcPr>
            <w:tcW w:w="708" w:type="dxa"/>
          </w:tcPr>
          <w:p w14:paraId="7F9BF083"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color w:val="000000" w:themeColor="text1"/>
                <w:sz w:val="16"/>
                <w:szCs w:val="16"/>
                <w:shd w:val="clear" w:color="auto" w:fill="FFFFFF"/>
                <w:lang w:val="en-GB"/>
              </w:rPr>
              <w:t>IMC</w:t>
            </w:r>
          </w:p>
        </w:tc>
        <w:tc>
          <w:tcPr>
            <w:tcW w:w="735" w:type="dxa"/>
          </w:tcPr>
          <w:p w14:paraId="1C66D2C5"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color w:val="000000" w:themeColor="text1"/>
                <w:sz w:val="16"/>
                <w:szCs w:val="16"/>
                <w:shd w:val="clear" w:color="auto" w:fill="FFFFFF"/>
                <w:lang w:val="en-GB"/>
              </w:rPr>
              <w:t>IMG</w:t>
            </w:r>
          </w:p>
        </w:tc>
        <w:tc>
          <w:tcPr>
            <w:tcW w:w="769" w:type="dxa"/>
          </w:tcPr>
          <w:p w14:paraId="2FB088BD"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color w:val="000000" w:themeColor="text1"/>
                <w:sz w:val="16"/>
                <w:szCs w:val="16"/>
                <w:shd w:val="clear" w:color="auto" w:fill="FFFFFF"/>
                <w:lang w:val="en-GB"/>
              </w:rPr>
              <w:t>PMT</w:t>
            </w:r>
          </w:p>
        </w:tc>
        <w:tc>
          <w:tcPr>
            <w:tcW w:w="749" w:type="dxa"/>
          </w:tcPr>
          <w:p w14:paraId="227A84D7"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color w:val="000000" w:themeColor="text1"/>
                <w:sz w:val="16"/>
                <w:szCs w:val="16"/>
                <w:shd w:val="clear" w:color="auto" w:fill="FFFFFF"/>
                <w:lang w:val="en-GB"/>
              </w:rPr>
              <w:t>TIA</w:t>
            </w:r>
          </w:p>
        </w:tc>
        <w:tc>
          <w:tcPr>
            <w:tcW w:w="746" w:type="dxa"/>
          </w:tcPr>
          <w:p w14:paraId="5146FF33"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color w:val="000000" w:themeColor="text1"/>
                <w:sz w:val="16"/>
                <w:szCs w:val="16"/>
                <w:shd w:val="clear" w:color="auto" w:fill="FFFFFF"/>
                <w:lang w:val="en-GB"/>
              </w:rPr>
              <w:t>WTC</w:t>
            </w:r>
          </w:p>
        </w:tc>
      </w:tr>
      <w:tr w:rsidR="00F50C1C" w:rsidRPr="00F50C1C" w14:paraId="1E61663D" w14:textId="77777777" w:rsidTr="003965C3">
        <w:trPr>
          <w:jc w:val="center"/>
        </w:trPr>
        <w:tc>
          <w:tcPr>
            <w:tcW w:w="5194" w:type="dxa"/>
          </w:tcPr>
          <w:p w14:paraId="7AC8A7B8" w14:textId="77777777" w:rsidR="00F50C1C" w:rsidRPr="00F50C1C" w:rsidRDefault="00F50C1C" w:rsidP="003965C3">
            <w:pPr>
              <w:spacing w:line="360" w:lineRule="auto"/>
              <w:jc w:val="both"/>
              <w:rPr>
                <w:rFonts w:cstheme="minorHAnsi"/>
                <w:color w:val="000000" w:themeColor="text1"/>
                <w:sz w:val="16"/>
                <w:szCs w:val="16"/>
                <w:shd w:val="clear" w:color="auto" w:fill="FFFFFF"/>
                <w:lang w:val="en-GB"/>
              </w:rPr>
            </w:pPr>
            <w:r w:rsidRPr="00F50C1C">
              <w:rPr>
                <w:rFonts w:cstheme="minorHAnsi"/>
                <w:color w:val="000000" w:themeColor="text1"/>
                <w:sz w:val="16"/>
                <w:szCs w:val="16"/>
                <w:shd w:val="clear" w:color="auto" w:fill="FFFFFF"/>
                <w:lang w:val="en-GB"/>
              </w:rPr>
              <w:t>Heavy Fuel Oil (HFO)</w:t>
            </w:r>
          </w:p>
        </w:tc>
        <w:tc>
          <w:tcPr>
            <w:tcW w:w="646" w:type="dxa"/>
            <w:vAlign w:val="center"/>
          </w:tcPr>
          <w:p w14:paraId="7ED73713"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08" w:type="dxa"/>
            <w:vAlign w:val="center"/>
          </w:tcPr>
          <w:p w14:paraId="2168D036"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35" w:type="dxa"/>
            <w:vAlign w:val="center"/>
          </w:tcPr>
          <w:p w14:paraId="4D086848"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69" w:type="dxa"/>
            <w:vAlign w:val="center"/>
          </w:tcPr>
          <w:p w14:paraId="569562A1"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49" w:type="dxa"/>
            <w:vAlign w:val="center"/>
          </w:tcPr>
          <w:p w14:paraId="3BF5977A"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46" w:type="dxa"/>
            <w:vAlign w:val="center"/>
          </w:tcPr>
          <w:p w14:paraId="57C0E6C1" w14:textId="77777777" w:rsidR="00F50C1C" w:rsidRPr="00F50C1C" w:rsidRDefault="00F50C1C" w:rsidP="003965C3">
            <w:pPr>
              <w:spacing w:line="360" w:lineRule="auto"/>
              <w:jc w:val="center"/>
              <w:rPr>
                <w:rFonts w:cstheme="minorHAnsi"/>
                <w:b/>
                <w:bCs/>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r>
      <w:tr w:rsidR="00F50C1C" w:rsidRPr="00F50C1C" w14:paraId="1C78576C" w14:textId="77777777" w:rsidTr="003965C3">
        <w:trPr>
          <w:jc w:val="center"/>
        </w:trPr>
        <w:tc>
          <w:tcPr>
            <w:tcW w:w="5194" w:type="dxa"/>
          </w:tcPr>
          <w:p w14:paraId="199BE9C2" w14:textId="77777777" w:rsidR="00F50C1C" w:rsidRPr="00F50C1C" w:rsidRDefault="00F50C1C" w:rsidP="003965C3">
            <w:pPr>
              <w:spacing w:line="360" w:lineRule="auto"/>
              <w:jc w:val="both"/>
              <w:rPr>
                <w:rFonts w:cstheme="minorHAnsi"/>
                <w:color w:val="000000" w:themeColor="text1"/>
                <w:sz w:val="16"/>
                <w:szCs w:val="16"/>
                <w:shd w:val="clear" w:color="auto" w:fill="FFFFFF"/>
                <w:lang w:val="en-GB"/>
              </w:rPr>
            </w:pPr>
            <w:r w:rsidRPr="00F50C1C">
              <w:rPr>
                <w:rFonts w:cstheme="minorHAnsi"/>
                <w:color w:val="000000" w:themeColor="text1"/>
                <w:sz w:val="16"/>
                <w:szCs w:val="16"/>
                <w:shd w:val="clear" w:color="auto" w:fill="FFFFFF"/>
                <w:lang w:val="en-GB"/>
              </w:rPr>
              <w:t>Marine Diesel Oil (MDO)</w:t>
            </w:r>
          </w:p>
        </w:tc>
        <w:tc>
          <w:tcPr>
            <w:tcW w:w="646" w:type="dxa"/>
            <w:vAlign w:val="center"/>
          </w:tcPr>
          <w:p w14:paraId="0D6388C7"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08" w:type="dxa"/>
            <w:vAlign w:val="center"/>
          </w:tcPr>
          <w:p w14:paraId="3E82F0D7"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35" w:type="dxa"/>
            <w:vAlign w:val="center"/>
          </w:tcPr>
          <w:p w14:paraId="405E4AF0"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69" w:type="dxa"/>
            <w:vAlign w:val="center"/>
          </w:tcPr>
          <w:p w14:paraId="7C6DA310"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49" w:type="dxa"/>
            <w:vAlign w:val="center"/>
          </w:tcPr>
          <w:p w14:paraId="1515A0C4"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46" w:type="dxa"/>
            <w:vAlign w:val="center"/>
          </w:tcPr>
          <w:p w14:paraId="79C52DBB" w14:textId="77777777" w:rsidR="00F50C1C" w:rsidRPr="00F50C1C" w:rsidRDefault="00F50C1C" w:rsidP="003965C3">
            <w:pPr>
              <w:spacing w:line="360" w:lineRule="auto"/>
              <w:jc w:val="center"/>
              <w:rPr>
                <w:rFonts w:cstheme="minorHAnsi"/>
                <w:b/>
                <w:bCs/>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r>
      <w:tr w:rsidR="00F50C1C" w:rsidRPr="00F50C1C" w14:paraId="68CEAC42" w14:textId="77777777" w:rsidTr="003965C3">
        <w:trPr>
          <w:jc w:val="center"/>
        </w:trPr>
        <w:tc>
          <w:tcPr>
            <w:tcW w:w="5194" w:type="dxa"/>
          </w:tcPr>
          <w:p w14:paraId="4FBE80B5" w14:textId="77777777" w:rsidR="00F50C1C" w:rsidRPr="00F50C1C" w:rsidRDefault="00F50C1C" w:rsidP="003965C3">
            <w:pPr>
              <w:spacing w:line="360" w:lineRule="auto"/>
              <w:jc w:val="both"/>
              <w:rPr>
                <w:rFonts w:cstheme="minorHAnsi"/>
                <w:color w:val="000000" w:themeColor="text1"/>
                <w:sz w:val="16"/>
                <w:szCs w:val="16"/>
                <w:shd w:val="clear" w:color="auto" w:fill="FFFFFF"/>
                <w:lang w:val="en-GB"/>
              </w:rPr>
            </w:pPr>
            <w:r w:rsidRPr="00F50C1C">
              <w:rPr>
                <w:rFonts w:cstheme="minorHAnsi"/>
                <w:color w:val="000000" w:themeColor="text1"/>
                <w:sz w:val="16"/>
                <w:szCs w:val="16"/>
                <w:shd w:val="clear" w:color="auto" w:fill="FFFFFF"/>
                <w:lang w:val="en-GB"/>
              </w:rPr>
              <w:t>Straight Vegetable Oil (SVO)</w:t>
            </w:r>
          </w:p>
        </w:tc>
        <w:tc>
          <w:tcPr>
            <w:tcW w:w="646" w:type="dxa"/>
            <w:vAlign w:val="center"/>
          </w:tcPr>
          <w:p w14:paraId="5A5C7B9D"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08" w:type="dxa"/>
            <w:vAlign w:val="center"/>
          </w:tcPr>
          <w:p w14:paraId="28FF2A67"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35" w:type="dxa"/>
            <w:vAlign w:val="center"/>
          </w:tcPr>
          <w:p w14:paraId="600A6844"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69" w:type="dxa"/>
            <w:vAlign w:val="center"/>
          </w:tcPr>
          <w:p w14:paraId="0A4ED10C"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49" w:type="dxa"/>
            <w:vAlign w:val="center"/>
          </w:tcPr>
          <w:p w14:paraId="0CB672C2"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46" w:type="dxa"/>
            <w:vAlign w:val="center"/>
          </w:tcPr>
          <w:p w14:paraId="4E5D3532" w14:textId="77777777" w:rsidR="00F50C1C" w:rsidRPr="00F50C1C" w:rsidRDefault="00F50C1C" w:rsidP="003965C3">
            <w:pPr>
              <w:spacing w:line="360" w:lineRule="auto"/>
              <w:jc w:val="center"/>
              <w:rPr>
                <w:rFonts w:cstheme="minorHAnsi"/>
                <w:b/>
                <w:bCs/>
                <w:color w:val="000000" w:themeColor="text1"/>
                <w:sz w:val="16"/>
                <w:szCs w:val="16"/>
                <w:shd w:val="clear" w:color="auto" w:fill="FFFFFF"/>
                <w:lang w:val="en-GB"/>
              </w:rPr>
            </w:pPr>
          </w:p>
        </w:tc>
      </w:tr>
      <w:tr w:rsidR="00F50C1C" w:rsidRPr="00F50C1C" w14:paraId="6EAD8818" w14:textId="77777777" w:rsidTr="003965C3">
        <w:trPr>
          <w:jc w:val="center"/>
        </w:trPr>
        <w:tc>
          <w:tcPr>
            <w:tcW w:w="5194" w:type="dxa"/>
          </w:tcPr>
          <w:p w14:paraId="5BB34BCC" w14:textId="77777777" w:rsidR="00F50C1C" w:rsidRPr="00F50C1C" w:rsidRDefault="00F50C1C" w:rsidP="003965C3">
            <w:pPr>
              <w:spacing w:line="360" w:lineRule="auto"/>
              <w:jc w:val="both"/>
              <w:rPr>
                <w:rFonts w:cstheme="minorHAnsi"/>
                <w:color w:val="000000" w:themeColor="text1"/>
                <w:sz w:val="16"/>
                <w:szCs w:val="16"/>
                <w:shd w:val="clear" w:color="auto" w:fill="FFFFFF"/>
                <w:lang w:val="en-GB"/>
              </w:rPr>
            </w:pPr>
            <w:r w:rsidRPr="00F50C1C">
              <w:rPr>
                <w:rFonts w:cstheme="minorHAnsi"/>
                <w:color w:val="000000" w:themeColor="text1"/>
                <w:sz w:val="16"/>
                <w:szCs w:val="16"/>
                <w:shd w:val="clear" w:color="auto" w:fill="FFFFFF"/>
                <w:lang w:val="en-GB"/>
              </w:rPr>
              <w:t>Hydrotreated Vegetable Oil (HVO)</w:t>
            </w:r>
          </w:p>
        </w:tc>
        <w:tc>
          <w:tcPr>
            <w:tcW w:w="646" w:type="dxa"/>
            <w:vAlign w:val="center"/>
          </w:tcPr>
          <w:p w14:paraId="086FB990"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08" w:type="dxa"/>
            <w:vAlign w:val="center"/>
          </w:tcPr>
          <w:p w14:paraId="412E84BB"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35" w:type="dxa"/>
            <w:vAlign w:val="center"/>
          </w:tcPr>
          <w:p w14:paraId="30A6D559"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69" w:type="dxa"/>
            <w:vAlign w:val="center"/>
          </w:tcPr>
          <w:p w14:paraId="0B5381E4"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49" w:type="dxa"/>
            <w:vAlign w:val="center"/>
          </w:tcPr>
          <w:p w14:paraId="1DAAB10B"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46" w:type="dxa"/>
            <w:vAlign w:val="center"/>
          </w:tcPr>
          <w:p w14:paraId="3856A2BA" w14:textId="77777777" w:rsidR="00F50C1C" w:rsidRPr="00F50C1C" w:rsidRDefault="00F50C1C" w:rsidP="003965C3">
            <w:pPr>
              <w:spacing w:line="360" w:lineRule="auto"/>
              <w:jc w:val="center"/>
              <w:rPr>
                <w:rFonts w:cstheme="minorHAnsi"/>
                <w:b/>
                <w:bCs/>
                <w:color w:val="000000" w:themeColor="text1"/>
                <w:sz w:val="16"/>
                <w:szCs w:val="16"/>
                <w:shd w:val="clear" w:color="auto" w:fill="FFFFFF"/>
                <w:lang w:val="en-GB"/>
              </w:rPr>
            </w:pPr>
          </w:p>
        </w:tc>
      </w:tr>
      <w:tr w:rsidR="00F50C1C" w:rsidRPr="00F50C1C" w14:paraId="10622604" w14:textId="77777777" w:rsidTr="003965C3">
        <w:trPr>
          <w:jc w:val="center"/>
        </w:trPr>
        <w:tc>
          <w:tcPr>
            <w:tcW w:w="5194" w:type="dxa"/>
          </w:tcPr>
          <w:p w14:paraId="124AE859" w14:textId="77777777" w:rsidR="00F50C1C" w:rsidRPr="00F50C1C" w:rsidRDefault="00F50C1C" w:rsidP="003965C3">
            <w:pPr>
              <w:spacing w:line="360" w:lineRule="auto"/>
              <w:jc w:val="both"/>
              <w:rPr>
                <w:rFonts w:cstheme="minorHAnsi"/>
                <w:color w:val="000000" w:themeColor="text1"/>
                <w:sz w:val="16"/>
                <w:szCs w:val="16"/>
                <w:shd w:val="clear" w:color="auto" w:fill="FFFFFF"/>
                <w:lang w:val="en-GB"/>
              </w:rPr>
            </w:pPr>
            <w:r w:rsidRPr="00F50C1C">
              <w:rPr>
                <w:rFonts w:cstheme="minorHAnsi"/>
                <w:color w:val="000000" w:themeColor="text1"/>
                <w:sz w:val="16"/>
                <w:szCs w:val="16"/>
                <w:shd w:val="clear" w:color="auto" w:fill="FFFFFF"/>
                <w:lang w:val="en-GB"/>
              </w:rPr>
              <w:t>Fatty Acid Methyl Esters (FAME)</w:t>
            </w:r>
          </w:p>
        </w:tc>
        <w:tc>
          <w:tcPr>
            <w:tcW w:w="646" w:type="dxa"/>
            <w:vAlign w:val="center"/>
          </w:tcPr>
          <w:p w14:paraId="5EC059E6"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08" w:type="dxa"/>
            <w:vAlign w:val="center"/>
          </w:tcPr>
          <w:p w14:paraId="1445B5E8"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35" w:type="dxa"/>
            <w:vAlign w:val="center"/>
          </w:tcPr>
          <w:p w14:paraId="51604798"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69" w:type="dxa"/>
            <w:vAlign w:val="center"/>
          </w:tcPr>
          <w:p w14:paraId="75A7628A"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49" w:type="dxa"/>
            <w:vAlign w:val="center"/>
          </w:tcPr>
          <w:p w14:paraId="317C3D8C"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46" w:type="dxa"/>
            <w:vAlign w:val="center"/>
          </w:tcPr>
          <w:p w14:paraId="0651EF9E" w14:textId="77777777" w:rsidR="00F50C1C" w:rsidRPr="00F50C1C" w:rsidRDefault="00F50C1C" w:rsidP="003965C3">
            <w:pPr>
              <w:spacing w:line="360" w:lineRule="auto"/>
              <w:jc w:val="center"/>
              <w:rPr>
                <w:rFonts w:cstheme="minorHAnsi"/>
                <w:b/>
                <w:bCs/>
                <w:color w:val="000000" w:themeColor="text1"/>
                <w:sz w:val="16"/>
                <w:szCs w:val="16"/>
                <w:shd w:val="clear" w:color="auto" w:fill="FFFFFF"/>
                <w:lang w:val="en-GB"/>
              </w:rPr>
            </w:pPr>
          </w:p>
        </w:tc>
      </w:tr>
      <w:tr w:rsidR="00F50C1C" w:rsidRPr="00F50C1C" w14:paraId="255053B4" w14:textId="77777777" w:rsidTr="003965C3">
        <w:trPr>
          <w:jc w:val="center"/>
        </w:trPr>
        <w:tc>
          <w:tcPr>
            <w:tcW w:w="5194" w:type="dxa"/>
          </w:tcPr>
          <w:p w14:paraId="205921F9" w14:textId="77777777" w:rsidR="00F50C1C" w:rsidRPr="00F50C1C" w:rsidRDefault="00F50C1C" w:rsidP="003965C3">
            <w:pPr>
              <w:spacing w:line="360" w:lineRule="auto"/>
              <w:jc w:val="both"/>
              <w:rPr>
                <w:rFonts w:cstheme="minorHAnsi"/>
                <w:color w:val="000000" w:themeColor="text1"/>
                <w:sz w:val="16"/>
                <w:szCs w:val="16"/>
                <w:shd w:val="clear" w:color="auto" w:fill="FFFFFF"/>
                <w:lang w:val="en-GB"/>
              </w:rPr>
            </w:pPr>
            <w:r w:rsidRPr="00F50C1C">
              <w:rPr>
                <w:rFonts w:cstheme="minorHAnsi"/>
                <w:color w:val="000000" w:themeColor="text1"/>
                <w:sz w:val="16"/>
                <w:szCs w:val="16"/>
                <w:shd w:val="clear" w:color="auto" w:fill="FFFFFF"/>
                <w:lang w:val="en-GB"/>
              </w:rPr>
              <w:t>Biomass-to-Liquids Diesel (BtL-Diesel)</w:t>
            </w:r>
          </w:p>
        </w:tc>
        <w:tc>
          <w:tcPr>
            <w:tcW w:w="646" w:type="dxa"/>
            <w:vAlign w:val="center"/>
          </w:tcPr>
          <w:p w14:paraId="167921FB"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08" w:type="dxa"/>
            <w:vAlign w:val="center"/>
          </w:tcPr>
          <w:p w14:paraId="40194977"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35" w:type="dxa"/>
            <w:vAlign w:val="center"/>
          </w:tcPr>
          <w:p w14:paraId="25242550"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69" w:type="dxa"/>
            <w:vAlign w:val="center"/>
          </w:tcPr>
          <w:p w14:paraId="76B821AF"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49" w:type="dxa"/>
            <w:vAlign w:val="center"/>
          </w:tcPr>
          <w:p w14:paraId="10F13C8D"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46" w:type="dxa"/>
            <w:vAlign w:val="center"/>
          </w:tcPr>
          <w:p w14:paraId="11AC9803" w14:textId="77777777" w:rsidR="00F50C1C" w:rsidRPr="00F50C1C" w:rsidRDefault="00F50C1C" w:rsidP="003965C3">
            <w:pPr>
              <w:spacing w:line="360" w:lineRule="auto"/>
              <w:jc w:val="center"/>
              <w:rPr>
                <w:rFonts w:cstheme="minorHAnsi"/>
                <w:b/>
                <w:bCs/>
                <w:color w:val="000000" w:themeColor="text1"/>
                <w:sz w:val="16"/>
                <w:szCs w:val="16"/>
                <w:shd w:val="clear" w:color="auto" w:fill="FFFFFF"/>
                <w:lang w:val="en-GB"/>
              </w:rPr>
            </w:pPr>
          </w:p>
        </w:tc>
      </w:tr>
      <w:tr w:rsidR="00F50C1C" w:rsidRPr="00F50C1C" w14:paraId="582B6CEE" w14:textId="77777777" w:rsidTr="003965C3">
        <w:trPr>
          <w:jc w:val="center"/>
        </w:trPr>
        <w:tc>
          <w:tcPr>
            <w:tcW w:w="5194" w:type="dxa"/>
          </w:tcPr>
          <w:p w14:paraId="15A7E51A" w14:textId="77777777" w:rsidR="00F50C1C" w:rsidRPr="00F50C1C" w:rsidRDefault="00F50C1C" w:rsidP="003965C3">
            <w:pPr>
              <w:spacing w:line="360" w:lineRule="auto"/>
              <w:jc w:val="both"/>
              <w:rPr>
                <w:rFonts w:cstheme="minorHAnsi"/>
                <w:color w:val="000000" w:themeColor="text1"/>
                <w:sz w:val="16"/>
                <w:szCs w:val="16"/>
                <w:shd w:val="clear" w:color="auto" w:fill="FFFFFF"/>
                <w:lang w:val="en-GB"/>
              </w:rPr>
            </w:pPr>
            <w:r w:rsidRPr="00F50C1C">
              <w:rPr>
                <w:rFonts w:cstheme="minorHAnsi"/>
                <w:color w:val="000000" w:themeColor="text1"/>
                <w:sz w:val="16"/>
                <w:szCs w:val="16"/>
                <w:shd w:val="clear" w:color="auto" w:fill="FFFFFF"/>
                <w:lang w:val="en-GB"/>
              </w:rPr>
              <w:t>Biomass-to-Liquids Heavy (BtL-Heavy)</w:t>
            </w:r>
          </w:p>
        </w:tc>
        <w:tc>
          <w:tcPr>
            <w:tcW w:w="646" w:type="dxa"/>
            <w:vAlign w:val="center"/>
          </w:tcPr>
          <w:p w14:paraId="650CDF93"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08" w:type="dxa"/>
            <w:vAlign w:val="center"/>
          </w:tcPr>
          <w:p w14:paraId="39E9EF08"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35" w:type="dxa"/>
            <w:vAlign w:val="center"/>
          </w:tcPr>
          <w:p w14:paraId="5E83DD92"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69" w:type="dxa"/>
            <w:vAlign w:val="center"/>
          </w:tcPr>
          <w:p w14:paraId="03D817D0"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49" w:type="dxa"/>
            <w:vAlign w:val="center"/>
          </w:tcPr>
          <w:p w14:paraId="14163E03"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46" w:type="dxa"/>
            <w:vAlign w:val="center"/>
          </w:tcPr>
          <w:p w14:paraId="3455BC74" w14:textId="77777777" w:rsidR="00F50C1C" w:rsidRPr="00F50C1C" w:rsidRDefault="00F50C1C" w:rsidP="003965C3">
            <w:pPr>
              <w:spacing w:line="360" w:lineRule="auto"/>
              <w:jc w:val="center"/>
              <w:rPr>
                <w:rFonts w:cstheme="minorHAnsi"/>
                <w:b/>
                <w:bCs/>
                <w:color w:val="000000" w:themeColor="text1"/>
                <w:sz w:val="16"/>
                <w:szCs w:val="16"/>
                <w:shd w:val="clear" w:color="auto" w:fill="FFFFFF"/>
                <w:lang w:val="en-GB"/>
              </w:rPr>
            </w:pPr>
          </w:p>
        </w:tc>
      </w:tr>
      <w:tr w:rsidR="00F50C1C" w:rsidRPr="00F50C1C" w14:paraId="6C6A0443" w14:textId="77777777" w:rsidTr="003965C3">
        <w:trPr>
          <w:jc w:val="center"/>
        </w:trPr>
        <w:tc>
          <w:tcPr>
            <w:tcW w:w="5194" w:type="dxa"/>
          </w:tcPr>
          <w:p w14:paraId="14FEC88C" w14:textId="77777777" w:rsidR="00F50C1C" w:rsidRPr="00F50C1C" w:rsidRDefault="00F50C1C" w:rsidP="003965C3">
            <w:pPr>
              <w:spacing w:line="360" w:lineRule="auto"/>
              <w:jc w:val="both"/>
              <w:rPr>
                <w:rFonts w:cstheme="minorHAnsi"/>
                <w:color w:val="000000" w:themeColor="text1"/>
                <w:sz w:val="16"/>
                <w:szCs w:val="16"/>
                <w:shd w:val="clear" w:color="auto" w:fill="FFFFFF"/>
                <w:lang w:val="en-GB"/>
              </w:rPr>
            </w:pPr>
            <w:r w:rsidRPr="00F50C1C">
              <w:rPr>
                <w:rFonts w:cstheme="minorHAnsi"/>
                <w:color w:val="000000" w:themeColor="text1"/>
                <w:sz w:val="16"/>
                <w:szCs w:val="16"/>
                <w:shd w:val="clear" w:color="auto" w:fill="FFFFFF"/>
                <w:lang w:val="en-GB"/>
              </w:rPr>
              <w:t>Hydrogen-Based Diesel (H</w:t>
            </w:r>
            <w:r w:rsidRPr="00F50C1C">
              <w:rPr>
                <w:rFonts w:cstheme="minorHAnsi"/>
                <w:color w:val="000000" w:themeColor="text1"/>
                <w:sz w:val="16"/>
                <w:szCs w:val="16"/>
                <w:shd w:val="clear" w:color="auto" w:fill="FFFFFF"/>
                <w:vertAlign w:val="subscript"/>
                <w:lang w:val="en-GB"/>
              </w:rPr>
              <w:t>2</w:t>
            </w:r>
            <w:r w:rsidRPr="00F50C1C">
              <w:rPr>
                <w:rFonts w:cstheme="minorHAnsi"/>
                <w:color w:val="000000" w:themeColor="text1"/>
                <w:sz w:val="16"/>
                <w:szCs w:val="16"/>
                <w:shd w:val="clear" w:color="auto" w:fill="FFFFFF"/>
                <w:lang w:val="en-GB"/>
              </w:rPr>
              <w:t>-Diesel)</w:t>
            </w:r>
          </w:p>
        </w:tc>
        <w:tc>
          <w:tcPr>
            <w:tcW w:w="646" w:type="dxa"/>
            <w:vAlign w:val="center"/>
          </w:tcPr>
          <w:p w14:paraId="0D604D6C"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08" w:type="dxa"/>
            <w:vAlign w:val="center"/>
          </w:tcPr>
          <w:p w14:paraId="4286E24E"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35" w:type="dxa"/>
            <w:vAlign w:val="center"/>
          </w:tcPr>
          <w:p w14:paraId="4BA49B68"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69" w:type="dxa"/>
            <w:vAlign w:val="center"/>
          </w:tcPr>
          <w:p w14:paraId="04EAD328"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49" w:type="dxa"/>
            <w:vAlign w:val="center"/>
          </w:tcPr>
          <w:p w14:paraId="3FB34800"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46" w:type="dxa"/>
            <w:vAlign w:val="center"/>
          </w:tcPr>
          <w:p w14:paraId="5BDDF0C1" w14:textId="77777777" w:rsidR="00F50C1C" w:rsidRPr="00F50C1C" w:rsidRDefault="00F50C1C" w:rsidP="003965C3">
            <w:pPr>
              <w:spacing w:line="360" w:lineRule="auto"/>
              <w:jc w:val="center"/>
              <w:rPr>
                <w:rFonts w:cstheme="minorHAnsi"/>
                <w:b/>
                <w:bCs/>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r>
      <w:tr w:rsidR="00F50C1C" w:rsidRPr="00F50C1C" w14:paraId="3A6C866B" w14:textId="77777777" w:rsidTr="003965C3">
        <w:trPr>
          <w:jc w:val="center"/>
        </w:trPr>
        <w:tc>
          <w:tcPr>
            <w:tcW w:w="5194" w:type="dxa"/>
          </w:tcPr>
          <w:p w14:paraId="3A326A9D" w14:textId="77777777" w:rsidR="00F50C1C" w:rsidRPr="00F50C1C" w:rsidRDefault="00F50C1C" w:rsidP="003965C3">
            <w:pPr>
              <w:spacing w:line="360" w:lineRule="auto"/>
              <w:jc w:val="both"/>
              <w:rPr>
                <w:rFonts w:cstheme="minorHAnsi"/>
                <w:color w:val="000000" w:themeColor="text1"/>
                <w:sz w:val="16"/>
                <w:szCs w:val="16"/>
                <w:shd w:val="clear" w:color="auto" w:fill="FFFFFF"/>
                <w:lang w:val="en-GB"/>
              </w:rPr>
            </w:pPr>
            <w:r w:rsidRPr="00F50C1C">
              <w:rPr>
                <w:rFonts w:cstheme="minorHAnsi"/>
                <w:color w:val="000000" w:themeColor="text1"/>
                <w:sz w:val="16"/>
                <w:szCs w:val="16"/>
                <w:shd w:val="clear" w:color="auto" w:fill="FFFFFF"/>
                <w:lang w:val="en-GB"/>
              </w:rPr>
              <w:t>Hydrogen-Based Heavy (H</w:t>
            </w:r>
            <w:r w:rsidRPr="00F50C1C">
              <w:rPr>
                <w:rFonts w:cstheme="minorHAnsi"/>
                <w:color w:val="000000" w:themeColor="text1"/>
                <w:sz w:val="16"/>
                <w:szCs w:val="16"/>
                <w:shd w:val="clear" w:color="auto" w:fill="FFFFFF"/>
                <w:vertAlign w:val="subscript"/>
                <w:lang w:val="en-GB"/>
              </w:rPr>
              <w:t>2</w:t>
            </w:r>
            <w:r w:rsidRPr="00F50C1C">
              <w:rPr>
                <w:rFonts w:cstheme="minorHAnsi"/>
                <w:color w:val="000000" w:themeColor="text1"/>
                <w:sz w:val="16"/>
                <w:szCs w:val="16"/>
                <w:shd w:val="clear" w:color="auto" w:fill="FFFFFF"/>
                <w:lang w:val="en-GB"/>
              </w:rPr>
              <w:t>-Heavy)</w:t>
            </w:r>
          </w:p>
        </w:tc>
        <w:tc>
          <w:tcPr>
            <w:tcW w:w="646" w:type="dxa"/>
            <w:vAlign w:val="center"/>
          </w:tcPr>
          <w:p w14:paraId="3B30CEA5"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08" w:type="dxa"/>
            <w:vAlign w:val="center"/>
          </w:tcPr>
          <w:p w14:paraId="5A745FF7"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35" w:type="dxa"/>
            <w:vAlign w:val="center"/>
          </w:tcPr>
          <w:p w14:paraId="3D926045"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69" w:type="dxa"/>
            <w:vAlign w:val="center"/>
          </w:tcPr>
          <w:p w14:paraId="3384133B"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49" w:type="dxa"/>
            <w:vAlign w:val="center"/>
          </w:tcPr>
          <w:p w14:paraId="6CE281F1"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46" w:type="dxa"/>
            <w:vAlign w:val="center"/>
          </w:tcPr>
          <w:p w14:paraId="489FEDA4" w14:textId="77777777" w:rsidR="00F50C1C" w:rsidRPr="00F50C1C" w:rsidRDefault="00F50C1C" w:rsidP="003965C3">
            <w:pPr>
              <w:spacing w:line="360" w:lineRule="auto"/>
              <w:jc w:val="center"/>
              <w:rPr>
                <w:rFonts w:cstheme="minorHAnsi"/>
                <w:b/>
                <w:bCs/>
                <w:color w:val="000000" w:themeColor="text1"/>
                <w:sz w:val="16"/>
                <w:szCs w:val="16"/>
                <w:shd w:val="clear" w:color="auto" w:fill="FFFFFF"/>
                <w:lang w:val="en-GB"/>
              </w:rPr>
            </w:pPr>
          </w:p>
        </w:tc>
      </w:tr>
      <w:tr w:rsidR="00F50C1C" w:rsidRPr="00F50C1C" w14:paraId="364ED8A0" w14:textId="77777777" w:rsidTr="003965C3">
        <w:trPr>
          <w:jc w:val="center"/>
        </w:trPr>
        <w:tc>
          <w:tcPr>
            <w:tcW w:w="5194" w:type="dxa"/>
          </w:tcPr>
          <w:p w14:paraId="706D888A" w14:textId="77777777" w:rsidR="00F50C1C" w:rsidRPr="00F50C1C" w:rsidRDefault="00F50C1C" w:rsidP="003965C3">
            <w:pPr>
              <w:spacing w:line="360" w:lineRule="auto"/>
              <w:jc w:val="both"/>
              <w:rPr>
                <w:rFonts w:cstheme="minorHAnsi"/>
                <w:color w:val="000000" w:themeColor="text1"/>
                <w:sz w:val="16"/>
                <w:szCs w:val="16"/>
                <w:shd w:val="clear" w:color="auto" w:fill="FFFFFF"/>
                <w:lang w:val="en-GB"/>
              </w:rPr>
            </w:pPr>
            <w:r w:rsidRPr="00F50C1C">
              <w:rPr>
                <w:rFonts w:cstheme="minorHAnsi"/>
                <w:color w:val="000000" w:themeColor="text1"/>
                <w:sz w:val="16"/>
                <w:szCs w:val="16"/>
                <w:shd w:val="clear" w:color="auto" w:fill="FFFFFF"/>
                <w:lang w:val="en-GB"/>
              </w:rPr>
              <w:t>Fossil Liquefied Natural Gas (Fossil LNG)</w:t>
            </w:r>
          </w:p>
        </w:tc>
        <w:tc>
          <w:tcPr>
            <w:tcW w:w="646" w:type="dxa"/>
            <w:vAlign w:val="center"/>
          </w:tcPr>
          <w:p w14:paraId="351C15E3"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08" w:type="dxa"/>
            <w:vAlign w:val="center"/>
          </w:tcPr>
          <w:p w14:paraId="118073C5"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35" w:type="dxa"/>
            <w:vAlign w:val="center"/>
          </w:tcPr>
          <w:p w14:paraId="07E5F8ED"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69" w:type="dxa"/>
            <w:vAlign w:val="center"/>
          </w:tcPr>
          <w:p w14:paraId="1C8B63F5"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49" w:type="dxa"/>
            <w:vAlign w:val="center"/>
          </w:tcPr>
          <w:p w14:paraId="2A8668E6"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46" w:type="dxa"/>
            <w:vAlign w:val="center"/>
          </w:tcPr>
          <w:p w14:paraId="0173108E" w14:textId="77777777" w:rsidR="00F50C1C" w:rsidRPr="00F50C1C" w:rsidRDefault="00F50C1C" w:rsidP="003965C3">
            <w:pPr>
              <w:spacing w:line="360" w:lineRule="auto"/>
              <w:jc w:val="center"/>
              <w:rPr>
                <w:rFonts w:cstheme="minorHAnsi"/>
                <w:b/>
                <w:bCs/>
                <w:color w:val="000000" w:themeColor="text1"/>
                <w:sz w:val="16"/>
                <w:szCs w:val="16"/>
                <w:shd w:val="clear" w:color="auto" w:fill="FFFFFF"/>
                <w:lang w:val="en-GB"/>
              </w:rPr>
            </w:pPr>
          </w:p>
        </w:tc>
      </w:tr>
      <w:tr w:rsidR="00F50C1C" w:rsidRPr="00F50C1C" w14:paraId="6FD4F943" w14:textId="77777777" w:rsidTr="003965C3">
        <w:trPr>
          <w:jc w:val="center"/>
        </w:trPr>
        <w:tc>
          <w:tcPr>
            <w:tcW w:w="5194" w:type="dxa"/>
          </w:tcPr>
          <w:p w14:paraId="09D93F15" w14:textId="77777777" w:rsidR="00F50C1C" w:rsidRPr="00F50C1C" w:rsidRDefault="00F50C1C" w:rsidP="003965C3">
            <w:pPr>
              <w:spacing w:line="360" w:lineRule="auto"/>
              <w:jc w:val="both"/>
              <w:rPr>
                <w:rFonts w:cstheme="minorHAnsi"/>
                <w:color w:val="000000" w:themeColor="text1"/>
                <w:sz w:val="16"/>
                <w:szCs w:val="16"/>
                <w:shd w:val="clear" w:color="auto" w:fill="FFFFFF"/>
                <w:lang w:val="en-GB"/>
              </w:rPr>
            </w:pPr>
            <w:r w:rsidRPr="00F50C1C">
              <w:rPr>
                <w:rFonts w:cstheme="minorHAnsi"/>
                <w:color w:val="000000" w:themeColor="text1"/>
                <w:sz w:val="16"/>
                <w:szCs w:val="16"/>
                <w:shd w:val="clear" w:color="auto" w:fill="FFFFFF"/>
                <w:lang w:val="en-GB"/>
              </w:rPr>
              <w:t>Fossil Liquefied Petroleum Gas (Fossil LPG)</w:t>
            </w:r>
          </w:p>
        </w:tc>
        <w:tc>
          <w:tcPr>
            <w:tcW w:w="646" w:type="dxa"/>
            <w:vAlign w:val="center"/>
          </w:tcPr>
          <w:p w14:paraId="6E55B61C"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08" w:type="dxa"/>
            <w:vAlign w:val="center"/>
          </w:tcPr>
          <w:p w14:paraId="693833D3"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35" w:type="dxa"/>
            <w:vAlign w:val="center"/>
          </w:tcPr>
          <w:p w14:paraId="2C2915F9"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69" w:type="dxa"/>
            <w:vAlign w:val="center"/>
          </w:tcPr>
          <w:p w14:paraId="3F3CAFA6"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49" w:type="dxa"/>
            <w:vAlign w:val="center"/>
          </w:tcPr>
          <w:p w14:paraId="162B4401"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46" w:type="dxa"/>
            <w:vAlign w:val="center"/>
          </w:tcPr>
          <w:p w14:paraId="14DCA5E5" w14:textId="77777777" w:rsidR="00F50C1C" w:rsidRPr="00F50C1C" w:rsidRDefault="00F50C1C" w:rsidP="003965C3">
            <w:pPr>
              <w:spacing w:line="360" w:lineRule="auto"/>
              <w:jc w:val="center"/>
              <w:rPr>
                <w:rFonts w:cstheme="minorHAnsi"/>
                <w:b/>
                <w:bCs/>
                <w:color w:val="000000" w:themeColor="text1"/>
                <w:sz w:val="16"/>
                <w:szCs w:val="16"/>
                <w:shd w:val="clear" w:color="auto" w:fill="FFFFFF"/>
                <w:lang w:val="en-GB"/>
              </w:rPr>
            </w:pPr>
          </w:p>
        </w:tc>
      </w:tr>
      <w:tr w:rsidR="00F50C1C" w:rsidRPr="00F50C1C" w14:paraId="17492393" w14:textId="77777777" w:rsidTr="003965C3">
        <w:trPr>
          <w:jc w:val="center"/>
        </w:trPr>
        <w:tc>
          <w:tcPr>
            <w:tcW w:w="5194" w:type="dxa"/>
          </w:tcPr>
          <w:p w14:paraId="586B6C96" w14:textId="77777777" w:rsidR="00F50C1C" w:rsidRPr="00F50C1C" w:rsidRDefault="00F50C1C" w:rsidP="003965C3">
            <w:pPr>
              <w:spacing w:line="360" w:lineRule="auto"/>
              <w:jc w:val="both"/>
              <w:rPr>
                <w:rFonts w:cstheme="minorHAnsi"/>
                <w:color w:val="000000" w:themeColor="text1"/>
                <w:sz w:val="16"/>
                <w:szCs w:val="16"/>
                <w:shd w:val="clear" w:color="auto" w:fill="FFFFFF"/>
                <w:lang w:val="en-GB"/>
              </w:rPr>
            </w:pPr>
            <w:r w:rsidRPr="00F50C1C">
              <w:rPr>
                <w:rFonts w:cstheme="minorHAnsi"/>
                <w:color w:val="000000" w:themeColor="text1"/>
                <w:sz w:val="16"/>
                <w:szCs w:val="16"/>
                <w:shd w:val="clear" w:color="auto" w:fill="FFFFFF"/>
                <w:lang w:val="en-GB"/>
              </w:rPr>
              <w:t>Fossil Methanol</w:t>
            </w:r>
          </w:p>
        </w:tc>
        <w:tc>
          <w:tcPr>
            <w:tcW w:w="646" w:type="dxa"/>
            <w:vAlign w:val="center"/>
          </w:tcPr>
          <w:p w14:paraId="2C318A0A"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08" w:type="dxa"/>
            <w:vAlign w:val="center"/>
          </w:tcPr>
          <w:p w14:paraId="0389696B"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35" w:type="dxa"/>
            <w:vAlign w:val="center"/>
          </w:tcPr>
          <w:p w14:paraId="499DE1CC"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69" w:type="dxa"/>
            <w:vAlign w:val="center"/>
          </w:tcPr>
          <w:p w14:paraId="48EC243A"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49" w:type="dxa"/>
            <w:vAlign w:val="center"/>
          </w:tcPr>
          <w:p w14:paraId="2636AC19"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46" w:type="dxa"/>
            <w:vAlign w:val="center"/>
          </w:tcPr>
          <w:p w14:paraId="1A750B8F" w14:textId="77777777" w:rsidR="00F50C1C" w:rsidRPr="00F50C1C" w:rsidRDefault="00F50C1C" w:rsidP="003965C3">
            <w:pPr>
              <w:spacing w:line="360" w:lineRule="auto"/>
              <w:jc w:val="center"/>
              <w:rPr>
                <w:rFonts w:cstheme="minorHAnsi"/>
                <w:b/>
                <w:bCs/>
                <w:color w:val="000000" w:themeColor="text1"/>
                <w:sz w:val="16"/>
                <w:szCs w:val="16"/>
                <w:shd w:val="clear" w:color="auto" w:fill="FFFFFF"/>
                <w:lang w:val="en-GB"/>
              </w:rPr>
            </w:pPr>
          </w:p>
        </w:tc>
      </w:tr>
      <w:tr w:rsidR="00F50C1C" w:rsidRPr="00F50C1C" w14:paraId="06ED1765" w14:textId="77777777" w:rsidTr="003965C3">
        <w:trPr>
          <w:jc w:val="center"/>
        </w:trPr>
        <w:tc>
          <w:tcPr>
            <w:tcW w:w="5194" w:type="dxa"/>
          </w:tcPr>
          <w:p w14:paraId="6BE681D6" w14:textId="77777777" w:rsidR="00F50C1C" w:rsidRPr="00F50C1C" w:rsidRDefault="00F50C1C" w:rsidP="003965C3">
            <w:pPr>
              <w:spacing w:line="360" w:lineRule="auto"/>
              <w:jc w:val="both"/>
              <w:rPr>
                <w:rFonts w:cstheme="minorHAnsi"/>
                <w:color w:val="000000" w:themeColor="text1"/>
                <w:sz w:val="16"/>
                <w:szCs w:val="16"/>
                <w:shd w:val="clear" w:color="auto" w:fill="FFFFFF"/>
                <w:lang w:val="en-GB"/>
              </w:rPr>
            </w:pPr>
            <w:r w:rsidRPr="00F50C1C">
              <w:rPr>
                <w:rFonts w:cstheme="minorHAnsi"/>
                <w:color w:val="000000" w:themeColor="text1"/>
                <w:sz w:val="16"/>
                <w:szCs w:val="16"/>
                <w:shd w:val="clear" w:color="auto" w:fill="FFFFFF"/>
                <w:lang w:val="en-GB"/>
              </w:rPr>
              <w:t>Bio-Based Liquefied Natural Gas (Bio-LNG)</w:t>
            </w:r>
          </w:p>
        </w:tc>
        <w:tc>
          <w:tcPr>
            <w:tcW w:w="646" w:type="dxa"/>
            <w:vAlign w:val="center"/>
          </w:tcPr>
          <w:p w14:paraId="050FDADE"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08" w:type="dxa"/>
            <w:vAlign w:val="center"/>
          </w:tcPr>
          <w:p w14:paraId="4C4C2E52"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35" w:type="dxa"/>
            <w:vAlign w:val="center"/>
          </w:tcPr>
          <w:p w14:paraId="2199D80F"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69" w:type="dxa"/>
            <w:vAlign w:val="center"/>
          </w:tcPr>
          <w:p w14:paraId="260269E1"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49" w:type="dxa"/>
            <w:vAlign w:val="center"/>
          </w:tcPr>
          <w:p w14:paraId="45A49994"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46" w:type="dxa"/>
            <w:vAlign w:val="center"/>
          </w:tcPr>
          <w:p w14:paraId="56A4AF7C" w14:textId="77777777" w:rsidR="00F50C1C" w:rsidRPr="00F50C1C" w:rsidRDefault="00F50C1C" w:rsidP="003965C3">
            <w:pPr>
              <w:spacing w:line="360" w:lineRule="auto"/>
              <w:jc w:val="center"/>
              <w:rPr>
                <w:rFonts w:cstheme="minorHAnsi"/>
                <w:b/>
                <w:bCs/>
                <w:color w:val="000000" w:themeColor="text1"/>
                <w:sz w:val="16"/>
                <w:szCs w:val="16"/>
                <w:shd w:val="clear" w:color="auto" w:fill="FFFFFF"/>
                <w:lang w:val="en-GB"/>
              </w:rPr>
            </w:pPr>
          </w:p>
        </w:tc>
      </w:tr>
      <w:tr w:rsidR="00F50C1C" w:rsidRPr="00F50C1C" w14:paraId="37C11C2A" w14:textId="77777777" w:rsidTr="003965C3">
        <w:trPr>
          <w:jc w:val="center"/>
        </w:trPr>
        <w:tc>
          <w:tcPr>
            <w:tcW w:w="5194" w:type="dxa"/>
          </w:tcPr>
          <w:p w14:paraId="50A72E05" w14:textId="77777777" w:rsidR="00F50C1C" w:rsidRPr="00F50C1C" w:rsidRDefault="00F50C1C" w:rsidP="003965C3">
            <w:pPr>
              <w:spacing w:line="360" w:lineRule="auto"/>
              <w:jc w:val="both"/>
              <w:rPr>
                <w:rFonts w:cstheme="minorHAnsi"/>
                <w:color w:val="000000" w:themeColor="text1"/>
                <w:sz w:val="16"/>
                <w:szCs w:val="16"/>
                <w:shd w:val="clear" w:color="auto" w:fill="FFFFFF"/>
                <w:lang w:val="en-GB"/>
              </w:rPr>
            </w:pPr>
            <w:r w:rsidRPr="00F50C1C">
              <w:rPr>
                <w:rFonts w:cstheme="minorHAnsi"/>
                <w:color w:val="000000" w:themeColor="text1"/>
                <w:sz w:val="16"/>
                <w:szCs w:val="16"/>
                <w:shd w:val="clear" w:color="auto" w:fill="FFFFFF"/>
                <w:lang w:val="en-GB"/>
              </w:rPr>
              <w:t xml:space="preserve">Biomass-to-Liquids Liquefied Petroleum Gas (BtL-LPG) </w:t>
            </w:r>
          </w:p>
        </w:tc>
        <w:tc>
          <w:tcPr>
            <w:tcW w:w="646" w:type="dxa"/>
            <w:vAlign w:val="center"/>
          </w:tcPr>
          <w:p w14:paraId="389D55BA"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08" w:type="dxa"/>
            <w:vAlign w:val="center"/>
          </w:tcPr>
          <w:p w14:paraId="06EE873B"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35" w:type="dxa"/>
            <w:vAlign w:val="center"/>
          </w:tcPr>
          <w:p w14:paraId="07C6A0ED"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69" w:type="dxa"/>
            <w:vAlign w:val="center"/>
          </w:tcPr>
          <w:p w14:paraId="6A186A4E"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49" w:type="dxa"/>
            <w:vAlign w:val="center"/>
          </w:tcPr>
          <w:p w14:paraId="45B313BE"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46" w:type="dxa"/>
            <w:vAlign w:val="center"/>
          </w:tcPr>
          <w:p w14:paraId="02093EF6" w14:textId="77777777" w:rsidR="00F50C1C" w:rsidRPr="00F50C1C" w:rsidRDefault="00F50C1C" w:rsidP="003965C3">
            <w:pPr>
              <w:spacing w:line="360" w:lineRule="auto"/>
              <w:jc w:val="center"/>
              <w:rPr>
                <w:rFonts w:cstheme="minorHAnsi"/>
                <w:b/>
                <w:bCs/>
                <w:color w:val="000000" w:themeColor="text1"/>
                <w:sz w:val="16"/>
                <w:szCs w:val="16"/>
                <w:shd w:val="clear" w:color="auto" w:fill="FFFFFF"/>
                <w:lang w:val="en-GB"/>
              </w:rPr>
            </w:pPr>
          </w:p>
        </w:tc>
      </w:tr>
      <w:tr w:rsidR="00F50C1C" w:rsidRPr="00F50C1C" w14:paraId="41492579" w14:textId="77777777" w:rsidTr="003965C3">
        <w:trPr>
          <w:jc w:val="center"/>
        </w:trPr>
        <w:tc>
          <w:tcPr>
            <w:tcW w:w="5194" w:type="dxa"/>
          </w:tcPr>
          <w:p w14:paraId="066244F7" w14:textId="77777777" w:rsidR="00F50C1C" w:rsidRPr="00F50C1C" w:rsidRDefault="00F50C1C" w:rsidP="003965C3">
            <w:pPr>
              <w:spacing w:line="360" w:lineRule="auto"/>
              <w:jc w:val="both"/>
              <w:rPr>
                <w:rFonts w:cstheme="minorHAnsi"/>
                <w:color w:val="000000" w:themeColor="text1"/>
                <w:sz w:val="16"/>
                <w:szCs w:val="16"/>
                <w:shd w:val="clear" w:color="auto" w:fill="FFFFFF"/>
                <w:lang w:val="en-GB"/>
              </w:rPr>
            </w:pPr>
            <w:r w:rsidRPr="00F50C1C">
              <w:rPr>
                <w:rFonts w:cstheme="minorHAnsi"/>
                <w:color w:val="000000" w:themeColor="text1"/>
                <w:sz w:val="16"/>
                <w:szCs w:val="16"/>
                <w:shd w:val="clear" w:color="auto" w:fill="FFFFFF"/>
                <w:lang w:val="en-GB"/>
              </w:rPr>
              <w:t>Biomethanol</w:t>
            </w:r>
          </w:p>
        </w:tc>
        <w:tc>
          <w:tcPr>
            <w:tcW w:w="646" w:type="dxa"/>
            <w:vAlign w:val="center"/>
          </w:tcPr>
          <w:p w14:paraId="02FC69B6"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08" w:type="dxa"/>
            <w:vAlign w:val="center"/>
          </w:tcPr>
          <w:p w14:paraId="28702484"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35" w:type="dxa"/>
            <w:vAlign w:val="center"/>
          </w:tcPr>
          <w:p w14:paraId="713594AC"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69" w:type="dxa"/>
            <w:vAlign w:val="center"/>
          </w:tcPr>
          <w:p w14:paraId="2F958E96"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49" w:type="dxa"/>
            <w:vAlign w:val="center"/>
          </w:tcPr>
          <w:p w14:paraId="178BCCF6"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46" w:type="dxa"/>
            <w:vAlign w:val="center"/>
          </w:tcPr>
          <w:p w14:paraId="6942C33F" w14:textId="77777777" w:rsidR="00F50C1C" w:rsidRPr="00F50C1C" w:rsidRDefault="00F50C1C" w:rsidP="003965C3">
            <w:pPr>
              <w:spacing w:line="360" w:lineRule="auto"/>
              <w:jc w:val="center"/>
              <w:rPr>
                <w:rFonts w:cstheme="minorHAnsi"/>
                <w:b/>
                <w:bCs/>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r>
      <w:tr w:rsidR="00F50C1C" w:rsidRPr="00F50C1C" w14:paraId="408E7B08" w14:textId="77777777" w:rsidTr="003965C3">
        <w:trPr>
          <w:jc w:val="center"/>
        </w:trPr>
        <w:tc>
          <w:tcPr>
            <w:tcW w:w="5194" w:type="dxa"/>
          </w:tcPr>
          <w:p w14:paraId="2E2F67C7" w14:textId="77777777" w:rsidR="00F50C1C" w:rsidRPr="00F50C1C" w:rsidRDefault="00F50C1C" w:rsidP="003965C3">
            <w:pPr>
              <w:spacing w:line="360" w:lineRule="auto"/>
              <w:jc w:val="both"/>
              <w:rPr>
                <w:rFonts w:cstheme="minorHAnsi"/>
                <w:color w:val="000000" w:themeColor="text1"/>
                <w:sz w:val="16"/>
                <w:szCs w:val="16"/>
                <w:shd w:val="clear" w:color="auto" w:fill="FFFFFF"/>
                <w:lang w:val="en-GB"/>
              </w:rPr>
            </w:pPr>
            <w:r w:rsidRPr="00F50C1C">
              <w:rPr>
                <w:rFonts w:cstheme="minorHAnsi"/>
                <w:color w:val="000000" w:themeColor="text1"/>
                <w:sz w:val="16"/>
                <w:szCs w:val="16"/>
                <w:shd w:val="clear" w:color="auto" w:fill="FFFFFF"/>
                <w:lang w:val="en-GB"/>
              </w:rPr>
              <w:t>Ethanol</w:t>
            </w:r>
          </w:p>
        </w:tc>
        <w:tc>
          <w:tcPr>
            <w:tcW w:w="646" w:type="dxa"/>
            <w:vAlign w:val="center"/>
          </w:tcPr>
          <w:p w14:paraId="6BAD0872"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08" w:type="dxa"/>
            <w:vAlign w:val="center"/>
          </w:tcPr>
          <w:p w14:paraId="6829DE5F"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35" w:type="dxa"/>
            <w:vAlign w:val="center"/>
          </w:tcPr>
          <w:p w14:paraId="2944BE27"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69" w:type="dxa"/>
            <w:vAlign w:val="center"/>
          </w:tcPr>
          <w:p w14:paraId="4D3F9743"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49" w:type="dxa"/>
            <w:vAlign w:val="center"/>
          </w:tcPr>
          <w:p w14:paraId="1B9ACEEB"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46" w:type="dxa"/>
            <w:vAlign w:val="center"/>
          </w:tcPr>
          <w:p w14:paraId="1D00BE3A" w14:textId="77777777" w:rsidR="00F50C1C" w:rsidRPr="00F50C1C" w:rsidRDefault="00F50C1C" w:rsidP="003965C3">
            <w:pPr>
              <w:spacing w:line="360" w:lineRule="auto"/>
              <w:jc w:val="center"/>
              <w:rPr>
                <w:rFonts w:cstheme="minorHAnsi"/>
                <w:b/>
                <w:bCs/>
                <w:color w:val="000000" w:themeColor="text1"/>
                <w:sz w:val="16"/>
                <w:szCs w:val="16"/>
                <w:shd w:val="clear" w:color="auto" w:fill="FFFFFF"/>
                <w:lang w:val="en-GB"/>
              </w:rPr>
            </w:pPr>
          </w:p>
        </w:tc>
      </w:tr>
      <w:tr w:rsidR="00F50C1C" w:rsidRPr="00F50C1C" w14:paraId="200361FF" w14:textId="77777777" w:rsidTr="003965C3">
        <w:trPr>
          <w:jc w:val="center"/>
        </w:trPr>
        <w:tc>
          <w:tcPr>
            <w:tcW w:w="5194" w:type="dxa"/>
          </w:tcPr>
          <w:p w14:paraId="3512B215" w14:textId="77777777" w:rsidR="00F50C1C" w:rsidRPr="00F50C1C" w:rsidRDefault="00F50C1C" w:rsidP="003965C3">
            <w:pPr>
              <w:spacing w:line="360" w:lineRule="auto"/>
              <w:jc w:val="both"/>
              <w:rPr>
                <w:rFonts w:cstheme="minorHAnsi"/>
                <w:color w:val="000000" w:themeColor="text1"/>
                <w:sz w:val="16"/>
                <w:szCs w:val="16"/>
                <w:shd w:val="clear" w:color="auto" w:fill="FFFFFF"/>
                <w:lang w:val="en-GB"/>
              </w:rPr>
            </w:pPr>
            <w:r w:rsidRPr="00F50C1C">
              <w:rPr>
                <w:rFonts w:cstheme="minorHAnsi"/>
                <w:color w:val="000000" w:themeColor="text1"/>
                <w:sz w:val="16"/>
                <w:szCs w:val="16"/>
                <w:shd w:val="clear" w:color="auto" w:fill="FFFFFF"/>
                <w:lang w:val="en-GB"/>
              </w:rPr>
              <w:t>Hydrogen-Based Liquefied Natural Gas (H</w:t>
            </w:r>
            <w:r w:rsidRPr="00F50C1C">
              <w:rPr>
                <w:rFonts w:cstheme="minorHAnsi"/>
                <w:color w:val="000000" w:themeColor="text1"/>
                <w:sz w:val="16"/>
                <w:szCs w:val="16"/>
                <w:shd w:val="clear" w:color="auto" w:fill="FFFFFF"/>
                <w:vertAlign w:val="subscript"/>
                <w:lang w:val="en-GB"/>
              </w:rPr>
              <w:t>2</w:t>
            </w:r>
            <w:r w:rsidRPr="00F50C1C">
              <w:rPr>
                <w:rFonts w:cstheme="minorHAnsi"/>
                <w:color w:val="000000" w:themeColor="text1"/>
                <w:sz w:val="16"/>
                <w:szCs w:val="16"/>
                <w:shd w:val="clear" w:color="auto" w:fill="FFFFFF"/>
                <w:lang w:val="en-GB"/>
              </w:rPr>
              <w:t>-LNG)</w:t>
            </w:r>
          </w:p>
        </w:tc>
        <w:tc>
          <w:tcPr>
            <w:tcW w:w="646" w:type="dxa"/>
            <w:vAlign w:val="center"/>
          </w:tcPr>
          <w:p w14:paraId="294690BE"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08" w:type="dxa"/>
            <w:vAlign w:val="center"/>
          </w:tcPr>
          <w:p w14:paraId="132B9CF2"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35" w:type="dxa"/>
            <w:vAlign w:val="center"/>
          </w:tcPr>
          <w:p w14:paraId="0B30B42D"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69" w:type="dxa"/>
            <w:vAlign w:val="center"/>
          </w:tcPr>
          <w:p w14:paraId="667CE807"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49" w:type="dxa"/>
            <w:vAlign w:val="center"/>
          </w:tcPr>
          <w:p w14:paraId="60DE51E5"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46" w:type="dxa"/>
            <w:vAlign w:val="center"/>
          </w:tcPr>
          <w:p w14:paraId="4BF8B9F9" w14:textId="77777777" w:rsidR="00F50C1C" w:rsidRPr="00F50C1C" w:rsidRDefault="00F50C1C" w:rsidP="003965C3">
            <w:pPr>
              <w:spacing w:line="360" w:lineRule="auto"/>
              <w:jc w:val="center"/>
              <w:rPr>
                <w:rFonts w:cstheme="minorHAnsi"/>
                <w:b/>
                <w:bCs/>
                <w:color w:val="000000" w:themeColor="text1"/>
                <w:sz w:val="16"/>
                <w:szCs w:val="16"/>
                <w:shd w:val="clear" w:color="auto" w:fill="FFFFFF"/>
                <w:lang w:val="en-GB"/>
              </w:rPr>
            </w:pPr>
          </w:p>
        </w:tc>
      </w:tr>
      <w:tr w:rsidR="00F50C1C" w:rsidRPr="00F50C1C" w14:paraId="2B0E23F2" w14:textId="77777777" w:rsidTr="003965C3">
        <w:trPr>
          <w:jc w:val="center"/>
        </w:trPr>
        <w:tc>
          <w:tcPr>
            <w:tcW w:w="5194" w:type="dxa"/>
          </w:tcPr>
          <w:p w14:paraId="3CD333A0" w14:textId="77777777" w:rsidR="00F50C1C" w:rsidRPr="00F50C1C" w:rsidRDefault="00F50C1C" w:rsidP="003965C3">
            <w:pPr>
              <w:spacing w:line="360" w:lineRule="auto"/>
              <w:jc w:val="both"/>
              <w:rPr>
                <w:rFonts w:cstheme="minorHAnsi"/>
                <w:color w:val="000000" w:themeColor="text1"/>
                <w:sz w:val="16"/>
                <w:szCs w:val="16"/>
                <w:shd w:val="clear" w:color="auto" w:fill="FFFFFF"/>
                <w:lang w:val="en-GB"/>
              </w:rPr>
            </w:pPr>
            <w:r w:rsidRPr="00F50C1C">
              <w:rPr>
                <w:rFonts w:cstheme="minorHAnsi"/>
                <w:color w:val="000000" w:themeColor="text1"/>
                <w:sz w:val="16"/>
                <w:szCs w:val="16"/>
                <w:shd w:val="clear" w:color="auto" w:fill="FFFFFF"/>
                <w:lang w:val="en-GB"/>
              </w:rPr>
              <w:t>Hydrogen-Based Liquefied Petroleum Gas (H</w:t>
            </w:r>
            <w:r w:rsidRPr="00F50C1C">
              <w:rPr>
                <w:rFonts w:cstheme="minorHAnsi"/>
                <w:color w:val="000000" w:themeColor="text1"/>
                <w:sz w:val="16"/>
                <w:szCs w:val="16"/>
                <w:shd w:val="clear" w:color="auto" w:fill="FFFFFF"/>
                <w:vertAlign w:val="subscript"/>
                <w:lang w:val="en-GB"/>
              </w:rPr>
              <w:t>2</w:t>
            </w:r>
            <w:r w:rsidRPr="00F50C1C">
              <w:rPr>
                <w:rFonts w:cstheme="minorHAnsi"/>
                <w:color w:val="000000" w:themeColor="text1"/>
                <w:sz w:val="16"/>
                <w:szCs w:val="16"/>
                <w:shd w:val="clear" w:color="auto" w:fill="FFFFFF"/>
                <w:lang w:val="en-GB"/>
              </w:rPr>
              <w:t>-LPG)</w:t>
            </w:r>
          </w:p>
        </w:tc>
        <w:tc>
          <w:tcPr>
            <w:tcW w:w="646" w:type="dxa"/>
            <w:vAlign w:val="center"/>
          </w:tcPr>
          <w:p w14:paraId="0D705F9D"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08" w:type="dxa"/>
            <w:vAlign w:val="center"/>
          </w:tcPr>
          <w:p w14:paraId="2B10BF63"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35" w:type="dxa"/>
            <w:vAlign w:val="center"/>
          </w:tcPr>
          <w:p w14:paraId="3C8AF907"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69" w:type="dxa"/>
            <w:vAlign w:val="center"/>
          </w:tcPr>
          <w:p w14:paraId="3A8066FF"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49" w:type="dxa"/>
            <w:vAlign w:val="center"/>
          </w:tcPr>
          <w:p w14:paraId="6AFC1C3A"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46" w:type="dxa"/>
            <w:vAlign w:val="center"/>
          </w:tcPr>
          <w:p w14:paraId="64D3C3DF" w14:textId="77777777" w:rsidR="00F50C1C" w:rsidRPr="00F50C1C" w:rsidRDefault="00F50C1C" w:rsidP="003965C3">
            <w:pPr>
              <w:spacing w:line="360" w:lineRule="auto"/>
              <w:jc w:val="center"/>
              <w:rPr>
                <w:rFonts w:cstheme="minorHAnsi"/>
                <w:b/>
                <w:bCs/>
                <w:color w:val="000000" w:themeColor="text1"/>
                <w:sz w:val="16"/>
                <w:szCs w:val="16"/>
                <w:shd w:val="clear" w:color="auto" w:fill="FFFFFF"/>
                <w:lang w:val="en-GB"/>
              </w:rPr>
            </w:pPr>
          </w:p>
        </w:tc>
      </w:tr>
      <w:tr w:rsidR="00F50C1C" w:rsidRPr="00F50C1C" w14:paraId="45652AB1" w14:textId="77777777" w:rsidTr="003965C3">
        <w:trPr>
          <w:jc w:val="center"/>
        </w:trPr>
        <w:tc>
          <w:tcPr>
            <w:tcW w:w="5194" w:type="dxa"/>
          </w:tcPr>
          <w:p w14:paraId="5885BDE6" w14:textId="77777777" w:rsidR="00F50C1C" w:rsidRPr="00F50C1C" w:rsidRDefault="00F50C1C" w:rsidP="003965C3">
            <w:pPr>
              <w:spacing w:line="360" w:lineRule="auto"/>
              <w:jc w:val="both"/>
              <w:rPr>
                <w:rFonts w:cstheme="minorHAnsi"/>
                <w:color w:val="000000" w:themeColor="text1"/>
                <w:sz w:val="16"/>
                <w:szCs w:val="16"/>
                <w:shd w:val="clear" w:color="auto" w:fill="FFFFFF"/>
                <w:lang w:val="en-GB"/>
              </w:rPr>
            </w:pPr>
            <w:r w:rsidRPr="00F50C1C">
              <w:rPr>
                <w:rFonts w:cstheme="minorHAnsi"/>
                <w:color w:val="000000" w:themeColor="text1"/>
                <w:sz w:val="16"/>
                <w:szCs w:val="16"/>
                <w:shd w:val="clear" w:color="auto" w:fill="FFFFFF"/>
                <w:lang w:val="en-GB"/>
              </w:rPr>
              <w:t>Hydrogen-Based Methanol</w:t>
            </w:r>
          </w:p>
        </w:tc>
        <w:tc>
          <w:tcPr>
            <w:tcW w:w="646" w:type="dxa"/>
            <w:vAlign w:val="center"/>
          </w:tcPr>
          <w:p w14:paraId="1DD3093B"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08" w:type="dxa"/>
            <w:vAlign w:val="center"/>
          </w:tcPr>
          <w:p w14:paraId="4415ECC2"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35" w:type="dxa"/>
            <w:vAlign w:val="center"/>
          </w:tcPr>
          <w:p w14:paraId="18289D87"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69" w:type="dxa"/>
            <w:vAlign w:val="center"/>
          </w:tcPr>
          <w:p w14:paraId="69300FB8"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49" w:type="dxa"/>
            <w:vAlign w:val="center"/>
          </w:tcPr>
          <w:p w14:paraId="73D7F137"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46" w:type="dxa"/>
            <w:vAlign w:val="center"/>
          </w:tcPr>
          <w:p w14:paraId="3E4DAFFC" w14:textId="77777777" w:rsidR="00F50C1C" w:rsidRPr="00F50C1C" w:rsidRDefault="00F50C1C" w:rsidP="003965C3">
            <w:pPr>
              <w:spacing w:line="360" w:lineRule="auto"/>
              <w:jc w:val="center"/>
              <w:rPr>
                <w:rFonts w:cstheme="minorHAnsi"/>
                <w:b/>
                <w:bCs/>
                <w:color w:val="000000" w:themeColor="text1"/>
                <w:sz w:val="16"/>
                <w:szCs w:val="16"/>
                <w:shd w:val="clear" w:color="auto" w:fill="FFFFFF"/>
                <w:lang w:val="en-GB"/>
              </w:rPr>
            </w:pPr>
          </w:p>
        </w:tc>
      </w:tr>
      <w:tr w:rsidR="00F50C1C" w:rsidRPr="00F50C1C" w14:paraId="075B61ED" w14:textId="77777777" w:rsidTr="003965C3">
        <w:trPr>
          <w:jc w:val="center"/>
        </w:trPr>
        <w:tc>
          <w:tcPr>
            <w:tcW w:w="5194" w:type="dxa"/>
          </w:tcPr>
          <w:p w14:paraId="5523A177" w14:textId="77777777" w:rsidR="00F50C1C" w:rsidRPr="00F50C1C" w:rsidRDefault="00F50C1C" w:rsidP="003965C3">
            <w:pPr>
              <w:spacing w:line="360" w:lineRule="auto"/>
              <w:jc w:val="both"/>
              <w:rPr>
                <w:rFonts w:cstheme="minorHAnsi"/>
                <w:color w:val="000000" w:themeColor="text1"/>
                <w:sz w:val="16"/>
                <w:szCs w:val="16"/>
                <w:shd w:val="clear" w:color="auto" w:fill="FFFFFF"/>
                <w:lang w:val="en-GB"/>
              </w:rPr>
            </w:pPr>
            <w:r w:rsidRPr="00F50C1C">
              <w:rPr>
                <w:rFonts w:cstheme="minorHAnsi"/>
                <w:color w:val="000000" w:themeColor="text1"/>
                <w:sz w:val="16"/>
                <w:szCs w:val="16"/>
                <w:shd w:val="clear" w:color="auto" w:fill="FFFFFF"/>
                <w:lang w:val="en-GB"/>
              </w:rPr>
              <w:t>Hydrogen</w:t>
            </w:r>
          </w:p>
        </w:tc>
        <w:tc>
          <w:tcPr>
            <w:tcW w:w="646" w:type="dxa"/>
            <w:vAlign w:val="center"/>
          </w:tcPr>
          <w:p w14:paraId="52F631EA"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08" w:type="dxa"/>
            <w:vAlign w:val="center"/>
          </w:tcPr>
          <w:p w14:paraId="49E5B620"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35" w:type="dxa"/>
            <w:vAlign w:val="center"/>
          </w:tcPr>
          <w:p w14:paraId="0C88B47B"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69" w:type="dxa"/>
            <w:vAlign w:val="center"/>
          </w:tcPr>
          <w:p w14:paraId="738097C4"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49" w:type="dxa"/>
            <w:vAlign w:val="center"/>
          </w:tcPr>
          <w:p w14:paraId="274B262D"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46" w:type="dxa"/>
            <w:vAlign w:val="center"/>
          </w:tcPr>
          <w:p w14:paraId="09045C73" w14:textId="77777777" w:rsidR="00F50C1C" w:rsidRPr="00F50C1C" w:rsidRDefault="00F50C1C" w:rsidP="003965C3">
            <w:pPr>
              <w:spacing w:line="360" w:lineRule="auto"/>
              <w:jc w:val="center"/>
              <w:rPr>
                <w:rFonts w:cstheme="minorHAnsi"/>
                <w:b/>
                <w:bCs/>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r>
      <w:tr w:rsidR="00F50C1C" w:rsidRPr="00F50C1C" w14:paraId="3468A40D" w14:textId="77777777" w:rsidTr="003965C3">
        <w:trPr>
          <w:jc w:val="center"/>
        </w:trPr>
        <w:tc>
          <w:tcPr>
            <w:tcW w:w="5194" w:type="dxa"/>
          </w:tcPr>
          <w:p w14:paraId="57C872C6" w14:textId="77777777" w:rsidR="00F50C1C" w:rsidRPr="00F50C1C" w:rsidRDefault="00F50C1C" w:rsidP="003965C3">
            <w:pPr>
              <w:spacing w:line="360" w:lineRule="auto"/>
              <w:jc w:val="both"/>
              <w:rPr>
                <w:rFonts w:cstheme="minorHAnsi"/>
                <w:color w:val="000000" w:themeColor="text1"/>
                <w:sz w:val="16"/>
                <w:szCs w:val="16"/>
                <w:shd w:val="clear" w:color="auto" w:fill="FFFFFF"/>
                <w:lang w:val="en-GB"/>
              </w:rPr>
            </w:pPr>
            <w:r w:rsidRPr="00F50C1C">
              <w:rPr>
                <w:rFonts w:cstheme="minorHAnsi"/>
                <w:color w:val="000000" w:themeColor="text1"/>
                <w:sz w:val="16"/>
                <w:szCs w:val="16"/>
                <w:shd w:val="clear" w:color="auto" w:fill="FFFFFF"/>
                <w:lang w:val="en-GB"/>
              </w:rPr>
              <w:t>Ammonia</w:t>
            </w:r>
          </w:p>
        </w:tc>
        <w:tc>
          <w:tcPr>
            <w:tcW w:w="646" w:type="dxa"/>
            <w:vAlign w:val="center"/>
          </w:tcPr>
          <w:p w14:paraId="3FE8002E"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08" w:type="dxa"/>
            <w:vAlign w:val="center"/>
          </w:tcPr>
          <w:p w14:paraId="425BADEB"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35" w:type="dxa"/>
            <w:vAlign w:val="center"/>
          </w:tcPr>
          <w:p w14:paraId="522BD59B"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69" w:type="dxa"/>
            <w:vAlign w:val="center"/>
          </w:tcPr>
          <w:p w14:paraId="76AE6EDA"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49" w:type="dxa"/>
            <w:vAlign w:val="center"/>
          </w:tcPr>
          <w:p w14:paraId="1CDF8F58"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46" w:type="dxa"/>
            <w:vAlign w:val="center"/>
          </w:tcPr>
          <w:p w14:paraId="478AD70B" w14:textId="77777777" w:rsidR="00F50C1C" w:rsidRPr="00F50C1C" w:rsidRDefault="00F50C1C" w:rsidP="003965C3">
            <w:pPr>
              <w:spacing w:line="360" w:lineRule="auto"/>
              <w:jc w:val="center"/>
              <w:rPr>
                <w:rFonts w:cstheme="minorHAnsi"/>
                <w:b/>
                <w:bCs/>
                <w:color w:val="000000" w:themeColor="text1"/>
                <w:sz w:val="16"/>
                <w:szCs w:val="16"/>
                <w:shd w:val="clear" w:color="auto" w:fill="FFFFFF"/>
                <w:lang w:val="en-GB"/>
              </w:rPr>
            </w:pPr>
          </w:p>
        </w:tc>
      </w:tr>
      <w:tr w:rsidR="00F50C1C" w:rsidRPr="00F50C1C" w14:paraId="19811E25" w14:textId="77777777" w:rsidTr="003965C3">
        <w:trPr>
          <w:jc w:val="center"/>
        </w:trPr>
        <w:tc>
          <w:tcPr>
            <w:tcW w:w="5194" w:type="dxa"/>
          </w:tcPr>
          <w:p w14:paraId="2D6A6582" w14:textId="77777777" w:rsidR="00F50C1C" w:rsidRPr="00F50C1C" w:rsidRDefault="00F50C1C" w:rsidP="003965C3">
            <w:pPr>
              <w:spacing w:line="360" w:lineRule="auto"/>
              <w:jc w:val="both"/>
              <w:rPr>
                <w:rFonts w:cstheme="minorHAnsi"/>
                <w:color w:val="000000" w:themeColor="text1"/>
                <w:sz w:val="16"/>
                <w:szCs w:val="16"/>
                <w:shd w:val="clear" w:color="auto" w:fill="FFFFFF"/>
                <w:lang w:val="en-GB"/>
              </w:rPr>
            </w:pPr>
            <w:r w:rsidRPr="00F50C1C">
              <w:rPr>
                <w:rFonts w:cstheme="minorHAnsi"/>
                <w:color w:val="000000" w:themeColor="text1"/>
                <w:sz w:val="16"/>
                <w:szCs w:val="16"/>
                <w:shd w:val="clear" w:color="auto" w:fill="FFFFFF"/>
                <w:lang w:val="en-GB"/>
              </w:rPr>
              <w:t>Electricity</w:t>
            </w:r>
          </w:p>
        </w:tc>
        <w:tc>
          <w:tcPr>
            <w:tcW w:w="646" w:type="dxa"/>
            <w:vAlign w:val="center"/>
          </w:tcPr>
          <w:p w14:paraId="65C4FD72"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08" w:type="dxa"/>
            <w:vAlign w:val="center"/>
          </w:tcPr>
          <w:p w14:paraId="513BFAB8"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35" w:type="dxa"/>
            <w:vAlign w:val="center"/>
          </w:tcPr>
          <w:p w14:paraId="050E4BCD"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69" w:type="dxa"/>
            <w:vAlign w:val="center"/>
          </w:tcPr>
          <w:p w14:paraId="107E9A9E"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r w:rsidRPr="00F50C1C">
              <w:rPr>
                <w:rFonts w:cstheme="minorHAnsi"/>
                <w:b/>
                <w:bCs/>
                <w:color w:val="000000" w:themeColor="text1"/>
                <w:sz w:val="16"/>
                <w:szCs w:val="16"/>
                <w:shd w:val="clear" w:color="auto" w:fill="FFFFFF"/>
                <w:lang w:val="en-GB"/>
              </w:rPr>
              <w:t>X</w:t>
            </w:r>
          </w:p>
        </w:tc>
        <w:tc>
          <w:tcPr>
            <w:tcW w:w="749" w:type="dxa"/>
            <w:vAlign w:val="center"/>
          </w:tcPr>
          <w:p w14:paraId="63FE5A24" w14:textId="77777777" w:rsidR="00F50C1C" w:rsidRPr="00F50C1C" w:rsidRDefault="00F50C1C" w:rsidP="003965C3">
            <w:pPr>
              <w:spacing w:line="360" w:lineRule="auto"/>
              <w:jc w:val="center"/>
              <w:rPr>
                <w:rFonts w:cstheme="minorHAnsi"/>
                <w:color w:val="000000" w:themeColor="text1"/>
                <w:sz w:val="16"/>
                <w:szCs w:val="16"/>
                <w:shd w:val="clear" w:color="auto" w:fill="FFFFFF"/>
                <w:lang w:val="en-GB"/>
              </w:rPr>
            </w:pPr>
          </w:p>
        </w:tc>
        <w:tc>
          <w:tcPr>
            <w:tcW w:w="746" w:type="dxa"/>
            <w:vAlign w:val="center"/>
          </w:tcPr>
          <w:p w14:paraId="2FD50081" w14:textId="77777777" w:rsidR="00F50C1C" w:rsidRPr="00F50C1C" w:rsidRDefault="00F50C1C" w:rsidP="003965C3">
            <w:pPr>
              <w:spacing w:line="360" w:lineRule="auto"/>
              <w:jc w:val="center"/>
              <w:rPr>
                <w:rFonts w:cstheme="minorHAnsi"/>
                <w:b/>
                <w:bCs/>
                <w:color w:val="000000" w:themeColor="text1"/>
                <w:sz w:val="16"/>
                <w:szCs w:val="16"/>
                <w:shd w:val="clear" w:color="auto" w:fill="FFFFFF"/>
                <w:lang w:val="en-GB"/>
              </w:rPr>
            </w:pPr>
          </w:p>
        </w:tc>
      </w:tr>
    </w:tbl>
    <w:p w14:paraId="08C06268" w14:textId="77777777" w:rsidR="00F50C1C" w:rsidRPr="009C048B" w:rsidRDefault="00F50C1C" w:rsidP="00D017F3">
      <w:pPr>
        <w:pStyle w:val="HollandsSpoor"/>
        <w:numPr>
          <w:ilvl w:val="0"/>
          <w:numId w:val="0"/>
        </w:numPr>
      </w:pPr>
    </w:p>
    <w:p w14:paraId="6494B032" w14:textId="77777777" w:rsidR="009C048B" w:rsidRDefault="009C048B" w:rsidP="009C048B">
      <w:pPr>
        <w:pStyle w:val="HollandsSpoor2"/>
        <w:spacing w:line="276" w:lineRule="auto"/>
      </w:pPr>
      <w:r>
        <w:t xml:space="preserve"> COFFEE</w:t>
      </w:r>
    </w:p>
    <w:p w14:paraId="373864B4" w14:textId="77777777" w:rsidR="009C048B" w:rsidRDefault="009C048B" w:rsidP="009C048B">
      <w:pPr>
        <w:pStyle w:val="HollandsSpoor3"/>
        <w:spacing w:line="276" w:lineRule="auto"/>
      </w:pPr>
      <w:r>
        <w:t>General</w:t>
      </w:r>
    </w:p>
    <w:p w14:paraId="097C0E82" w14:textId="77777777" w:rsidR="009C048B" w:rsidRDefault="009C048B" w:rsidP="009C048B">
      <w:pPr>
        <w:spacing w:line="360" w:lineRule="auto"/>
        <w:jc w:val="both"/>
        <w:rPr>
          <w:lang w:val="en-GB"/>
        </w:rPr>
      </w:pPr>
      <w:r w:rsidRPr="00981863">
        <w:rPr>
          <w:lang w:val="en-GB"/>
        </w:rPr>
        <w:t xml:space="preserve">COFFEE is a </w:t>
      </w:r>
      <w:r>
        <w:rPr>
          <w:lang w:val="en-GB"/>
        </w:rPr>
        <w:t>process-based</w:t>
      </w:r>
      <w:r>
        <w:rPr>
          <w:lang w:val="en-GB"/>
        </w:rPr>
        <w:fldChar w:fldCharType="begin" w:fldLock="1"/>
      </w:r>
      <w:r>
        <w:rPr>
          <w:lang w:val="en-GB"/>
        </w:rPr>
        <w:instrText>ADDIN CSL_CITATION {"citationItems":[{"id":"ITEM-1","itemData":{"DOI":"https://doi.org/10.1016/j.gloenvcha.2020.102191","ISSN":"0959-3780","abstract":"Integrated Assessment Models (IAMs) have gained a prominent role in the climate science-policy interface. The article reconstructs the evolution of IAMs and their changing role in this interface, investigating how and why IAMs have become so prominent. Based on literature analysis, quantitative document analysis and semi-structured interviews, we describe the historic evolution of the interactions between IAMs and policy-making between 1970 and 2015. We identify five historic phases in which IAMs played distinct mediating roles between science and policy, succeeding to adjust their scenario efforts to the continuously changing demands for knowledge from the policy community. In explaining the prominent role of IAMs, we differentiate between background conditions (material and sociological) and more contextual factors, most notably the flexible, hybrid and broad nature of IAMs as well as the pro-active character of the IAM community to enhance their policy relevance. We draw on the notion of institutional work to explain this success. In light of the urgency of responding to the climate crisis, we suggest that the IAM community may expand their scope of anticipated futures and consider engaging a wider range of publics and societal stakeholders beyond the science-policy interface.","author":[{"dropping-particle":"","family":"Beek","given":"Lisette","non-dropping-particle":"van","parse-names":false,"suffix":""},{"dropping-particle":"","family":"Hajer","given":"Maarten","non-dropping-particle":"","parse-names":false,"suffix":""},{"dropping-particle":"","family":"Pelzer","given":"Peter","non-dropping-particle":"","parse-names":false,"suffix":""},{"dropping-particle":"","family":"Vuuren","given":"Detlef","non-dropping-particle":"van","parse-names":false,"suffix":""},{"dropping-particle":"","family":"Cassen","given":"Christophe","non-dropping-particle":"","parse-names":false,"suffix":""}],"container-title":"Global Environmental Change","id":"ITEM-1","issued":{"date-parts":[["2020"]]},"page":"102191","title":"Anticipating futures through models: the rise of Integrated Assessment Modelling in the climate science-policy interface since 1970","type":"article-journal","volume":"65"},"uris":["http://www.mendeley.com/documents/?uuid=a771b24e-b200-4242-99c7-7181b6a16ce5"]}],"mendeley":{"formattedCitation":"&lt;sup&gt;1&lt;/sup&gt;","plainTextFormattedCitation":"1","previouslyFormattedCitation":"&lt;sup&gt;1&lt;/sup&gt;"},"properties":{"noteIndex":0},"schema":"https://github.com/citation-style-language/schema/raw/master/csl-citation.json"}</w:instrText>
      </w:r>
      <w:r>
        <w:rPr>
          <w:lang w:val="en-GB"/>
        </w:rPr>
        <w:fldChar w:fldCharType="separate"/>
      </w:r>
      <w:r w:rsidRPr="00B86AC5">
        <w:rPr>
          <w:noProof/>
          <w:vertAlign w:val="superscript"/>
          <w:lang w:val="en-GB"/>
        </w:rPr>
        <w:t>1</w:t>
      </w:r>
      <w:r>
        <w:rPr>
          <w:lang w:val="en-GB"/>
        </w:rPr>
        <w:fldChar w:fldCharType="end"/>
      </w:r>
      <w:r>
        <w:rPr>
          <w:lang w:val="en-GB"/>
        </w:rPr>
        <w:t xml:space="preserve"> Integrated Assessment Model (IAM) based on intertemporal linear programming optimization. The model is designed to represent the global energy, industrial, agricultural, and land-use systems, which are divided into 18 geographical regions. In essence, </w:t>
      </w:r>
      <w:r>
        <w:rPr>
          <w:lang w:val="pt-BR"/>
        </w:rPr>
        <w:t>COFFEE</w:t>
      </w:r>
      <w:r w:rsidRPr="00981863">
        <w:rPr>
          <w:lang w:val="en-GB"/>
        </w:rPr>
        <w:t xml:space="preserve"> seeks to find </w:t>
      </w:r>
      <w:r>
        <w:rPr>
          <w:lang w:val="en-GB"/>
        </w:rPr>
        <w:t xml:space="preserve">the least costly configuration of the represented systems that satisfies the various demands and constraints specified as input. For each geographical region, the model receives a range of input data, including demographic trends, demand for services (e.g., food, mobility, and thermal </w:t>
      </w:r>
      <w:r>
        <w:rPr>
          <w:lang w:val="en-GB"/>
        </w:rPr>
        <w:lastRenderedPageBreak/>
        <w:t>comfort), technological developments (e.g., cost and efficiency curves of energy converters), and resource availability (e.g., biomass, coal, and oil). At the same time, COFFEE receives a variety of constraints associated with environmental aspects (e.g., carbon budget), institutional aspects (e.g., existing public policies), and historical aspects (calibration). Using this data and a predetermined discount rate, COFFEE returns the optimal configuration of the global energy, industrial, agricultural, and land-use systems over the period 2010-2100 for the given conditions</w:t>
      </w:r>
      <w:r>
        <w:rPr>
          <w:lang w:val="en-GB"/>
        </w:rPr>
        <w:fldChar w:fldCharType="begin" w:fldLock="1"/>
      </w:r>
      <w:r>
        <w:rPr>
          <w:lang w:val="en-GB"/>
        </w:rPr>
        <w:instrText>ADDIN CSL_CITATION {"citationItems":[{"id":"ITEM-1","itemData":{"URL":"https://www.iamcdocumentation.eu/index.php/Model_Documentation_-_COFFEE-TEA","accessed":{"date-parts":[["2021","1","20"]]},"author":[{"dropping-particle":"","family":"IAMC","given":"","non-dropping-particle":"","parse-names":false,"suffix":""}],"id":"ITEM-1","issued":{"date-parts":[["2019"]]},"title":"Model Documentation - COFFEE-TEA","type":"webpage"},"uris":["http://www.mendeley.com/documents/?uuid=43bf0967-321a-4db9-bd80-bcefb6ffd211"]},{"id":"ITEM-2","itemData":{"DOI":"10.3390/en14175567","ISBN":"1996-1073","abstract":"Emissions pathways after COVID-19 will be shaped by how governments’ economic responses translate into infrastructure expansion, energy use, investment planning and societal changes. As a response to the COVID-19 crisis, most governments worldwide launched recovery packages aiming to boost their economies, support employment and enhance their competitiveness. Climate action is pledged to be embedded in most of these packages, but with sharp differences across countries. This paper provides novel evidence on the energy system and greenhouse gas (GHG) emissions implications of post-COVID-19 recovery packages by assessing the gap between pledged recovery packages and the actual investment needs of the energy transition to reach the Paris Agreement goals. Using two well-established Integrated Assessment Models (IAMs) and analysing various scenarios combining recovery packages and climate policies, we conclude that currently planned recovery from COVID-19 is not enough to enhance societal responses to climate urgency and that it should be significantly upscaled and prolonged to ensure compatibility with the Paris Agreement goals.","author":[{"dropping-particle":"","family":"Rochedo","given":"Pedro R R","non-dropping-particle":"","parse-names":false,"suffix":""},{"dropping-particle":"","family":"Fragkos","given":"Panagiotis","non-dropping-particle":"","parse-names":false,"suffix":""},{"dropping-particle":"","family":"Garaffa","given":"Rafael","non-dropping-particle":"","parse-names":false,"suffix":""},{"dropping-particle":"","family":"Couto","given":"Lilia C","non-dropping-particle":"","parse-names":false,"suffix":""},{"dropping-particle":"","family":"Baptista","given":"Luiz B","non-dropping-particle":"","parse-names":false,"suffix":""},{"dropping-particle":"","family":"Cunha","given":"Bruno S L","non-dropping-particle":"","parse-names":false,"suffix":""},{"dropping-particle":"","family":"Schaeffer","given":"Roberto","non-dropping-particle":"","parse-names":false,"suffix":""},{"dropping-particle":"","family":"Szklo","given":"Alexandre","non-dropping-particle":"","parse-names":false,"suffix":""}],"container-title":"Energies","id":"ITEM-2","issue":"17","issued":{"date-parts":[["2021"]]},"title":"Is Green Recovery Enough? Analysing the Impacts of Post-COVID-19 Economic Packages","type":"article","volume":"14"},"uris":["http://www.mendeley.com/documents/?uuid=256c8cad-de6c-42b0-b6a0-5e35cb512c7f"]},{"id":"ITEM-3","itemData":{"DOI":"https://doi.org/10.1016/j.energy.2022.124451","ISSN":"0360-5442","abstract":"Phasing-out fossil fuels is key to limiting global warming to 1.5 °C. Recent studies indicated huge amounts of unextracted oil resources in deep mitigation scenarios. However, crude oil heterogeneity and related refining yields have been overlooked. The same holds for the impact of carbon dioxide removal (CDR) and sequestration technologies on stranded oil resources, and the pace of crude oil extraction in different world regions in scenarios with and without average global surface temperature overshoot for the 2020–2100 period. This study uses a global Integrated Assessment Model (IAM) to assess the impact of considering such complexities when running full-century and peak budget carbon scenarios. When “turning off” the detailed oil quality module of this IAM, an overproduction of crude oil with a smaller throughput of oil refineries was found, as the model simplified the oil supply-demand balance. “Turning on” the detailed oil module and simulating the energy-land nexus showed that CDR allowed the remaining use of oil in hard-to-abate sectors, while refineries were better adjusted to oil supply. African and Latin American regions produced more oil before 2050 in the full-century-budget scenario than in the peak budget scenario. This has implications for just transition, as these regions usually prefer anticipating rents.","author":[{"dropping-particle":"","family":"Draeger","given":"Rebecca","non-dropping-particle":"","parse-names":false,"suffix":""},{"dropping-particle":"","family":"Cunha","given":"Bruno S L","non-dropping-particle":"","parse-names":false,"suffix":""},{"dropping-particle":"","family":"Müller-Casseres","given":"Eduardo","non-dropping-particle":"","parse-names":false,"suffix":""},{"dropping-particle":"","family":"Rochedo","given":"Pedro R R","non-dropping-particle":"","parse-names":false,"suffix":""},{"dropping-particle":"","family":"Szklo","given":"Alexandre","non-dropping-particle":"","parse-names":false,"suffix":""},{"dropping-particle":"","family":"Schaeffer","given":"Roberto","non-dropping-particle":"","parse-names":false,"suffix":""}],"container-title":"Energy","id":"ITEM-3","issued":{"date-parts":[["2022"]]},"page":"124451","title":"Stranded crude oil resources and just transition: Why do crude oil quality, climate ambitions and land-use emissions matter","type":"article-journal","volume":"255"},"uris":["http://www.mendeley.com/documents/?uuid=2df9ccc4-7597-4370-bbee-819438f4e291"]}],"mendeley":{"formattedCitation":"&lt;sup&gt;2–4&lt;/sup&gt;","plainTextFormattedCitation":"2–4","previouslyFormattedCitation":"&lt;sup&gt;2–4&lt;/sup&gt;"},"properties":{"noteIndex":0},"schema":"https://github.com/citation-style-language/schema/raw/master/csl-citation.json"}</w:instrText>
      </w:r>
      <w:r>
        <w:rPr>
          <w:lang w:val="en-GB"/>
        </w:rPr>
        <w:fldChar w:fldCharType="separate"/>
      </w:r>
      <w:r w:rsidRPr="00B86AC5">
        <w:rPr>
          <w:noProof/>
          <w:vertAlign w:val="superscript"/>
          <w:lang w:val="en-GB"/>
        </w:rPr>
        <w:t>2–4</w:t>
      </w:r>
      <w:r>
        <w:rPr>
          <w:lang w:val="en-GB"/>
        </w:rPr>
        <w:fldChar w:fldCharType="end"/>
      </w:r>
      <w:r w:rsidRPr="00981863">
        <w:rPr>
          <w:lang w:val="en-GB"/>
        </w:rPr>
        <w:t>.</w:t>
      </w:r>
    </w:p>
    <w:p w14:paraId="77453EC8" w14:textId="77777777" w:rsidR="009C048B" w:rsidRPr="00BC0E81" w:rsidRDefault="009C048B" w:rsidP="009C048B">
      <w:pPr>
        <w:spacing w:line="360" w:lineRule="auto"/>
        <w:jc w:val="both"/>
        <w:rPr>
          <w:lang w:val="en-GB"/>
        </w:rPr>
      </w:pPr>
      <w:r>
        <w:rPr>
          <w:lang w:val="en-GB"/>
        </w:rPr>
        <w:t>In summary, the value of COFFEE as a modelling tool lies in its ability to identify the global minimum cost for expanding energy, industrial, agricultural, and land-use systems. By taking an integrated approach that considers the connections between these sectors, the model indicates mitigation strategies that are not limited to isolated sectors of the economy. As a result, the greenhouse gas (GHG) trajectories developed using this IAM are often distinct from those expected under a strictly sectoral perspective</w:t>
      </w:r>
      <w:r>
        <w:rPr>
          <w:lang w:val="en-GB"/>
        </w:rPr>
        <w:fldChar w:fldCharType="begin" w:fldLock="1"/>
      </w:r>
      <w:r>
        <w:rPr>
          <w:lang w:val="en-GB"/>
        </w:rPr>
        <w:instrText>ADDIN CSL_CITATION {"citationItems":[{"id":"ITEM-1","itemData":{"DOI":"10.1017/CBO9781107415324.004","ISBN":"9788578110796","ISSN":"1098-6596","PMID":"25246403","author":[{"dropping-particle":"","family":"Rochedo","given":"Pedro Rua Rodriguez","non-dropping-particle":"","parse-names":false,"suffix":""}],"container-title":"Journal of Chemical Information and Modeling","id":"ITEM-1","issued":{"date-parts":[["2016"]]},"title":"Development of a Global Integrated Energy Model to Evaluate the Brazilian Role in Climate Change Mitigation Scenarios","type":"thesis"},"uris":["http://www.mendeley.com/documents/?uuid=24a08b59-e41d-43c0-9f72-e92b6a772d7c"]},{"id":"ITEM-2","itemData":{"DOI":"10.5281/zenodo.5886912","author":[{"dropping-particle":"","family":"Byers","given":"Edward","non-dropping-particle":"","parse-names":false,"suffix":""},{"dropping-particle":"","family":"Krey","given":"Volker","non-dropping-particle":"","parse-names":false,"suffix":""},{"dropping-particle":"","family":"Kriegler","given":"Elmar","non-dropping-particle":"","parse-names":false,"suffix":""},{"dropping-particle":"","family":"Riahi","given":"Keywan","non-dropping-particle":"","parse-names":false,"suffix":""},{"dropping-particle":"","family":"Schaeffer","given":"Roberto","non-dropping-particle":"","parse-names":false,"suffix":""},{"dropping-particle":"","family":"Kikstra","given":"Jarmo","non-dropping-particle":"","parse-names":false,"suffix":""},{"dropping-particle":"","family":"Lamboll","given":"Robin","non-dropping-particle":"","parse-names":false,"suffix":""},{"dropping-particle":"","family":"Nicholls","given":"Zebedee","non-dropping-particle":"","parse-names":false,"suffix":""},{"dropping-particle":"","family":"Sandstad","given":"Marit","non-dropping-particle":"","parse-names":false,"suffix":""},{"dropping-particle":"","family":"Smith","given":"Chris","non-dropping-particle":"","parse-names":false,"suffix":""},{"dropping-particle":"","family":"Wijst","given":"Kaj","non-dropping-particle":"van der","parse-names":false,"suffix":""},{"dropping-particle":"","family":"Lecocq","given":"Franck","non-dropping-particle":"","parse-names":false,"suffix":""},{"dropping-particle":"","family":"Portugal-Pereira","given":"Joana","non-dropping-particle":"","parse-names":false,"suffix":""},{"dropping-particle":"","family":"Saheb","given":"Yamina","non-dropping-particle":"","parse-names":false,"suffix":""},{"dropping-particle":"","family":"Stromann","given":"Anders","non-dropping-particle":"","parse-names":false,"suffix":""},{"dropping-particle":"","family":"Winkler","given":"Harald","non-dropping-particle":"","parse-names":false,"suffix":""},{"dropping-particle":"","family":"Auer","given":"Cornelia","non-dropping-particle":"","parse-names":false,"suffix":""},{"dropping-particle":"","family":"Brutschin","given":"Elina","non-dropping-particle":"","parse-names":false,"suffix":""},{"dropping-particle":"","family":"Lepault","given":"Claire","non-dropping-particle":"","parse-names":false,"suffix":""},{"dropping-particle":"","family":"Müller-Casseres","given":"Eduardo","non-dropping-particle":"","parse-names":false,"suffix":""},{"dropping-particle":"","family":"Gidden","given":"Matthew","non-dropping-particle":"","parse-names":false,"suffix":""},{"dropping-particle":"","family":"Huppmann","given":"Daniel","non-dropping-particle":"","parse-names":false,"suffix":""},{"dropping-particle":"","family":"Kolp","given":"Peter","non-dropping-particle":"","parse-names":false,"suffix":""},{"dropping-particle":"","family":"Marangoni","given":"Giacomo","non-dropping-particle":"","parse-names":false,"suffix":""},{"dropping-particle":"","family":"Werning","given":"Michaela","non-dropping-particle":"","parse-names":false,"suffix":""},{"dropping-particle":"","family":"Calvin","given":"Katherine","non-dropping-particle":"","parse-names":false,"suffix":""},{"dropping-particle":"","family":"Guivarch","given":"Celine","non-dropping-particle":"","parse-names":false,"suffix":""},{"dropping-particle":"","family":"Hasegawa","given":"Tomoko","non-dropping-particle":"","parse-names":false,"suffix":""},{"dropping-particle":"","family":"Peters","given":"Glen","non-dropping-particle":"","parse-names":false,"suffix":""},{"dropping-particle":"","family":"Steinberger","given":"Julia","non-dropping-particle":"","parse-names":false,"suffix":""},{"dropping-particle":"","family":"Tavoni","given":"Massimo","non-dropping-particle":"","parse-names":false,"suffix":""},{"dropping-particle":"","family":"Vuuren","given":"Detlef","non-dropping-particle":"van","parse-names":false,"suffix":""},{"dropping-particle":"","family":"-Khourdajie","given":"Alaa","non-dropping-particle":"Al","parse-names":false,"suffix":""},{"dropping-particle":"","family":"Forster","given":"Piers","non-dropping-particle":"","parse-names":false,"suffix":""},{"dropping-particle":"","family":"Lewis","given":"Jared","non-dropping-particle":"","parse-names":false,"suffix":""},{"dropping-particle":"","family":"Meinshausen","given":"Malte","non-dropping-particle":"","parse-names":false,"suffix":""},{"dropping-particle":"","family":"Rogelj","given":"Joeri","non-dropping-particle":"","parse-names":false,"suffix":""},{"dropping-particle":"","family":"Samset","given":"Bjorn","non-dropping-particle":"","parse-names":false,"suffix":""},{"dropping-particle":"","family":"Skeie","given":"Ragnhild","non-dropping-particle":"","parse-names":false,"suffix":""}],"id":"ITEM-2","issued":{"date-parts":[["2022"]]},"publisher":"Zenodo","title":"AR6 Scenarios Database","type":"article"},"uris":["http://www.mendeley.com/documents/?uuid=2f5b74c8-f9a1-47f8-a7b8-420f5591d99c"]}],"mendeley":{"formattedCitation":"&lt;sup&gt;5,6&lt;/sup&gt;","plainTextFormattedCitation":"5,6","previouslyFormattedCitation":"&lt;sup&gt;5,6&lt;/sup&gt;"},"properties":{"noteIndex":0},"schema":"https://github.com/citation-style-language/schema/raw/master/csl-citation.json"}</w:instrText>
      </w:r>
      <w:r>
        <w:rPr>
          <w:lang w:val="en-GB"/>
        </w:rPr>
        <w:fldChar w:fldCharType="separate"/>
      </w:r>
      <w:r w:rsidRPr="00AC5995">
        <w:rPr>
          <w:noProof/>
          <w:vertAlign w:val="superscript"/>
          <w:lang w:val="en-GB"/>
        </w:rPr>
        <w:t>5,6</w:t>
      </w:r>
      <w:r>
        <w:rPr>
          <w:lang w:val="en-GB"/>
        </w:rPr>
        <w:fldChar w:fldCharType="end"/>
      </w:r>
      <w:r>
        <w:rPr>
          <w:lang w:val="en-GB"/>
        </w:rPr>
        <w:t>.</w:t>
      </w:r>
    </w:p>
    <w:p w14:paraId="36866948" w14:textId="77777777" w:rsidR="009C048B" w:rsidRPr="00BC0E81" w:rsidRDefault="009C048B" w:rsidP="009C048B">
      <w:pPr>
        <w:pStyle w:val="HollandsSpoor3"/>
        <w:spacing w:line="360" w:lineRule="auto"/>
      </w:pPr>
      <w:r>
        <w:t>International shipping</w:t>
      </w:r>
    </w:p>
    <w:p w14:paraId="5D81B4EA" w14:textId="77777777" w:rsidR="009C048B" w:rsidRDefault="009C048B" w:rsidP="009C048B">
      <w:pPr>
        <w:spacing w:line="360" w:lineRule="auto"/>
        <w:jc w:val="both"/>
        <w:rPr>
          <w:lang w:val="en-GB"/>
        </w:rPr>
      </w:pPr>
      <w:r>
        <w:rPr>
          <w:lang w:val="en-GB"/>
        </w:rPr>
        <w:t>Modelling maritime transportation presents a challenge due to the immense diversity of cargo (the Harmonized System lists over 5,000 product groups in international trade). In COFFEE, the modelling of the demand for international shipping is based on the following premises:</w:t>
      </w:r>
    </w:p>
    <w:p w14:paraId="540652F8" w14:textId="77777777" w:rsidR="009C048B" w:rsidRDefault="009C048B" w:rsidP="009C048B">
      <w:pPr>
        <w:pStyle w:val="PargrafodaLista"/>
        <w:numPr>
          <w:ilvl w:val="0"/>
          <w:numId w:val="4"/>
        </w:numPr>
        <w:spacing w:line="360" w:lineRule="auto"/>
        <w:jc w:val="both"/>
        <w:rPr>
          <w:lang w:val="en-GB"/>
        </w:rPr>
      </w:pPr>
      <w:r>
        <w:rPr>
          <w:lang w:val="en-GB"/>
        </w:rPr>
        <w:t>The disaggregation of international trade according to physical (mass) or financial (value) criteria reveals significant differences. While commodities make up a considerable proportion of tonne-miles transported, their low added value causes their share to decrease considerably in the financial disaggregation. From the energy perspective adopted in COFFEE, a physical disaggregation of international shipping is more attractive.</w:t>
      </w:r>
    </w:p>
    <w:p w14:paraId="11A9C565" w14:textId="77777777" w:rsidR="009C048B" w:rsidRDefault="009C048B" w:rsidP="009C048B">
      <w:pPr>
        <w:pStyle w:val="PargrafodaLista"/>
        <w:numPr>
          <w:ilvl w:val="0"/>
          <w:numId w:val="4"/>
        </w:numPr>
        <w:spacing w:line="360" w:lineRule="auto"/>
        <w:jc w:val="both"/>
        <w:rPr>
          <w:lang w:val="en-GB"/>
        </w:rPr>
      </w:pPr>
      <w:r>
        <w:rPr>
          <w:lang w:val="en-GB"/>
        </w:rPr>
        <w:t>COFFEE is a modelling tool that places a strong emphasis on the energy sector, and its representation of energy chains is highly detailed. Given that energy cargoes account for nearly 40% of all international maritime transport tonne-miles</w:t>
      </w:r>
      <w:r>
        <w:rPr>
          <w:lang w:val="en-GB"/>
        </w:rPr>
        <w:fldChar w:fldCharType="begin" w:fldLock="1"/>
      </w:r>
      <w:r>
        <w:rPr>
          <w:lang w:val="en-GB"/>
        </w:rPr>
        <w:instrText>ADDIN CSL_CITATION {"citationItems":[{"id":"ITEM-1","itemData":{"author":[{"dropping-particle":"","family":"UNCTAD","given":"","non-dropping-particle":"","parse-names":false,"suffix":""}],"id":"ITEM-1","issued":{"date-parts":[["2022"]]},"publisher-place":"Geneva, Switzerland","title":"Handbook of Statistics 2022","type":"report"},"uris":["http://www.mendeley.com/documents/?uuid=17be5863-b88f-49d3-9fd4-6ab380f5f143"]}],"mendeley":{"formattedCitation":"&lt;sup&gt;7&lt;/sup&gt;","plainTextFormattedCitation":"7","previouslyFormattedCitation":"&lt;sup&gt;7&lt;/sup&gt;"},"properties":{"noteIndex":0},"schema":"https://github.com/citation-style-language/schema/raw/master/csl-citation.json"}</w:instrText>
      </w:r>
      <w:r>
        <w:rPr>
          <w:lang w:val="en-GB"/>
        </w:rPr>
        <w:fldChar w:fldCharType="separate"/>
      </w:r>
      <w:r w:rsidRPr="00F508F1">
        <w:rPr>
          <w:noProof/>
          <w:vertAlign w:val="superscript"/>
          <w:lang w:val="en-GB"/>
        </w:rPr>
        <w:t>7</w:t>
      </w:r>
      <w:r>
        <w:rPr>
          <w:lang w:val="en-GB"/>
        </w:rPr>
        <w:fldChar w:fldCharType="end"/>
      </w:r>
      <w:r>
        <w:rPr>
          <w:lang w:val="en-GB"/>
        </w:rPr>
        <w:t>, the maritime transport module places significant importance on these products.</w:t>
      </w:r>
    </w:p>
    <w:p w14:paraId="39066A3D" w14:textId="77777777" w:rsidR="009C048B" w:rsidRDefault="009C048B" w:rsidP="009C048B">
      <w:pPr>
        <w:pStyle w:val="PargrafodaLista"/>
        <w:numPr>
          <w:ilvl w:val="0"/>
          <w:numId w:val="4"/>
        </w:numPr>
        <w:spacing w:line="360" w:lineRule="auto"/>
        <w:jc w:val="both"/>
        <w:rPr>
          <w:lang w:val="en-GB"/>
        </w:rPr>
      </w:pPr>
      <w:r>
        <w:rPr>
          <w:lang w:val="en-GB"/>
        </w:rPr>
        <w:t>Some agricultural products (especially grains) are endogenously represented in COFFEE while also accounting for a significant fraction of international trade. For these commodities, demand for maritime transport is modelled endogenously.</w:t>
      </w:r>
    </w:p>
    <w:p w14:paraId="462688FE" w14:textId="77777777" w:rsidR="009C048B" w:rsidRDefault="009C048B" w:rsidP="009C048B">
      <w:pPr>
        <w:pStyle w:val="PargrafodaLista"/>
        <w:numPr>
          <w:ilvl w:val="0"/>
          <w:numId w:val="4"/>
        </w:numPr>
        <w:spacing w:line="360" w:lineRule="auto"/>
        <w:jc w:val="both"/>
        <w:rPr>
          <w:lang w:val="en-GB"/>
        </w:rPr>
      </w:pPr>
      <w:r w:rsidRPr="00F508F1">
        <w:rPr>
          <w:lang w:val="en-GB"/>
        </w:rPr>
        <w:t xml:space="preserve">Container ships play a </w:t>
      </w:r>
      <w:r>
        <w:rPr>
          <w:lang w:val="en-GB"/>
        </w:rPr>
        <w:t>major</w:t>
      </w:r>
      <w:r w:rsidRPr="00F508F1">
        <w:rPr>
          <w:lang w:val="en-GB"/>
        </w:rPr>
        <w:t xml:space="preserve"> role in international maritime transport, accounting for roughly 15% of total tonne-miles and consuming about 30% of the sector's final energy. Hence, an accurate representation of these vessels in the model </w:t>
      </w:r>
      <w:r>
        <w:rPr>
          <w:lang w:val="en-GB"/>
        </w:rPr>
        <w:t>is</w:t>
      </w:r>
      <w:r w:rsidRPr="00F508F1">
        <w:rPr>
          <w:lang w:val="en-GB"/>
        </w:rPr>
        <w:t xml:space="preserve"> crucial.</w:t>
      </w:r>
    </w:p>
    <w:p w14:paraId="4F624227" w14:textId="7D009DAD" w:rsidR="009C048B" w:rsidRDefault="009C048B" w:rsidP="009C048B">
      <w:pPr>
        <w:spacing w:line="360" w:lineRule="auto"/>
        <w:jc w:val="both"/>
        <w:rPr>
          <w:lang w:val="en-GB"/>
        </w:rPr>
      </w:pPr>
      <w:r w:rsidRPr="00F508F1">
        <w:rPr>
          <w:lang w:val="en-GB"/>
        </w:rPr>
        <w:lastRenderedPageBreak/>
        <w:t xml:space="preserve">Based on these premises, the list of products and </w:t>
      </w:r>
      <w:r>
        <w:rPr>
          <w:lang w:val="en-GB"/>
        </w:rPr>
        <w:t xml:space="preserve">associated </w:t>
      </w:r>
      <w:r w:rsidRPr="00F508F1">
        <w:rPr>
          <w:lang w:val="en-GB"/>
        </w:rPr>
        <w:t xml:space="preserve">vessels </w:t>
      </w:r>
      <w:r>
        <w:rPr>
          <w:lang w:val="en-GB"/>
        </w:rPr>
        <w:t xml:space="preserve">represented </w:t>
      </w:r>
      <w:r w:rsidRPr="00F508F1">
        <w:rPr>
          <w:lang w:val="en-GB"/>
        </w:rPr>
        <w:t xml:space="preserve">in COFFEE </w:t>
      </w:r>
      <w:r>
        <w:rPr>
          <w:lang w:val="en-GB"/>
        </w:rPr>
        <w:t xml:space="preserve">is shown in </w:t>
      </w:r>
      <w:r>
        <w:rPr>
          <w:lang w:val="en-GB"/>
        </w:rPr>
        <w:fldChar w:fldCharType="begin"/>
      </w:r>
      <w:r>
        <w:rPr>
          <w:lang w:val="en-GB"/>
        </w:rPr>
        <w:instrText xml:space="preserve"> REF _Ref132123708 \h  \* MERGEFORMAT </w:instrText>
      </w:r>
      <w:r>
        <w:rPr>
          <w:lang w:val="en-GB"/>
        </w:rPr>
      </w:r>
      <w:r>
        <w:rPr>
          <w:lang w:val="en-GB"/>
        </w:rPr>
        <w:fldChar w:fldCharType="separate"/>
      </w:r>
      <w:r w:rsidR="00F3536E" w:rsidRPr="00981863">
        <w:rPr>
          <w:lang w:val="en-GB"/>
        </w:rPr>
        <w:t xml:space="preserve">Table </w:t>
      </w:r>
      <w:r w:rsidR="00F3536E" w:rsidRPr="00F3536E">
        <w:rPr>
          <w:noProof/>
          <w:lang w:val="en-GB"/>
        </w:rPr>
        <w:t>3</w:t>
      </w:r>
      <w:r>
        <w:rPr>
          <w:lang w:val="en-GB"/>
        </w:rPr>
        <w:fldChar w:fldCharType="end"/>
      </w:r>
      <w:r>
        <w:rPr>
          <w:lang w:val="en-GB"/>
        </w:rPr>
        <w:t>. The IMO GHG emissions inventory is used as a basis for historical calibration.</w:t>
      </w:r>
    </w:p>
    <w:p w14:paraId="1CA535DE" w14:textId="77777777" w:rsidR="000D4DD1" w:rsidRDefault="000D4DD1" w:rsidP="009C048B">
      <w:pPr>
        <w:spacing w:line="360" w:lineRule="auto"/>
        <w:jc w:val="both"/>
        <w:rPr>
          <w:lang w:val="en-GB"/>
        </w:rPr>
      </w:pPr>
    </w:p>
    <w:p w14:paraId="50521C71" w14:textId="77777777" w:rsidR="000D4DD1" w:rsidRDefault="000D4DD1" w:rsidP="009C048B">
      <w:pPr>
        <w:spacing w:line="360" w:lineRule="auto"/>
        <w:jc w:val="both"/>
        <w:rPr>
          <w:lang w:val="en-GB"/>
        </w:rPr>
      </w:pPr>
    </w:p>
    <w:p w14:paraId="0790AFC2" w14:textId="1DF443A2" w:rsidR="009C048B" w:rsidRPr="00981863" w:rsidRDefault="009C048B" w:rsidP="009C048B">
      <w:pPr>
        <w:pStyle w:val="Legenda"/>
        <w:spacing w:line="360" w:lineRule="auto"/>
        <w:jc w:val="center"/>
        <w:rPr>
          <w:i w:val="0"/>
          <w:iCs w:val="0"/>
          <w:lang w:val="en-GB"/>
        </w:rPr>
      </w:pPr>
      <w:bookmarkStart w:id="2" w:name="_Ref132123708"/>
      <w:r w:rsidRPr="00981863">
        <w:rPr>
          <w:i w:val="0"/>
          <w:iCs w:val="0"/>
          <w:lang w:val="en-GB"/>
        </w:rPr>
        <w:t xml:space="preserve">Table </w:t>
      </w:r>
      <w:r w:rsidRPr="00981863">
        <w:rPr>
          <w:i w:val="0"/>
          <w:iCs w:val="0"/>
          <w:lang w:val="en-GB"/>
        </w:rPr>
        <w:fldChar w:fldCharType="begin"/>
      </w:r>
      <w:r w:rsidRPr="00981863">
        <w:rPr>
          <w:i w:val="0"/>
          <w:iCs w:val="0"/>
          <w:lang w:val="en-GB"/>
        </w:rPr>
        <w:instrText xml:space="preserve"> SEQ Table \* ARABIC </w:instrText>
      </w:r>
      <w:r w:rsidRPr="00981863">
        <w:rPr>
          <w:i w:val="0"/>
          <w:iCs w:val="0"/>
          <w:lang w:val="en-GB"/>
        </w:rPr>
        <w:fldChar w:fldCharType="separate"/>
      </w:r>
      <w:r w:rsidR="00F3536E">
        <w:rPr>
          <w:i w:val="0"/>
          <w:iCs w:val="0"/>
          <w:noProof/>
          <w:lang w:val="en-GB"/>
        </w:rPr>
        <w:t>3</w:t>
      </w:r>
      <w:r w:rsidRPr="00981863">
        <w:rPr>
          <w:i w:val="0"/>
          <w:iCs w:val="0"/>
          <w:lang w:val="en-GB"/>
        </w:rPr>
        <w:fldChar w:fldCharType="end"/>
      </w:r>
      <w:bookmarkEnd w:id="2"/>
      <w:r w:rsidRPr="00981863">
        <w:rPr>
          <w:i w:val="0"/>
          <w:iCs w:val="0"/>
          <w:lang w:val="en-GB"/>
        </w:rPr>
        <w:t xml:space="preserve"> – International shipping products represented in the COFFEE model</w:t>
      </w:r>
    </w:p>
    <w:tbl>
      <w:tblPr>
        <w:tblStyle w:val="Tabelacomgrade"/>
        <w:tblW w:w="6631" w:type="dxa"/>
        <w:jc w:val="center"/>
        <w:tblLayout w:type="fixed"/>
        <w:tblLook w:val="04A0" w:firstRow="1" w:lastRow="0" w:firstColumn="1" w:lastColumn="0" w:noHBand="0" w:noVBand="1"/>
      </w:tblPr>
      <w:tblGrid>
        <w:gridCol w:w="2428"/>
        <w:gridCol w:w="2238"/>
        <w:gridCol w:w="1965"/>
      </w:tblGrid>
      <w:tr w:rsidR="009C048B" w:rsidRPr="000D4DD1" w14:paraId="7F4F9AED" w14:textId="77777777" w:rsidTr="000D4DD1">
        <w:trPr>
          <w:trHeight w:val="284"/>
          <w:jc w:val="center"/>
        </w:trPr>
        <w:tc>
          <w:tcPr>
            <w:tcW w:w="2428" w:type="dxa"/>
            <w:vAlign w:val="center"/>
          </w:tcPr>
          <w:p w14:paraId="54B353EE" w14:textId="77777777" w:rsidR="009C048B" w:rsidRPr="000D4DD1" w:rsidRDefault="009C048B" w:rsidP="00CE66A3">
            <w:pPr>
              <w:spacing w:line="360" w:lineRule="auto"/>
              <w:rPr>
                <w:b/>
                <w:bCs/>
                <w:sz w:val="16"/>
                <w:szCs w:val="16"/>
                <w:lang w:val="en-GB"/>
              </w:rPr>
            </w:pPr>
            <w:r w:rsidRPr="000D4DD1">
              <w:rPr>
                <w:b/>
                <w:bCs/>
                <w:sz w:val="16"/>
                <w:szCs w:val="16"/>
                <w:lang w:val="en-GB"/>
              </w:rPr>
              <w:t>Product</w:t>
            </w:r>
          </w:p>
        </w:tc>
        <w:tc>
          <w:tcPr>
            <w:tcW w:w="2238" w:type="dxa"/>
            <w:vAlign w:val="center"/>
          </w:tcPr>
          <w:p w14:paraId="7EA7C2F9" w14:textId="77777777" w:rsidR="009C048B" w:rsidRPr="000D4DD1" w:rsidRDefault="009C048B" w:rsidP="00CE66A3">
            <w:pPr>
              <w:spacing w:line="360" w:lineRule="auto"/>
              <w:rPr>
                <w:b/>
                <w:bCs/>
                <w:sz w:val="16"/>
                <w:szCs w:val="16"/>
                <w:lang w:val="en-GB"/>
              </w:rPr>
            </w:pPr>
            <w:r w:rsidRPr="000D4DD1">
              <w:rPr>
                <w:b/>
                <w:bCs/>
                <w:sz w:val="16"/>
                <w:szCs w:val="16"/>
                <w:lang w:val="en-GB"/>
              </w:rPr>
              <w:t>Vessel type</w:t>
            </w:r>
          </w:p>
        </w:tc>
        <w:tc>
          <w:tcPr>
            <w:tcW w:w="1965" w:type="dxa"/>
            <w:vAlign w:val="center"/>
          </w:tcPr>
          <w:p w14:paraId="04EFD1C8" w14:textId="77777777" w:rsidR="009C048B" w:rsidRPr="000D4DD1" w:rsidRDefault="009C048B" w:rsidP="00CE66A3">
            <w:pPr>
              <w:spacing w:line="360" w:lineRule="auto"/>
              <w:rPr>
                <w:b/>
                <w:bCs/>
                <w:sz w:val="16"/>
                <w:szCs w:val="16"/>
                <w:lang w:val="en-GB"/>
              </w:rPr>
            </w:pPr>
            <w:r w:rsidRPr="000D4DD1">
              <w:rPr>
                <w:b/>
                <w:bCs/>
                <w:sz w:val="16"/>
                <w:szCs w:val="16"/>
                <w:lang w:val="en-GB"/>
              </w:rPr>
              <w:t>Demand type</w:t>
            </w:r>
          </w:p>
        </w:tc>
      </w:tr>
      <w:tr w:rsidR="009C048B" w:rsidRPr="000D4DD1" w14:paraId="77CE0617" w14:textId="77777777" w:rsidTr="000D4DD1">
        <w:trPr>
          <w:trHeight w:val="284"/>
          <w:jc w:val="center"/>
        </w:trPr>
        <w:tc>
          <w:tcPr>
            <w:tcW w:w="2428" w:type="dxa"/>
            <w:vAlign w:val="center"/>
          </w:tcPr>
          <w:p w14:paraId="2BF77BEC" w14:textId="77777777" w:rsidR="009C048B" w:rsidRPr="000D4DD1" w:rsidRDefault="009C048B" w:rsidP="00CE66A3">
            <w:pPr>
              <w:spacing w:line="360" w:lineRule="auto"/>
              <w:rPr>
                <w:sz w:val="16"/>
                <w:szCs w:val="16"/>
                <w:lang w:val="en-GB"/>
              </w:rPr>
            </w:pPr>
            <w:r w:rsidRPr="000D4DD1">
              <w:rPr>
                <w:sz w:val="16"/>
                <w:szCs w:val="16"/>
                <w:lang w:val="en-GB"/>
              </w:rPr>
              <w:t>Light crude oil</w:t>
            </w:r>
          </w:p>
        </w:tc>
        <w:tc>
          <w:tcPr>
            <w:tcW w:w="2238" w:type="dxa"/>
            <w:vAlign w:val="center"/>
          </w:tcPr>
          <w:p w14:paraId="5059D018" w14:textId="77777777" w:rsidR="009C048B" w:rsidRPr="000D4DD1" w:rsidRDefault="009C048B" w:rsidP="00CE66A3">
            <w:pPr>
              <w:spacing w:line="360" w:lineRule="auto"/>
              <w:rPr>
                <w:sz w:val="16"/>
                <w:szCs w:val="16"/>
                <w:lang w:val="en-GB"/>
              </w:rPr>
            </w:pPr>
            <w:r w:rsidRPr="000D4DD1">
              <w:rPr>
                <w:sz w:val="16"/>
                <w:szCs w:val="16"/>
                <w:lang w:val="en-GB"/>
              </w:rPr>
              <w:t>Tankers</w:t>
            </w:r>
          </w:p>
        </w:tc>
        <w:tc>
          <w:tcPr>
            <w:tcW w:w="1965" w:type="dxa"/>
            <w:vAlign w:val="center"/>
          </w:tcPr>
          <w:p w14:paraId="20910DE0" w14:textId="77777777" w:rsidR="009C048B" w:rsidRPr="000D4DD1" w:rsidRDefault="009C048B" w:rsidP="00CE66A3">
            <w:pPr>
              <w:spacing w:line="360" w:lineRule="auto"/>
              <w:rPr>
                <w:sz w:val="16"/>
                <w:szCs w:val="16"/>
                <w:lang w:val="en-GB"/>
              </w:rPr>
            </w:pPr>
            <w:r w:rsidRPr="000D4DD1">
              <w:rPr>
                <w:sz w:val="16"/>
                <w:szCs w:val="16"/>
                <w:lang w:val="en-GB"/>
              </w:rPr>
              <w:t>Endogenous</w:t>
            </w:r>
          </w:p>
        </w:tc>
      </w:tr>
      <w:tr w:rsidR="009C048B" w:rsidRPr="000D4DD1" w14:paraId="41FFCE44" w14:textId="77777777" w:rsidTr="000D4DD1">
        <w:trPr>
          <w:trHeight w:val="284"/>
          <w:jc w:val="center"/>
        </w:trPr>
        <w:tc>
          <w:tcPr>
            <w:tcW w:w="2428" w:type="dxa"/>
            <w:vAlign w:val="center"/>
          </w:tcPr>
          <w:p w14:paraId="35CC97A4" w14:textId="77777777" w:rsidR="009C048B" w:rsidRPr="000D4DD1" w:rsidRDefault="009C048B" w:rsidP="00CE66A3">
            <w:pPr>
              <w:spacing w:line="360" w:lineRule="auto"/>
              <w:rPr>
                <w:sz w:val="16"/>
                <w:szCs w:val="16"/>
                <w:lang w:val="en-GB"/>
              </w:rPr>
            </w:pPr>
            <w:r w:rsidRPr="000D4DD1">
              <w:rPr>
                <w:sz w:val="16"/>
                <w:szCs w:val="16"/>
                <w:lang w:val="en-GB"/>
              </w:rPr>
              <w:t>Medium sweet crude oil</w:t>
            </w:r>
          </w:p>
        </w:tc>
        <w:tc>
          <w:tcPr>
            <w:tcW w:w="2238" w:type="dxa"/>
            <w:vAlign w:val="center"/>
          </w:tcPr>
          <w:p w14:paraId="04E24F04" w14:textId="77777777" w:rsidR="009C048B" w:rsidRPr="000D4DD1" w:rsidRDefault="009C048B" w:rsidP="00CE66A3">
            <w:pPr>
              <w:spacing w:line="360" w:lineRule="auto"/>
              <w:rPr>
                <w:sz w:val="16"/>
                <w:szCs w:val="16"/>
                <w:lang w:val="en-GB"/>
              </w:rPr>
            </w:pPr>
            <w:r w:rsidRPr="000D4DD1">
              <w:rPr>
                <w:sz w:val="16"/>
                <w:szCs w:val="16"/>
                <w:lang w:val="en-GB"/>
              </w:rPr>
              <w:t>Tankers</w:t>
            </w:r>
          </w:p>
        </w:tc>
        <w:tc>
          <w:tcPr>
            <w:tcW w:w="1965" w:type="dxa"/>
            <w:vAlign w:val="center"/>
          </w:tcPr>
          <w:p w14:paraId="78FDF729" w14:textId="77777777" w:rsidR="009C048B" w:rsidRPr="000D4DD1" w:rsidRDefault="009C048B" w:rsidP="00CE66A3">
            <w:pPr>
              <w:spacing w:line="360" w:lineRule="auto"/>
              <w:rPr>
                <w:sz w:val="16"/>
                <w:szCs w:val="16"/>
                <w:lang w:val="en-GB"/>
              </w:rPr>
            </w:pPr>
            <w:r w:rsidRPr="000D4DD1">
              <w:rPr>
                <w:sz w:val="16"/>
                <w:szCs w:val="16"/>
                <w:lang w:val="en-GB"/>
              </w:rPr>
              <w:t>Endogenous</w:t>
            </w:r>
          </w:p>
        </w:tc>
      </w:tr>
      <w:tr w:rsidR="009C048B" w:rsidRPr="000D4DD1" w14:paraId="36C8687E" w14:textId="77777777" w:rsidTr="000D4DD1">
        <w:trPr>
          <w:trHeight w:val="284"/>
          <w:jc w:val="center"/>
        </w:trPr>
        <w:tc>
          <w:tcPr>
            <w:tcW w:w="2428" w:type="dxa"/>
            <w:vAlign w:val="center"/>
          </w:tcPr>
          <w:p w14:paraId="0D98CF9D" w14:textId="77777777" w:rsidR="009C048B" w:rsidRPr="000D4DD1" w:rsidRDefault="009C048B" w:rsidP="00CE66A3">
            <w:pPr>
              <w:spacing w:line="360" w:lineRule="auto"/>
              <w:rPr>
                <w:sz w:val="16"/>
                <w:szCs w:val="16"/>
                <w:lang w:val="en-GB"/>
              </w:rPr>
            </w:pPr>
            <w:r w:rsidRPr="000D4DD1">
              <w:rPr>
                <w:sz w:val="16"/>
                <w:szCs w:val="16"/>
                <w:lang w:val="en-GB"/>
              </w:rPr>
              <w:t>Medium sour crude oil</w:t>
            </w:r>
          </w:p>
        </w:tc>
        <w:tc>
          <w:tcPr>
            <w:tcW w:w="2238" w:type="dxa"/>
            <w:vAlign w:val="center"/>
          </w:tcPr>
          <w:p w14:paraId="3A616365" w14:textId="77777777" w:rsidR="009C048B" w:rsidRPr="000D4DD1" w:rsidRDefault="009C048B" w:rsidP="00CE66A3">
            <w:pPr>
              <w:spacing w:line="360" w:lineRule="auto"/>
              <w:rPr>
                <w:sz w:val="16"/>
                <w:szCs w:val="16"/>
                <w:lang w:val="en-GB"/>
              </w:rPr>
            </w:pPr>
            <w:r w:rsidRPr="000D4DD1">
              <w:rPr>
                <w:sz w:val="16"/>
                <w:szCs w:val="16"/>
                <w:lang w:val="en-GB"/>
              </w:rPr>
              <w:t>Tankers</w:t>
            </w:r>
          </w:p>
        </w:tc>
        <w:tc>
          <w:tcPr>
            <w:tcW w:w="1965" w:type="dxa"/>
            <w:vAlign w:val="center"/>
          </w:tcPr>
          <w:p w14:paraId="452EFDB8" w14:textId="77777777" w:rsidR="009C048B" w:rsidRPr="000D4DD1" w:rsidRDefault="009C048B" w:rsidP="00CE66A3">
            <w:pPr>
              <w:spacing w:line="360" w:lineRule="auto"/>
              <w:rPr>
                <w:sz w:val="16"/>
                <w:szCs w:val="16"/>
                <w:lang w:val="en-GB"/>
              </w:rPr>
            </w:pPr>
            <w:r w:rsidRPr="000D4DD1">
              <w:rPr>
                <w:sz w:val="16"/>
                <w:szCs w:val="16"/>
                <w:lang w:val="en-GB"/>
              </w:rPr>
              <w:t>Endogenous</w:t>
            </w:r>
          </w:p>
        </w:tc>
      </w:tr>
      <w:tr w:rsidR="009C048B" w:rsidRPr="000D4DD1" w14:paraId="696ED52F" w14:textId="77777777" w:rsidTr="000D4DD1">
        <w:trPr>
          <w:trHeight w:val="284"/>
          <w:jc w:val="center"/>
        </w:trPr>
        <w:tc>
          <w:tcPr>
            <w:tcW w:w="2428" w:type="dxa"/>
            <w:vAlign w:val="center"/>
          </w:tcPr>
          <w:p w14:paraId="415D6BC9" w14:textId="77777777" w:rsidR="009C048B" w:rsidRPr="000D4DD1" w:rsidRDefault="009C048B" w:rsidP="00CE66A3">
            <w:pPr>
              <w:spacing w:line="360" w:lineRule="auto"/>
              <w:rPr>
                <w:sz w:val="16"/>
                <w:szCs w:val="16"/>
                <w:lang w:val="en-GB"/>
              </w:rPr>
            </w:pPr>
            <w:r w:rsidRPr="000D4DD1">
              <w:rPr>
                <w:sz w:val="16"/>
                <w:szCs w:val="16"/>
                <w:lang w:val="en-GB"/>
              </w:rPr>
              <w:t>Heavy crude oil</w:t>
            </w:r>
          </w:p>
        </w:tc>
        <w:tc>
          <w:tcPr>
            <w:tcW w:w="2238" w:type="dxa"/>
            <w:vAlign w:val="center"/>
          </w:tcPr>
          <w:p w14:paraId="37FCD8D5" w14:textId="77777777" w:rsidR="009C048B" w:rsidRPr="000D4DD1" w:rsidRDefault="009C048B" w:rsidP="00CE66A3">
            <w:pPr>
              <w:spacing w:line="360" w:lineRule="auto"/>
              <w:rPr>
                <w:sz w:val="16"/>
                <w:szCs w:val="16"/>
                <w:lang w:val="en-GB"/>
              </w:rPr>
            </w:pPr>
            <w:r w:rsidRPr="000D4DD1">
              <w:rPr>
                <w:sz w:val="16"/>
                <w:szCs w:val="16"/>
                <w:lang w:val="en-GB"/>
              </w:rPr>
              <w:t>Tankers</w:t>
            </w:r>
          </w:p>
        </w:tc>
        <w:tc>
          <w:tcPr>
            <w:tcW w:w="1965" w:type="dxa"/>
            <w:vAlign w:val="center"/>
          </w:tcPr>
          <w:p w14:paraId="7A1742E9" w14:textId="77777777" w:rsidR="009C048B" w:rsidRPr="000D4DD1" w:rsidRDefault="009C048B" w:rsidP="00CE66A3">
            <w:pPr>
              <w:spacing w:line="360" w:lineRule="auto"/>
              <w:rPr>
                <w:sz w:val="16"/>
                <w:szCs w:val="16"/>
                <w:lang w:val="en-GB"/>
              </w:rPr>
            </w:pPr>
            <w:r w:rsidRPr="000D4DD1">
              <w:rPr>
                <w:sz w:val="16"/>
                <w:szCs w:val="16"/>
                <w:lang w:val="en-GB"/>
              </w:rPr>
              <w:t>Endogenous</w:t>
            </w:r>
          </w:p>
        </w:tc>
      </w:tr>
      <w:tr w:rsidR="009C048B" w:rsidRPr="000D4DD1" w14:paraId="4ED93F38" w14:textId="77777777" w:rsidTr="000D4DD1">
        <w:trPr>
          <w:trHeight w:val="284"/>
          <w:jc w:val="center"/>
        </w:trPr>
        <w:tc>
          <w:tcPr>
            <w:tcW w:w="2428" w:type="dxa"/>
            <w:vAlign w:val="center"/>
          </w:tcPr>
          <w:p w14:paraId="5BF565AE" w14:textId="77777777" w:rsidR="009C048B" w:rsidRPr="000D4DD1" w:rsidRDefault="009C048B" w:rsidP="00CE66A3">
            <w:pPr>
              <w:spacing w:line="360" w:lineRule="auto"/>
              <w:rPr>
                <w:sz w:val="16"/>
                <w:szCs w:val="16"/>
                <w:lang w:val="en-GB"/>
              </w:rPr>
            </w:pPr>
            <w:r w:rsidRPr="000D4DD1">
              <w:rPr>
                <w:sz w:val="16"/>
                <w:szCs w:val="16"/>
                <w:lang w:val="en-GB"/>
              </w:rPr>
              <w:t>Extra-heavy crude oil</w:t>
            </w:r>
          </w:p>
        </w:tc>
        <w:tc>
          <w:tcPr>
            <w:tcW w:w="2238" w:type="dxa"/>
            <w:vAlign w:val="center"/>
          </w:tcPr>
          <w:p w14:paraId="704ABCD8" w14:textId="77777777" w:rsidR="009C048B" w:rsidRPr="000D4DD1" w:rsidRDefault="009C048B" w:rsidP="00CE66A3">
            <w:pPr>
              <w:spacing w:line="360" w:lineRule="auto"/>
              <w:rPr>
                <w:sz w:val="16"/>
                <w:szCs w:val="16"/>
                <w:lang w:val="en-GB"/>
              </w:rPr>
            </w:pPr>
            <w:r w:rsidRPr="000D4DD1">
              <w:rPr>
                <w:sz w:val="16"/>
                <w:szCs w:val="16"/>
                <w:lang w:val="en-GB"/>
              </w:rPr>
              <w:t>Tankers</w:t>
            </w:r>
          </w:p>
        </w:tc>
        <w:tc>
          <w:tcPr>
            <w:tcW w:w="1965" w:type="dxa"/>
            <w:vAlign w:val="center"/>
          </w:tcPr>
          <w:p w14:paraId="7E3B953D" w14:textId="77777777" w:rsidR="009C048B" w:rsidRPr="000D4DD1" w:rsidRDefault="009C048B" w:rsidP="00CE66A3">
            <w:pPr>
              <w:spacing w:line="360" w:lineRule="auto"/>
              <w:rPr>
                <w:sz w:val="16"/>
                <w:szCs w:val="16"/>
                <w:lang w:val="en-GB"/>
              </w:rPr>
            </w:pPr>
            <w:r w:rsidRPr="000D4DD1">
              <w:rPr>
                <w:sz w:val="16"/>
                <w:szCs w:val="16"/>
                <w:lang w:val="en-GB"/>
              </w:rPr>
              <w:t>Endogenous</w:t>
            </w:r>
          </w:p>
        </w:tc>
      </w:tr>
      <w:tr w:rsidR="009C048B" w:rsidRPr="000D4DD1" w14:paraId="6085AE91" w14:textId="77777777" w:rsidTr="000D4DD1">
        <w:trPr>
          <w:trHeight w:val="284"/>
          <w:jc w:val="center"/>
        </w:trPr>
        <w:tc>
          <w:tcPr>
            <w:tcW w:w="2428" w:type="dxa"/>
            <w:vAlign w:val="center"/>
          </w:tcPr>
          <w:p w14:paraId="7F5B1D22" w14:textId="77777777" w:rsidR="009C048B" w:rsidRPr="000D4DD1" w:rsidRDefault="009C048B" w:rsidP="00CE66A3">
            <w:pPr>
              <w:spacing w:line="360" w:lineRule="auto"/>
              <w:rPr>
                <w:sz w:val="16"/>
                <w:szCs w:val="16"/>
                <w:lang w:val="en-GB"/>
              </w:rPr>
            </w:pPr>
            <w:r w:rsidRPr="000D4DD1">
              <w:rPr>
                <w:sz w:val="16"/>
                <w:szCs w:val="16"/>
                <w:lang w:val="en-GB"/>
              </w:rPr>
              <w:t xml:space="preserve">Fossil naphtha </w:t>
            </w:r>
          </w:p>
        </w:tc>
        <w:tc>
          <w:tcPr>
            <w:tcW w:w="2238" w:type="dxa"/>
            <w:vAlign w:val="center"/>
          </w:tcPr>
          <w:p w14:paraId="6579A0BA" w14:textId="77777777" w:rsidR="009C048B" w:rsidRPr="000D4DD1" w:rsidRDefault="009C048B" w:rsidP="00CE66A3">
            <w:pPr>
              <w:spacing w:line="360" w:lineRule="auto"/>
              <w:rPr>
                <w:sz w:val="16"/>
                <w:szCs w:val="16"/>
                <w:lang w:val="en-GB"/>
              </w:rPr>
            </w:pPr>
            <w:r w:rsidRPr="000D4DD1">
              <w:rPr>
                <w:sz w:val="16"/>
                <w:szCs w:val="16"/>
                <w:lang w:val="en-GB"/>
              </w:rPr>
              <w:t>Tankers</w:t>
            </w:r>
          </w:p>
        </w:tc>
        <w:tc>
          <w:tcPr>
            <w:tcW w:w="1965" w:type="dxa"/>
            <w:vAlign w:val="center"/>
          </w:tcPr>
          <w:p w14:paraId="0617F7AF" w14:textId="77777777" w:rsidR="009C048B" w:rsidRPr="000D4DD1" w:rsidRDefault="009C048B" w:rsidP="00CE66A3">
            <w:pPr>
              <w:spacing w:line="360" w:lineRule="auto"/>
              <w:rPr>
                <w:sz w:val="16"/>
                <w:szCs w:val="16"/>
                <w:lang w:val="en-GB"/>
              </w:rPr>
            </w:pPr>
            <w:r w:rsidRPr="000D4DD1">
              <w:rPr>
                <w:sz w:val="16"/>
                <w:szCs w:val="16"/>
                <w:lang w:val="en-GB"/>
              </w:rPr>
              <w:t>Endogenous</w:t>
            </w:r>
          </w:p>
        </w:tc>
      </w:tr>
      <w:tr w:rsidR="009C048B" w:rsidRPr="000D4DD1" w14:paraId="34D8ED6A" w14:textId="77777777" w:rsidTr="000D4DD1">
        <w:trPr>
          <w:trHeight w:val="284"/>
          <w:jc w:val="center"/>
        </w:trPr>
        <w:tc>
          <w:tcPr>
            <w:tcW w:w="2428" w:type="dxa"/>
            <w:vAlign w:val="center"/>
          </w:tcPr>
          <w:p w14:paraId="0386E126" w14:textId="77777777" w:rsidR="009C048B" w:rsidRPr="000D4DD1" w:rsidRDefault="009C048B" w:rsidP="00CE66A3">
            <w:pPr>
              <w:spacing w:line="360" w:lineRule="auto"/>
              <w:rPr>
                <w:sz w:val="16"/>
                <w:szCs w:val="16"/>
                <w:lang w:val="en-GB"/>
              </w:rPr>
            </w:pPr>
            <w:r w:rsidRPr="000D4DD1">
              <w:rPr>
                <w:sz w:val="16"/>
                <w:szCs w:val="16"/>
                <w:lang w:val="en-GB"/>
              </w:rPr>
              <w:t>Green naphtha</w:t>
            </w:r>
          </w:p>
        </w:tc>
        <w:tc>
          <w:tcPr>
            <w:tcW w:w="2238" w:type="dxa"/>
            <w:vAlign w:val="center"/>
          </w:tcPr>
          <w:p w14:paraId="68781491" w14:textId="77777777" w:rsidR="009C048B" w:rsidRPr="000D4DD1" w:rsidRDefault="009C048B" w:rsidP="00CE66A3">
            <w:pPr>
              <w:spacing w:line="360" w:lineRule="auto"/>
              <w:rPr>
                <w:sz w:val="16"/>
                <w:szCs w:val="16"/>
                <w:lang w:val="en-GB"/>
              </w:rPr>
            </w:pPr>
            <w:r w:rsidRPr="000D4DD1">
              <w:rPr>
                <w:sz w:val="16"/>
                <w:szCs w:val="16"/>
                <w:lang w:val="en-GB"/>
              </w:rPr>
              <w:t>Tankers</w:t>
            </w:r>
          </w:p>
        </w:tc>
        <w:tc>
          <w:tcPr>
            <w:tcW w:w="1965" w:type="dxa"/>
            <w:vAlign w:val="center"/>
          </w:tcPr>
          <w:p w14:paraId="61B9ED7E" w14:textId="77777777" w:rsidR="009C048B" w:rsidRPr="000D4DD1" w:rsidRDefault="009C048B" w:rsidP="00CE66A3">
            <w:pPr>
              <w:spacing w:line="360" w:lineRule="auto"/>
              <w:rPr>
                <w:sz w:val="16"/>
                <w:szCs w:val="16"/>
                <w:lang w:val="en-GB"/>
              </w:rPr>
            </w:pPr>
            <w:r w:rsidRPr="000D4DD1">
              <w:rPr>
                <w:sz w:val="16"/>
                <w:szCs w:val="16"/>
                <w:lang w:val="en-GB"/>
              </w:rPr>
              <w:t>Endogenous</w:t>
            </w:r>
          </w:p>
        </w:tc>
      </w:tr>
      <w:tr w:rsidR="009C048B" w:rsidRPr="000D4DD1" w14:paraId="2EFB9084" w14:textId="77777777" w:rsidTr="000D4DD1">
        <w:trPr>
          <w:trHeight w:val="284"/>
          <w:jc w:val="center"/>
        </w:trPr>
        <w:tc>
          <w:tcPr>
            <w:tcW w:w="2428" w:type="dxa"/>
            <w:vAlign w:val="center"/>
          </w:tcPr>
          <w:p w14:paraId="0118D1E8" w14:textId="77777777" w:rsidR="009C048B" w:rsidRPr="000D4DD1" w:rsidRDefault="009C048B" w:rsidP="00CE66A3">
            <w:pPr>
              <w:spacing w:line="360" w:lineRule="auto"/>
              <w:rPr>
                <w:sz w:val="16"/>
                <w:szCs w:val="16"/>
                <w:lang w:val="en-GB"/>
              </w:rPr>
            </w:pPr>
            <w:r w:rsidRPr="000D4DD1">
              <w:rPr>
                <w:sz w:val="16"/>
                <w:szCs w:val="16"/>
                <w:lang w:val="en-GB"/>
              </w:rPr>
              <w:t>Fossil kerosene</w:t>
            </w:r>
          </w:p>
        </w:tc>
        <w:tc>
          <w:tcPr>
            <w:tcW w:w="2238" w:type="dxa"/>
            <w:vAlign w:val="center"/>
          </w:tcPr>
          <w:p w14:paraId="30394EF4" w14:textId="77777777" w:rsidR="009C048B" w:rsidRPr="000D4DD1" w:rsidRDefault="009C048B" w:rsidP="00CE66A3">
            <w:pPr>
              <w:spacing w:line="360" w:lineRule="auto"/>
              <w:rPr>
                <w:sz w:val="16"/>
                <w:szCs w:val="16"/>
                <w:lang w:val="en-GB"/>
              </w:rPr>
            </w:pPr>
            <w:r w:rsidRPr="000D4DD1">
              <w:rPr>
                <w:sz w:val="16"/>
                <w:szCs w:val="16"/>
                <w:lang w:val="en-GB"/>
              </w:rPr>
              <w:t>Tankers</w:t>
            </w:r>
          </w:p>
        </w:tc>
        <w:tc>
          <w:tcPr>
            <w:tcW w:w="1965" w:type="dxa"/>
            <w:vAlign w:val="center"/>
          </w:tcPr>
          <w:p w14:paraId="2196BDC9" w14:textId="77777777" w:rsidR="009C048B" w:rsidRPr="000D4DD1" w:rsidRDefault="009C048B" w:rsidP="00CE66A3">
            <w:pPr>
              <w:spacing w:line="360" w:lineRule="auto"/>
              <w:rPr>
                <w:sz w:val="16"/>
                <w:szCs w:val="16"/>
                <w:lang w:val="en-GB"/>
              </w:rPr>
            </w:pPr>
            <w:r w:rsidRPr="000D4DD1">
              <w:rPr>
                <w:sz w:val="16"/>
                <w:szCs w:val="16"/>
                <w:lang w:val="en-GB"/>
              </w:rPr>
              <w:t xml:space="preserve">Endogenous </w:t>
            </w:r>
          </w:p>
        </w:tc>
      </w:tr>
      <w:tr w:rsidR="009C048B" w:rsidRPr="000D4DD1" w14:paraId="04F0356D" w14:textId="77777777" w:rsidTr="000D4DD1">
        <w:trPr>
          <w:trHeight w:val="284"/>
          <w:jc w:val="center"/>
        </w:trPr>
        <w:tc>
          <w:tcPr>
            <w:tcW w:w="2428" w:type="dxa"/>
            <w:vAlign w:val="center"/>
          </w:tcPr>
          <w:p w14:paraId="03E3D489" w14:textId="77777777" w:rsidR="009C048B" w:rsidRPr="000D4DD1" w:rsidRDefault="009C048B" w:rsidP="00CE66A3">
            <w:pPr>
              <w:spacing w:line="360" w:lineRule="auto"/>
              <w:rPr>
                <w:sz w:val="16"/>
                <w:szCs w:val="16"/>
                <w:lang w:val="en-GB"/>
              </w:rPr>
            </w:pPr>
            <w:r w:rsidRPr="000D4DD1">
              <w:rPr>
                <w:sz w:val="16"/>
                <w:szCs w:val="16"/>
                <w:lang w:val="en-GB"/>
              </w:rPr>
              <w:t>Green kerosene</w:t>
            </w:r>
          </w:p>
        </w:tc>
        <w:tc>
          <w:tcPr>
            <w:tcW w:w="2238" w:type="dxa"/>
            <w:vAlign w:val="center"/>
          </w:tcPr>
          <w:p w14:paraId="565D4CEB" w14:textId="77777777" w:rsidR="009C048B" w:rsidRPr="000D4DD1" w:rsidRDefault="009C048B" w:rsidP="00CE66A3">
            <w:pPr>
              <w:spacing w:line="360" w:lineRule="auto"/>
              <w:rPr>
                <w:sz w:val="16"/>
                <w:szCs w:val="16"/>
                <w:lang w:val="en-GB"/>
              </w:rPr>
            </w:pPr>
            <w:r w:rsidRPr="000D4DD1">
              <w:rPr>
                <w:sz w:val="16"/>
                <w:szCs w:val="16"/>
                <w:lang w:val="en-GB"/>
              </w:rPr>
              <w:t>Tankers</w:t>
            </w:r>
          </w:p>
        </w:tc>
        <w:tc>
          <w:tcPr>
            <w:tcW w:w="1965" w:type="dxa"/>
            <w:vAlign w:val="center"/>
          </w:tcPr>
          <w:p w14:paraId="545CBDF5" w14:textId="77777777" w:rsidR="009C048B" w:rsidRPr="000D4DD1" w:rsidRDefault="009C048B" w:rsidP="00CE66A3">
            <w:pPr>
              <w:spacing w:line="360" w:lineRule="auto"/>
              <w:rPr>
                <w:sz w:val="16"/>
                <w:szCs w:val="16"/>
                <w:lang w:val="en-GB"/>
              </w:rPr>
            </w:pPr>
            <w:r w:rsidRPr="000D4DD1">
              <w:rPr>
                <w:sz w:val="16"/>
                <w:szCs w:val="16"/>
                <w:lang w:val="en-GB"/>
              </w:rPr>
              <w:t xml:space="preserve">Endogenous </w:t>
            </w:r>
          </w:p>
        </w:tc>
      </w:tr>
      <w:tr w:rsidR="009C048B" w:rsidRPr="000D4DD1" w14:paraId="2FA7CD46" w14:textId="77777777" w:rsidTr="000D4DD1">
        <w:trPr>
          <w:trHeight w:val="284"/>
          <w:jc w:val="center"/>
        </w:trPr>
        <w:tc>
          <w:tcPr>
            <w:tcW w:w="2428" w:type="dxa"/>
            <w:vAlign w:val="center"/>
          </w:tcPr>
          <w:p w14:paraId="0E3E4CC6" w14:textId="77777777" w:rsidR="009C048B" w:rsidRPr="000D4DD1" w:rsidRDefault="009C048B" w:rsidP="00CE66A3">
            <w:pPr>
              <w:spacing w:line="360" w:lineRule="auto"/>
              <w:rPr>
                <w:sz w:val="16"/>
                <w:szCs w:val="16"/>
                <w:lang w:val="en-GB"/>
              </w:rPr>
            </w:pPr>
            <w:r w:rsidRPr="000D4DD1">
              <w:rPr>
                <w:sz w:val="16"/>
                <w:szCs w:val="16"/>
                <w:lang w:val="en-GB"/>
              </w:rPr>
              <w:t>Fossil diesel</w:t>
            </w:r>
          </w:p>
        </w:tc>
        <w:tc>
          <w:tcPr>
            <w:tcW w:w="2238" w:type="dxa"/>
            <w:vAlign w:val="center"/>
          </w:tcPr>
          <w:p w14:paraId="071407EC" w14:textId="77777777" w:rsidR="009C048B" w:rsidRPr="000D4DD1" w:rsidRDefault="009C048B" w:rsidP="00CE66A3">
            <w:pPr>
              <w:spacing w:line="360" w:lineRule="auto"/>
              <w:rPr>
                <w:sz w:val="16"/>
                <w:szCs w:val="16"/>
                <w:lang w:val="en-GB"/>
              </w:rPr>
            </w:pPr>
            <w:r w:rsidRPr="000D4DD1">
              <w:rPr>
                <w:sz w:val="16"/>
                <w:szCs w:val="16"/>
                <w:lang w:val="en-GB"/>
              </w:rPr>
              <w:t>Tankers</w:t>
            </w:r>
          </w:p>
        </w:tc>
        <w:tc>
          <w:tcPr>
            <w:tcW w:w="1965" w:type="dxa"/>
            <w:vAlign w:val="center"/>
          </w:tcPr>
          <w:p w14:paraId="2680A0DC" w14:textId="77777777" w:rsidR="009C048B" w:rsidRPr="000D4DD1" w:rsidRDefault="009C048B" w:rsidP="00CE66A3">
            <w:pPr>
              <w:spacing w:line="360" w:lineRule="auto"/>
              <w:rPr>
                <w:sz w:val="16"/>
                <w:szCs w:val="16"/>
                <w:lang w:val="en-GB"/>
              </w:rPr>
            </w:pPr>
            <w:r w:rsidRPr="000D4DD1">
              <w:rPr>
                <w:sz w:val="16"/>
                <w:szCs w:val="16"/>
                <w:lang w:val="en-GB"/>
              </w:rPr>
              <w:t>Endogenous</w:t>
            </w:r>
          </w:p>
        </w:tc>
      </w:tr>
      <w:tr w:rsidR="009C048B" w:rsidRPr="000D4DD1" w14:paraId="609C6F32" w14:textId="77777777" w:rsidTr="000D4DD1">
        <w:trPr>
          <w:trHeight w:val="284"/>
          <w:jc w:val="center"/>
        </w:trPr>
        <w:tc>
          <w:tcPr>
            <w:tcW w:w="2428" w:type="dxa"/>
            <w:vAlign w:val="center"/>
          </w:tcPr>
          <w:p w14:paraId="537AB67E" w14:textId="77777777" w:rsidR="009C048B" w:rsidRPr="000D4DD1" w:rsidRDefault="009C048B" w:rsidP="00CE66A3">
            <w:pPr>
              <w:spacing w:line="360" w:lineRule="auto"/>
              <w:rPr>
                <w:sz w:val="16"/>
                <w:szCs w:val="16"/>
                <w:lang w:val="en-GB"/>
              </w:rPr>
            </w:pPr>
            <w:r w:rsidRPr="000D4DD1">
              <w:rPr>
                <w:sz w:val="16"/>
                <w:szCs w:val="16"/>
                <w:lang w:val="en-GB"/>
              </w:rPr>
              <w:t>Green diesel</w:t>
            </w:r>
          </w:p>
        </w:tc>
        <w:tc>
          <w:tcPr>
            <w:tcW w:w="2238" w:type="dxa"/>
            <w:vAlign w:val="center"/>
          </w:tcPr>
          <w:p w14:paraId="25B7E53A" w14:textId="77777777" w:rsidR="009C048B" w:rsidRPr="000D4DD1" w:rsidRDefault="009C048B" w:rsidP="00CE66A3">
            <w:pPr>
              <w:spacing w:line="360" w:lineRule="auto"/>
              <w:rPr>
                <w:sz w:val="16"/>
                <w:szCs w:val="16"/>
                <w:lang w:val="en-GB"/>
              </w:rPr>
            </w:pPr>
            <w:r w:rsidRPr="000D4DD1">
              <w:rPr>
                <w:sz w:val="16"/>
                <w:szCs w:val="16"/>
                <w:lang w:val="en-GB"/>
              </w:rPr>
              <w:t>Tankers</w:t>
            </w:r>
          </w:p>
        </w:tc>
        <w:tc>
          <w:tcPr>
            <w:tcW w:w="1965" w:type="dxa"/>
            <w:vAlign w:val="center"/>
          </w:tcPr>
          <w:p w14:paraId="1AE1B9AA" w14:textId="77777777" w:rsidR="009C048B" w:rsidRPr="000D4DD1" w:rsidRDefault="009C048B" w:rsidP="00CE66A3">
            <w:pPr>
              <w:spacing w:line="360" w:lineRule="auto"/>
              <w:rPr>
                <w:sz w:val="16"/>
                <w:szCs w:val="16"/>
                <w:lang w:val="en-GB"/>
              </w:rPr>
            </w:pPr>
            <w:r w:rsidRPr="000D4DD1">
              <w:rPr>
                <w:sz w:val="16"/>
                <w:szCs w:val="16"/>
                <w:lang w:val="en-GB"/>
              </w:rPr>
              <w:t>Endogenous</w:t>
            </w:r>
          </w:p>
        </w:tc>
      </w:tr>
      <w:tr w:rsidR="009C048B" w:rsidRPr="000D4DD1" w14:paraId="6BBDF042" w14:textId="77777777" w:rsidTr="000D4DD1">
        <w:trPr>
          <w:trHeight w:val="284"/>
          <w:jc w:val="center"/>
        </w:trPr>
        <w:tc>
          <w:tcPr>
            <w:tcW w:w="2428" w:type="dxa"/>
            <w:vAlign w:val="center"/>
          </w:tcPr>
          <w:p w14:paraId="6C62B318" w14:textId="77777777" w:rsidR="009C048B" w:rsidRPr="000D4DD1" w:rsidRDefault="009C048B" w:rsidP="00CE66A3">
            <w:pPr>
              <w:spacing w:line="360" w:lineRule="auto"/>
              <w:rPr>
                <w:sz w:val="16"/>
                <w:szCs w:val="16"/>
                <w:lang w:val="en-GB"/>
              </w:rPr>
            </w:pPr>
            <w:r w:rsidRPr="000D4DD1">
              <w:rPr>
                <w:sz w:val="16"/>
                <w:szCs w:val="16"/>
                <w:lang w:val="en-GB"/>
              </w:rPr>
              <w:t>Fossil fuel oil</w:t>
            </w:r>
          </w:p>
        </w:tc>
        <w:tc>
          <w:tcPr>
            <w:tcW w:w="2238" w:type="dxa"/>
            <w:vAlign w:val="center"/>
          </w:tcPr>
          <w:p w14:paraId="217D8912" w14:textId="77777777" w:rsidR="009C048B" w:rsidRPr="000D4DD1" w:rsidRDefault="009C048B" w:rsidP="00CE66A3">
            <w:pPr>
              <w:spacing w:line="360" w:lineRule="auto"/>
              <w:rPr>
                <w:sz w:val="16"/>
                <w:szCs w:val="16"/>
                <w:lang w:val="en-GB"/>
              </w:rPr>
            </w:pPr>
            <w:r w:rsidRPr="000D4DD1">
              <w:rPr>
                <w:sz w:val="16"/>
                <w:szCs w:val="16"/>
                <w:lang w:val="en-GB"/>
              </w:rPr>
              <w:t>Tankers</w:t>
            </w:r>
          </w:p>
        </w:tc>
        <w:tc>
          <w:tcPr>
            <w:tcW w:w="1965" w:type="dxa"/>
            <w:vAlign w:val="center"/>
          </w:tcPr>
          <w:p w14:paraId="68003A00" w14:textId="77777777" w:rsidR="009C048B" w:rsidRPr="000D4DD1" w:rsidRDefault="009C048B" w:rsidP="00CE66A3">
            <w:pPr>
              <w:spacing w:line="360" w:lineRule="auto"/>
              <w:rPr>
                <w:sz w:val="16"/>
                <w:szCs w:val="16"/>
                <w:lang w:val="en-GB"/>
              </w:rPr>
            </w:pPr>
            <w:r w:rsidRPr="000D4DD1">
              <w:rPr>
                <w:sz w:val="16"/>
                <w:szCs w:val="16"/>
                <w:lang w:val="en-GB"/>
              </w:rPr>
              <w:t>Endogenous</w:t>
            </w:r>
          </w:p>
        </w:tc>
      </w:tr>
      <w:tr w:rsidR="009C048B" w:rsidRPr="000D4DD1" w14:paraId="040046C3" w14:textId="77777777" w:rsidTr="000D4DD1">
        <w:trPr>
          <w:trHeight w:val="284"/>
          <w:jc w:val="center"/>
        </w:trPr>
        <w:tc>
          <w:tcPr>
            <w:tcW w:w="2428" w:type="dxa"/>
            <w:vAlign w:val="center"/>
          </w:tcPr>
          <w:p w14:paraId="70B70125" w14:textId="77777777" w:rsidR="009C048B" w:rsidRPr="000D4DD1" w:rsidRDefault="009C048B" w:rsidP="00CE66A3">
            <w:pPr>
              <w:spacing w:line="360" w:lineRule="auto"/>
              <w:rPr>
                <w:sz w:val="16"/>
                <w:szCs w:val="16"/>
                <w:lang w:val="en-GB"/>
              </w:rPr>
            </w:pPr>
            <w:r w:rsidRPr="000D4DD1">
              <w:rPr>
                <w:sz w:val="16"/>
                <w:szCs w:val="16"/>
                <w:lang w:val="en-GB"/>
              </w:rPr>
              <w:t>Green fuel oil</w:t>
            </w:r>
          </w:p>
        </w:tc>
        <w:tc>
          <w:tcPr>
            <w:tcW w:w="2238" w:type="dxa"/>
            <w:vAlign w:val="center"/>
          </w:tcPr>
          <w:p w14:paraId="37B3DB4F" w14:textId="77777777" w:rsidR="009C048B" w:rsidRPr="000D4DD1" w:rsidRDefault="009C048B" w:rsidP="00CE66A3">
            <w:pPr>
              <w:spacing w:line="360" w:lineRule="auto"/>
              <w:rPr>
                <w:sz w:val="16"/>
                <w:szCs w:val="16"/>
                <w:lang w:val="en-GB"/>
              </w:rPr>
            </w:pPr>
            <w:r w:rsidRPr="000D4DD1">
              <w:rPr>
                <w:sz w:val="16"/>
                <w:szCs w:val="16"/>
                <w:lang w:val="en-GB"/>
              </w:rPr>
              <w:t>Tankers</w:t>
            </w:r>
          </w:p>
        </w:tc>
        <w:tc>
          <w:tcPr>
            <w:tcW w:w="1965" w:type="dxa"/>
            <w:vAlign w:val="center"/>
          </w:tcPr>
          <w:p w14:paraId="09F12AB6" w14:textId="77777777" w:rsidR="009C048B" w:rsidRPr="000D4DD1" w:rsidRDefault="009C048B" w:rsidP="00CE66A3">
            <w:pPr>
              <w:spacing w:line="360" w:lineRule="auto"/>
              <w:rPr>
                <w:sz w:val="16"/>
                <w:szCs w:val="16"/>
                <w:lang w:val="en-GB"/>
              </w:rPr>
            </w:pPr>
            <w:r w:rsidRPr="000D4DD1">
              <w:rPr>
                <w:sz w:val="16"/>
                <w:szCs w:val="16"/>
                <w:lang w:val="en-GB"/>
              </w:rPr>
              <w:t>Endogenous</w:t>
            </w:r>
          </w:p>
        </w:tc>
      </w:tr>
      <w:tr w:rsidR="009C048B" w:rsidRPr="000D4DD1" w14:paraId="571C77C5" w14:textId="77777777" w:rsidTr="000D4DD1">
        <w:trPr>
          <w:trHeight w:val="284"/>
          <w:jc w:val="center"/>
        </w:trPr>
        <w:tc>
          <w:tcPr>
            <w:tcW w:w="2428" w:type="dxa"/>
            <w:vAlign w:val="center"/>
          </w:tcPr>
          <w:p w14:paraId="19A754A0" w14:textId="77777777" w:rsidR="009C048B" w:rsidRPr="000D4DD1" w:rsidRDefault="009C048B" w:rsidP="00CE66A3">
            <w:pPr>
              <w:spacing w:line="360" w:lineRule="auto"/>
              <w:rPr>
                <w:sz w:val="16"/>
                <w:szCs w:val="16"/>
                <w:lang w:val="en-GB"/>
              </w:rPr>
            </w:pPr>
            <w:r w:rsidRPr="000D4DD1">
              <w:rPr>
                <w:sz w:val="16"/>
                <w:szCs w:val="16"/>
                <w:lang w:val="en-GB"/>
              </w:rPr>
              <w:t>Fossil natural gas</w:t>
            </w:r>
          </w:p>
        </w:tc>
        <w:tc>
          <w:tcPr>
            <w:tcW w:w="2238" w:type="dxa"/>
            <w:vAlign w:val="center"/>
          </w:tcPr>
          <w:p w14:paraId="436630ED" w14:textId="77777777" w:rsidR="009C048B" w:rsidRPr="000D4DD1" w:rsidRDefault="009C048B" w:rsidP="00CE66A3">
            <w:pPr>
              <w:spacing w:line="360" w:lineRule="auto"/>
              <w:rPr>
                <w:sz w:val="16"/>
                <w:szCs w:val="16"/>
                <w:lang w:val="en-GB"/>
              </w:rPr>
            </w:pPr>
            <w:r w:rsidRPr="000D4DD1">
              <w:rPr>
                <w:sz w:val="16"/>
                <w:szCs w:val="16"/>
                <w:lang w:val="en-GB"/>
              </w:rPr>
              <w:t>Gas carriers</w:t>
            </w:r>
          </w:p>
        </w:tc>
        <w:tc>
          <w:tcPr>
            <w:tcW w:w="1965" w:type="dxa"/>
            <w:vAlign w:val="center"/>
          </w:tcPr>
          <w:p w14:paraId="426FD3C8" w14:textId="77777777" w:rsidR="009C048B" w:rsidRPr="000D4DD1" w:rsidRDefault="009C048B" w:rsidP="00CE66A3">
            <w:pPr>
              <w:spacing w:line="360" w:lineRule="auto"/>
              <w:rPr>
                <w:sz w:val="16"/>
                <w:szCs w:val="16"/>
                <w:lang w:val="en-GB"/>
              </w:rPr>
            </w:pPr>
            <w:r w:rsidRPr="000D4DD1">
              <w:rPr>
                <w:sz w:val="16"/>
                <w:szCs w:val="16"/>
                <w:lang w:val="en-GB"/>
              </w:rPr>
              <w:t xml:space="preserve">Endogenous </w:t>
            </w:r>
          </w:p>
        </w:tc>
      </w:tr>
      <w:tr w:rsidR="009C048B" w:rsidRPr="000D4DD1" w14:paraId="7267FEB5" w14:textId="77777777" w:rsidTr="000D4DD1">
        <w:trPr>
          <w:trHeight w:val="284"/>
          <w:jc w:val="center"/>
        </w:trPr>
        <w:tc>
          <w:tcPr>
            <w:tcW w:w="2428" w:type="dxa"/>
            <w:vAlign w:val="center"/>
          </w:tcPr>
          <w:p w14:paraId="7A2BB1C8" w14:textId="77777777" w:rsidR="009C048B" w:rsidRPr="000D4DD1" w:rsidRDefault="009C048B" w:rsidP="00CE66A3">
            <w:pPr>
              <w:spacing w:line="360" w:lineRule="auto"/>
              <w:rPr>
                <w:sz w:val="16"/>
                <w:szCs w:val="16"/>
                <w:lang w:val="en-GB"/>
              </w:rPr>
            </w:pPr>
            <w:r w:rsidRPr="000D4DD1">
              <w:rPr>
                <w:sz w:val="16"/>
                <w:szCs w:val="16"/>
                <w:lang w:val="en-GB"/>
              </w:rPr>
              <w:t>Green natural gas</w:t>
            </w:r>
          </w:p>
        </w:tc>
        <w:tc>
          <w:tcPr>
            <w:tcW w:w="2238" w:type="dxa"/>
            <w:vAlign w:val="center"/>
          </w:tcPr>
          <w:p w14:paraId="7950311A" w14:textId="77777777" w:rsidR="009C048B" w:rsidRPr="000D4DD1" w:rsidRDefault="009C048B" w:rsidP="00CE66A3">
            <w:pPr>
              <w:spacing w:line="360" w:lineRule="auto"/>
              <w:rPr>
                <w:sz w:val="16"/>
                <w:szCs w:val="16"/>
                <w:lang w:val="en-GB"/>
              </w:rPr>
            </w:pPr>
            <w:r w:rsidRPr="000D4DD1">
              <w:rPr>
                <w:sz w:val="16"/>
                <w:szCs w:val="16"/>
                <w:lang w:val="en-GB"/>
              </w:rPr>
              <w:t>Gas carriers</w:t>
            </w:r>
          </w:p>
        </w:tc>
        <w:tc>
          <w:tcPr>
            <w:tcW w:w="1965" w:type="dxa"/>
            <w:vAlign w:val="center"/>
          </w:tcPr>
          <w:p w14:paraId="14789E92" w14:textId="77777777" w:rsidR="009C048B" w:rsidRPr="000D4DD1" w:rsidRDefault="009C048B" w:rsidP="00CE66A3">
            <w:pPr>
              <w:spacing w:line="360" w:lineRule="auto"/>
              <w:rPr>
                <w:sz w:val="16"/>
                <w:szCs w:val="16"/>
                <w:lang w:val="en-GB"/>
              </w:rPr>
            </w:pPr>
            <w:r w:rsidRPr="000D4DD1">
              <w:rPr>
                <w:sz w:val="16"/>
                <w:szCs w:val="16"/>
                <w:lang w:val="en-GB"/>
              </w:rPr>
              <w:t>Endogenous</w:t>
            </w:r>
          </w:p>
        </w:tc>
      </w:tr>
      <w:tr w:rsidR="009C048B" w:rsidRPr="000D4DD1" w14:paraId="1F3EE0E9" w14:textId="77777777" w:rsidTr="000D4DD1">
        <w:trPr>
          <w:trHeight w:val="284"/>
          <w:jc w:val="center"/>
        </w:trPr>
        <w:tc>
          <w:tcPr>
            <w:tcW w:w="2428" w:type="dxa"/>
            <w:vAlign w:val="center"/>
          </w:tcPr>
          <w:p w14:paraId="1AA36463" w14:textId="77777777" w:rsidR="009C048B" w:rsidRPr="000D4DD1" w:rsidRDefault="009C048B" w:rsidP="00CE66A3">
            <w:pPr>
              <w:spacing w:line="360" w:lineRule="auto"/>
              <w:rPr>
                <w:sz w:val="16"/>
                <w:szCs w:val="16"/>
                <w:lang w:val="en-GB"/>
              </w:rPr>
            </w:pPr>
            <w:r w:rsidRPr="000D4DD1">
              <w:rPr>
                <w:sz w:val="16"/>
                <w:szCs w:val="16"/>
                <w:lang w:val="en-GB"/>
              </w:rPr>
              <w:t>Bituminous coal</w:t>
            </w:r>
          </w:p>
        </w:tc>
        <w:tc>
          <w:tcPr>
            <w:tcW w:w="2238" w:type="dxa"/>
            <w:vAlign w:val="center"/>
          </w:tcPr>
          <w:p w14:paraId="094EDC8C" w14:textId="77777777" w:rsidR="009C048B" w:rsidRPr="000D4DD1" w:rsidRDefault="009C048B" w:rsidP="00CE66A3">
            <w:pPr>
              <w:spacing w:line="360" w:lineRule="auto"/>
              <w:rPr>
                <w:sz w:val="16"/>
                <w:szCs w:val="16"/>
                <w:lang w:val="en-GB"/>
              </w:rPr>
            </w:pPr>
            <w:r w:rsidRPr="000D4DD1">
              <w:rPr>
                <w:sz w:val="16"/>
                <w:szCs w:val="16"/>
                <w:lang w:val="en-GB"/>
              </w:rPr>
              <w:t>Bulk carriers</w:t>
            </w:r>
          </w:p>
        </w:tc>
        <w:tc>
          <w:tcPr>
            <w:tcW w:w="1965" w:type="dxa"/>
            <w:vAlign w:val="center"/>
          </w:tcPr>
          <w:p w14:paraId="316F8B47" w14:textId="77777777" w:rsidR="009C048B" w:rsidRPr="000D4DD1" w:rsidRDefault="009C048B" w:rsidP="00CE66A3">
            <w:pPr>
              <w:spacing w:line="360" w:lineRule="auto"/>
              <w:rPr>
                <w:sz w:val="16"/>
                <w:szCs w:val="16"/>
                <w:lang w:val="en-GB"/>
              </w:rPr>
            </w:pPr>
            <w:r w:rsidRPr="000D4DD1">
              <w:rPr>
                <w:sz w:val="16"/>
                <w:szCs w:val="16"/>
                <w:lang w:val="en-GB"/>
              </w:rPr>
              <w:t>Endogenous</w:t>
            </w:r>
          </w:p>
        </w:tc>
      </w:tr>
      <w:tr w:rsidR="009C048B" w:rsidRPr="000D4DD1" w14:paraId="7B2E766D" w14:textId="77777777" w:rsidTr="000D4DD1">
        <w:trPr>
          <w:trHeight w:val="284"/>
          <w:jc w:val="center"/>
        </w:trPr>
        <w:tc>
          <w:tcPr>
            <w:tcW w:w="2428" w:type="dxa"/>
            <w:vAlign w:val="center"/>
          </w:tcPr>
          <w:p w14:paraId="4A471460" w14:textId="77777777" w:rsidR="009C048B" w:rsidRPr="000D4DD1" w:rsidRDefault="009C048B" w:rsidP="00CE66A3">
            <w:pPr>
              <w:spacing w:line="360" w:lineRule="auto"/>
              <w:rPr>
                <w:sz w:val="16"/>
                <w:szCs w:val="16"/>
                <w:lang w:val="en-GB"/>
              </w:rPr>
            </w:pPr>
            <w:r w:rsidRPr="000D4DD1">
              <w:rPr>
                <w:sz w:val="16"/>
                <w:szCs w:val="16"/>
                <w:lang w:val="en-GB"/>
              </w:rPr>
              <w:t>Sub-bituminous coal</w:t>
            </w:r>
          </w:p>
        </w:tc>
        <w:tc>
          <w:tcPr>
            <w:tcW w:w="2238" w:type="dxa"/>
            <w:vAlign w:val="center"/>
          </w:tcPr>
          <w:p w14:paraId="23E57687" w14:textId="77777777" w:rsidR="009C048B" w:rsidRPr="000D4DD1" w:rsidRDefault="009C048B" w:rsidP="00CE66A3">
            <w:pPr>
              <w:spacing w:line="360" w:lineRule="auto"/>
              <w:rPr>
                <w:sz w:val="16"/>
                <w:szCs w:val="16"/>
                <w:lang w:val="en-GB"/>
              </w:rPr>
            </w:pPr>
            <w:r w:rsidRPr="000D4DD1">
              <w:rPr>
                <w:sz w:val="16"/>
                <w:szCs w:val="16"/>
                <w:lang w:val="en-GB"/>
              </w:rPr>
              <w:t>Bulk carriers</w:t>
            </w:r>
          </w:p>
        </w:tc>
        <w:tc>
          <w:tcPr>
            <w:tcW w:w="1965" w:type="dxa"/>
            <w:vAlign w:val="center"/>
          </w:tcPr>
          <w:p w14:paraId="3500CFBE" w14:textId="77777777" w:rsidR="009C048B" w:rsidRPr="000D4DD1" w:rsidRDefault="009C048B" w:rsidP="00CE66A3">
            <w:pPr>
              <w:spacing w:line="360" w:lineRule="auto"/>
              <w:rPr>
                <w:sz w:val="16"/>
                <w:szCs w:val="16"/>
                <w:lang w:val="en-GB"/>
              </w:rPr>
            </w:pPr>
            <w:r w:rsidRPr="000D4DD1">
              <w:rPr>
                <w:sz w:val="16"/>
                <w:szCs w:val="16"/>
                <w:lang w:val="en-GB"/>
              </w:rPr>
              <w:t>Endogenous</w:t>
            </w:r>
          </w:p>
        </w:tc>
      </w:tr>
      <w:tr w:rsidR="009C048B" w:rsidRPr="000D4DD1" w14:paraId="75DE351C" w14:textId="77777777" w:rsidTr="000D4DD1">
        <w:trPr>
          <w:trHeight w:val="284"/>
          <w:jc w:val="center"/>
        </w:trPr>
        <w:tc>
          <w:tcPr>
            <w:tcW w:w="2428" w:type="dxa"/>
            <w:vAlign w:val="center"/>
          </w:tcPr>
          <w:p w14:paraId="40821B99" w14:textId="77777777" w:rsidR="009C048B" w:rsidRPr="000D4DD1" w:rsidRDefault="009C048B" w:rsidP="00CE66A3">
            <w:pPr>
              <w:spacing w:line="360" w:lineRule="auto"/>
              <w:rPr>
                <w:sz w:val="16"/>
                <w:szCs w:val="16"/>
                <w:lang w:val="en-GB"/>
              </w:rPr>
            </w:pPr>
            <w:r w:rsidRPr="000D4DD1">
              <w:rPr>
                <w:sz w:val="16"/>
                <w:szCs w:val="16"/>
                <w:lang w:val="en-GB"/>
              </w:rPr>
              <w:t>Ethanol</w:t>
            </w:r>
          </w:p>
        </w:tc>
        <w:tc>
          <w:tcPr>
            <w:tcW w:w="2238" w:type="dxa"/>
            <w:vAlign w:val="center"/>
          </w:tcPr>
          <w:p w14:paraId="5A699AEA" w14:textId="77777777" w:rsidR="009C048B" w:rsidRPr="000D4DD1" w:rsidRDefault="009C048B" w:rsidP="00CE66A3">
            <w:pPr>
              <w:spacing w:line="360" w:lineRule="auto"/>
              <w:rPr>
                <w:sz w:val="16"/>
                <w:szCs w:val="16"/>
                <w:lang w:val="en-GB"/>
              </w:rPr>
            </w:pPr>
            <w:r w:rsidRPr="000D4DD1">
              <w:rPr>
                <w:sz w:val="16"/>
                <w:szCs w:val="16"/>
                <w:lang w:val="en-GB"/>
              </w:rPr>
              <w:t>Chemical tankers</w:t>
            </w:r>
          </w:p>
        </w:tc>
        <w:tc>
          <w:tcPr>
            <w:tcW w:w="1965" w:type="dxa"/>
            <w:vAlign w:val="center"/>
          </w:tcPr>
          <w:p w14:paraId="2068F726" w14:textId="77777777" w:rsidR="009C048B" w:rsidRPr="000D4DD1" w:rsidRDefault="009C048B" w:rsidP="00CE66A3">
            <w:pPr>
              <w:spacing w:line="360" w:lineRule="auto"/>
              <w:rPr>
                <w:sz w:val="16"/>
                <w:szCs w:val="16"/>
                <w:lang w:val="en-GB"/>
              </w:rPr>
            </w:pPr>
            <w:r w:rsidRPr="000D4DD1">
              <w:rPr>
                <w:sz w:val="16"/>
                <w:szCs w:val="16"/>
                <w:lang w:val="en-GB"/>
              </w:rPr>
              <w:t>Endogenous</w:t>
            </w:r>
          </w:p>
        </w:tc>
      </w:tr>
      <w:tr w:rsidR="009C048B" w:rsidRPr="000D4DD1" w14:paraId="5953820F" w14:textId="77777777" w:rsidTr="000D4DD1">
        <w:trPr>
          <w:trHeight w:val="284"/>
          <w:jc w:val="center"/>
        </w:trPr>
        <w:tc>
          <w:tcPr>
            <w:tcW w:w="2428" w:type="dxa"/>
            <w:vAlign w:val="center"/>
          </w:tcPr>
          <w:p w14:paraId="68A857E0" w14:textId="77777777" w:rsidR="009C048B" w:rsidRPr="000D4DD1" w:rsidRDefault="009C048B" w:rsidP="00CE66A3">
            <w:pPr>
              <w:spacing w:line="360" w:lineRule="auto"/>
              <w:rPr>
                <w:sz w:val="16"/>
                <w:szCs w:val="16"/>
                <w:lang w:val="en-GB"/>
              </w:rPr>
            </w:pPr>
            <w:r w:rsidRPr="000D4DD1">
              <w:rPr>
                <w:sz w:val="16"/>
                <w:szCs w:val="16"/>
                <w:lang w:val="en-GB"/>
              </w:rPr>
              <w:t>Hydrogen</w:t>
            </w:r>
          </w:p>
        </w:tc>
        <w:tc>
          <w:tcPr>
            <w:tcW w:w="2238" w:type="dxa"/>
            <w:vAlign w:val="center"/>
          </w:tcPr>
          <w:p w14:paraId="1D400B03" w14:textId="77777777" w:rsidR="009C048B" w:rsidRPr="000D4DD1" w:rsidRDefault="009C048B" w:rsidP="00CE66A3">
            <w:pPr>
              <w:spacing w:line="360" w:lineRule="auto"/>
              <w:rPr>
                <w:sz w:val="16"/>
                <w:szCs w:val="16"/>
                <w:lang w:val="en-GB"/>
              </w:rPr>
            </w:pPr>
            <w:r w:rsidRPr="000D4DD1">
              <w:rPr>
                <w:sz w:val="16"/>
                <w:szCs w:val="16"/>
                <w:lang w:val="en-GB"/>
              </w:rPr>
              <w:t>LH</w:t>
            </w:r>
            <w:r w:rsidRPr="000D4DD1">
              <w:rPr>
                <w:sz w:val="16"/>
                <w:szCs w:val="16"/>
                <w:vertAlign w:val="subscript"/>
                <w:lang w:val="en-GB"/>
              </w:rPr>
              <w:t xml:space="preserve">2 </w:t>
            </w:r>
            <w:r w:rsidRPr="000D4DD1">
              <w:rPr>
                <w:sz w:val="16"/>
                <w:szCs w:val="16"/>
                <w:lang w:val="en-GB"/>
              </w:rPr>
              <w:t>ships</w:t>
            </w:r>
          </w:p>
        </w:tc>
        <w:tc>
          <w:tcPr>
            <w:tcW w:w="1965" w:type="dxa"/>
            <w:vAlign w:val="center"/>
          </w:tcPr>
          <w:p w14:paraId="3CF33560" w14:textId="77777777" w:rsidR="009C048B" w:rsidRPr="000D4DD1" w:rsidRDefault="009C048B" w:rsidP="00CE66A3">
            <w:pPr>
              <w:spacing w:line="360" w:lineRule="auto"/>
              <w:rPr>
                <w:sz w:val="16"/>
                <w:szCs w:val="16"/>
                <w:lang w:val="en-GB"/>
              </w:rPr>
            </w:pPr>
            <w:r w:rsidRPr="000D4DD1">
              <w:rPr>
                <w:sz w:val="16"/>
                <w:szCs w:val="16"/>
                <w:lang w:val="en-GB"/>
              </w:rPr>
              <w:t>Endogenous</w:t>
            </w:r>
          </w:p>
        </w:tc>
      </w:tr>
      <w:tr w:rsidR="009C048B" w:rsidRPr="000D4DD1" w14:paraId="5FE63D72" w14:textId="77777777" w:rsidTr="000D4DD1">
        <w:trPr>
          <w:trHeight w:val="284"/>
          <w:jc w:val="center"/>
        </w:trPr>
        <w:tc>
          <w:tcPr>
            <w:tcW w:w="2428" w:type="dxa"/>
            <w:vAlign w:val="center"/>
          </w:tcPr>
          <w:p w14:paraId="73B15FA6" w14:textId="77777777" w:rsidR="009C048B" w:rsidRPr="000D4DD1" w:rsidRDefault="009C048B" w:rsidP="00CE66A3">
            <w:pPr>
              <w:spacing w:line="360" w:lineRule="auto"/>
              <w:rPr>
                <w:sz w:val="16"/>
                <w:szCs w:val="16"/>
                <w:lang w:val="en-GB"/>
              </w:rPr>
            </w:pPr>
            <w:r w:rsidRPr="000D4DD1">
              <w:rPr>
                <w:sz w:val="16"/>
                <w:szCs w:val="16"/>
                <w:lang w:val="en-GB"/>
              </w:rPr>
              <w:t>Wheat</w:t>
            </w:r>
          </w:p>
        </w:tc>
        <w:tc>
          <w:tcPr>
            <w:tcW w:w="2238" w:type="dxa"/>
            <w:vAlign w:val="center"/>
          </w:tcPr>
          <w:p w14:paraId="76AF5A36" w14:textId="77777777" w:rsidR="009C048B" w:rsidRPr="000D4DD1" w:rsidRDefault="009C048B" w:rsidP="00CE66A3">
            <w:pPr>
              <w:spacing w:line="360" w:lineRule="auto"/>
              <w:rPr>
                <w:sz w:val="16"/>
                <w:szCs w:val="16"/>
                <w:lang w:val="en-GB"/>
              </w:rPr>
            </w:pPr>
            <w:r w:rsidRPr="000D4DD1">
              <w:rPr>
                <w:sz w:val="16"/>
                <w:szCs w:val="16"/>
                <w:lang w:val="en-GB"/>
              </w:rPr>
              <w:t>Bulk carriers</w:t>
            </w:r>
          </w:p>
        </w:tc>
        <w:tc>
          <w:tcPr>
            <w:tcW w:w="1965" w:type="dxa"/>
            <w:vAlign w:val="center"/>
          </w:tcPr>
          <w:p w14:paraId="4024D403" w14:textId="77777777" w:rsidR="009C048B" w:rsidRPr="000D4DD1" w:rsidRDefault="009C048B" w:rsidP="00CE66A3">
            <w:pPr>
              <w:spacing w:line="360" w:lineRule="auto"/>
              <w:rPr>
                <w:sz w:val="16"/>
                <w:szCs w:val="16"/>
                <w:lang w:val="en-GB"/>
              </w:rPr>
            </w:pPr>
            <w:r w:rsidRPr="000D4DD1">
              <w:rPr>
                <w:sz w:val="16"/>
                <w:szCs w:val="16"/>
                <w:lang w:val="en-GB"/>
              </w:rPr>
              <w:t>Endogenous</w:t>
            </w:r>
          </w:p>
        </w:tc>
      </w:tr>
      <w:tr w:rsidR="009C048B" w:rsidRPr="000D4DD1" w14:paraId="3F516710" w14:textId="77777777" w:rsidTr="000D4DD1">
        <w:trPr>
          <w:trHeight w:val="284"/>
          <w:jc w:val="center"/>
        </w:trPr>
        <w:tc>
          <w:tcPr>
            <w:tcW w:w="2428" w:type="dxa"/>
            <w:vAlign w:val="center"/>
          </w:tcPr>
          <w:p w14:paraId="1ED02DC3" w14:textId="77777777" w:rsidR="009C048B" w:rsidRPr="000D4DD1" w:rsidRDefault="009C048B" w:rsidP="00CE66A3">
            <w:pPr>
              <w:spacing w:line="360" w:lineRule="auto"/>
              <w:rPr>
                <w:sz w:val="16"/>
                <w:szCs w:val="16"/>
                <w:lang w:val="en-GB"/>
              </w:rPr>
            </w:pPr>
            <w:r w:rsidRPr="000D4DD1">
              <w:rPr>
                <w:sz w:val="16"/>
                <w:szCs w:val="16"/>
                <w:lang w:val="en-GB"/>
              </w:rPr>
              <w:t>Maize</w:t>
            </w:r>
          </w:p>
        </w:tc>
        <w:tc>
          <w:tcPr>
            <w:tcW w:w="2238" w:type="dxa"/>
            <w:vAlign w:val="center"/>
          </w:tcPr>
          <w:p w14:paraId="3378422B" w14:textId="77777777" w:rsidR="009C048B" w:rsidRPr="000D4DD1" w:rsidRDefault="009C048B" w:rsidP="00CE66A3">
            <w:pPr>
              <w:spacing w:line="360" w:lineRule="auto"/>
              <w:rPr>
                <w:sz w:val="16"/>
                <w:szCs w:val="16"/>
                <w:lang w:val="en-GB"/>
              </w:rPr>
            </w:pPr>
            <w:r w:rsidRPr="000D4DD1">
              <w:rPr>
                <w:sz w:val="16"/>
                <w:szCs w:val="16"/>
                <w:lang w:val="en-GB"/>
              </w:rPr>
              <w:t>Bulk carriers</w:t>
            </w:r>
          </w:p>
        </w:tc>
        <w:tc>
          <w:tcPr>
            <w:tcW w:w="1965" w:type="dxa"/>
            <w:vAlign w:val="center"/>
          </w:tcPr>
          <w:p w14:paraId="278F4B88" w14:textId="77777777" w:rsidR="009C048B" w:rsidRPr="000D4DD1" w:rsidRDefault="009C048B" w:rsidP="00CE66A3">
            <w:pPr>
              <w:spacing w:line="360" w:lineRule="auto"/>
              <w:rPr>
                <w:sz w:val="16"/>
                <w:szCs w:val="16"/>
                <w:lang w:val="en-GB"/>
              </w:rPr>
            </w:pPr>
            <w:r w:rsidRPr="000D4DD1">
              <w:rPr>
                <w:sz w:val="16"/>
                <w:szCs w:val="16"/>
                <w:lang w:val="en-GB"/>
              </w:rPr>
              <w:t>Endogenous</w:t>
            </w:r>
          </w:p>
        </w:tc>
      </w:tr>
      <w:tr w:rsidR="009C048B" w:rsidRPr="000D4DD1" w14:paraId="489116AB" w14:textId="77777777" w:rsidTr="000D4DD1">
        <w:trPr>
          <w:trHeight w:val="284"/>
          <w:jc w:val="center"/>
        </w:trPr>
        <w:tc>
          <w:tcPr>
            <w:tcW w:w="2428" w:type="dxa"/>
            <w:vAlign w:val="center"/>
          </w:tcPr>
          <w:p w14:paraId="30EBB5AB" w14:textId="77777777" w:rsidR="009C048B" w:rsidRPr="000D4DD1" w:rsidRDefault="009C048B" w:rsidP="00CE66A3">
            <w:pPr>
              <w:spacing w:line="360" w:lineRule="auto"/>
              <w:rPr>
                <w:sz w:val="16"/>
                <w:szCs w:val="16"/>
                <w:lang w:val="en-GB"/>
              </w:rPr>
            </w:pPr>
            <w:r w:rsidRPr="000D4DD1">
              <w:rPr>
                <w:sz w:val="16"/>
                <w:szCs w:val="16"/>
                <w:lang w:val="en-GB"/>
              </w:rPr>
              <w:t>Rice</w:t>
            </w:r>
          </w:p>
        </w:tc>
        <w:tc>
          <w:tcPr>
            <w:tcW w:w="2238" w:type="dxa"/>
            <w:vAlign w:val="center"/>
          </w:tcPr>
          <w:p w14:paraId="5DA52754" w14:textId="77777777" w:rsidR="009C048B" w:rsidRPr="000D4DD1" w:rsidRDefault="009C048B" w:rsidP="00CE66A3">
            <w:pPr>
              <w:spacing w:line="360" w:lineRule="auto"/>
              <w:rPr>
                <w:sz w:val="16"/>
                <w:szCs w:val="16"/>
                <w:lang w:val="en-GB"/>
              </w:rPr>
            </w:pPr>
            <w:r w:rsidRPr="000D4DD1">
              <w:rPr>
                <w:sz w:val="16"/>
                <w:szCs w:val="16"/>
                <w:lang w:val="en-GB"/>
              </w:rPr>
              <w:t>Bulk carriers</w:t>
            </w:r>
          </w:p>
        </w:tc>
        <w:tc>
          <w:tcPr>
            <w:tcW w:w="1965" w:type="dxa"/>
            <w:vAlign w:val="center"/>
          </w:tcPr>
          <w:p w14:paraId="23E2A2ED" w14:textId="77777777" w:rsidR="009C048B" w:rsidRPr="000D4DD1" w:rsidRDefault="009C048B" w:rsidP="00CE66A3">
            <w:pPr>
              <w:spacing w:line="360" w:lineRule="auto"/>
              <w:rPr>
                <w:sz w:val="16"/>
                <w:szCs w:val="16"/>
                <w:lang w:val="en-GB"/>
              </w:rPr>
            </w:pPr>
            <w:r w:rsidRPr="000D4DD1">
              <w:rPr>
                <w:sz w:val="16"/>
                <w:szCs w:val="16"/>
                <w:lang w:val="en-GB"/>
              </w:rPr>
              <w:t>Endogenous</w:t>
            </w:r>
          </w:p>
        </w:tc>
      </w:tr>
      <w:tr w:rsidR="009C048B" w:rsidRPr="000D4DD1" w14:paraId="436F0D4E" w14:textId="77777777" w:rsidTr="000D4DD1">
        <w:trPr>
          <w:trHeight w:val="284"/>
          <w:jc w:val="center"/>
        </w:trPr>
        <w:tc>
          <w:tcPr>
            <w:tcW w:w="2428" w:type="dxa"/>
            <w:vAlign w:val="center"/>
          </w:tcPr>
          <w:p w14:paraId="011F7D49" w14:textId="77777777" w:rsidR="009C048B" w:rsidRPr="000D4DD1" w:rsidRDefault="009C048B" w:rsidP="00CE66A3">
            <w:pPr>
              <w:spacing w:line="360" w:lineRule="auto"/>
              <w:rPr>
                <w:sz w:val="16"/>
                <w:szCs w:val="16"/>
                <w:lang w:val="en-GB"/>
              </w:rPr>
            </w:pPr>
            <w:r w:rsidRPr="000D4DD1">
              <w:rPr>
                <w:sz w:val="16"/>
                <w:szCs w:val="16"/>
                <w:lang w:val="en-GB"/>
              </w:rPr>
              <w:t>Soybean</w:t>
            </w:r>
          </w:p>
        </w:tc>
        <w:tc>
          <w:tcPr>
            <w:tcW w:w="2238" w:type="dxa"/>
            <w:vAlign w:val="center"/>
          </w:tcPr>
          <w:p w14:paraId="301600DC" w14:textId="77777777" w:rsidR="009C048B" w:rsidRPr="000D4DD1" w:rsidRDefault="009C048B" w:rsidP="00CE66A3">
            <w:pPr>
              <w:spacing w:line="360" w:lineRule="auto"/>
              <w:rPr>
                <w:sz w:val="16"/>
                <w:szCs w:val="16"/>
                <w:lang w:val="en-GB"/>
              </w:rPr>
            </w:pPr>
            <w:r w:rsidRPr="000D4DD1">
              <w:rPr>
                <w:sz w:val="16"/>
                <w:szCs w:val="16"/>
                <w:lang w:val="en-GB"/>
              </w:rPr>
              <w:t>Bulk carriers</w:t>
            </w:r>
          </w:p>
        </w:tc>
        <w:tc>
          <w:tcPr>
            <w:tcW w:w="1965" w:type="dxa"/>
            <w:vAlign w:val="center"/>
          </w:tcPr>
          <w:p w14:paraId="572BB942" w14:textId="77777777" w:rsidR="009C048B" w:rsidRPr="000D4DD1" w:rsidRDefault="009C048B" w:rsidP="00CE66A3">
            <w:pPr>
              <w:spacing w:line="360" w:lineRule="auto"/>
              <w:rPr>
                <w:sz w:val="16"/>
                <w:szCs w:val="16"/>
                <w:lang w:val="en-GB"/>
              </w:rPr>
            </w:pPr>
            <w:r w:rsidRPr="000D4DD1">
              <w:rPr>
                <w:sz w:val="16"/>
                <w:szCs w:val="16"/>
                <w:lang w:val="en-GB"/>
              </w:rPr>
              <w:t>Endogenous</w:t>
            </w:r>
          </w:p>
        </w:tc>
      </w:tr>
      <w:tr w:rsidR="009C048B" w:rsidRPr="000D4DD1" w14:paraId="14FA2F5F" w14:textId="77777777" w:rsidTr="000D4DD1">
        <w:trPr>
          <w:trHeight w:val="284"/>
          <w:jc w:val="center"/>
        </w:trPr>
        <w:tc>
          <w:tcPr>
            <w:tcW w:w="2428" w:type="dxa"/>
            <w:vAlign w:val="center"/>
          </w:tcPr>
          <w:p w14:paraId="165E2FEC" w14:textId="77777777" w:rsidR="009C048B" w:rsidRPr="000D4DD1" w:rsidRDefault="009C048B" w:rsidP="00CE66A3">
            <w:pPr>
              <w:spacing w:line="360" w:lineRule="auto"/>
              <w:rPr>
                <w:sz w:val="16"/>
                <w:szCs w:val="16"/>
                <w:lang w:val="en-GB"/>
              </w:rPr>
            </w:pPr>
            <w:r w:rsidRPr="000D4DD1">
              <w:rPr>
                <w:sz w:val="16"/>
                <w:szCs w:val="16"/>
                <w:lang w:val="en-GB"/>
              </w:rPr>
              <w:t>Other cereals</w:t>
            </w:r>
          </w:p>
        </w:tc>
        <w:tc>
          <w:tcPr>
            <w:tcW w:w="2238" w:type="dxa"/>
            <w:vAlign w:val="center"/>
          </w:tcPr>
          <w:p w14:paraId="36612842" w14:textId="77777777" w:rsidR="009C048B" w:rsidRPr="000D4DD1" w:rsidRDefault="009C048B" w:rsidP="00CE66A3">
            <w:pPr>
              <w:spacing w:line="360" w:lineRule="auto"/>
              <w:rPr>
                <w:sz w:val="16"/>
                <w:szCs w:val="16"/>
                <w:lang w:val="en-GB"/>
              </w:rPr>
            </w:pPr>
            <w:r w:rsidRPr="000D4DD1">
              <w:rPr>
                <w:sz w:val="16"/>
                <w:szCs w:val="16"/>
                <w:lang w:val="en-GB"/>
              </w:rPr>
              <w:t>Bulk carriers</w:t>
            </w:r>
          </w:p>
        </w:tc>
        <w:tc>
          <w:tcPr>
            <w:tcW w:w="1965" w:type="dxa"/>
            <w:vAlign w:val="center"/>
          </w:tcPr>
          <w:p w14:paraId="4852364E" w14:textId="77777777" w:rsidR="009C048B" w:rsidRPr="000D4DD1" w:rsidRDefault="009C048B" w:rsidP="00CE66A3">
            <w:pPr>
              <w:spacing w:line="360" w:lineRule="auto"/>
              <w:rPr>
                <w:sz w:val="16"/>
                <w:szCs w:val="16"/>
                <w:lang w:val="en-GB"/>
              </w:rPr>
            </w:pPr>
            <w:r w:rsidRPr="000D4DD1">
              <w:rPr>
                <w:sz w:val="16"/>
                <w:szCs w:val="16"/>
                <w:lang w:val="en-GB"/>
              </w:rPr>
              <w:t>Endogenous</w:t>
            </w:r>
          </w:p>
        </w:tc>
      </w:tr>
      <w:tr w:rsidR="009C048B" w:rsidRPr="000D4DD1" w14:paraId="3729F9DC" w14:textId="77777777" w:rsidTr="000D4DD1">
        <w:trPr>
          <w:trHeight w:val="284"/>
          <w:jc w:val="center"/>
        </w:trPr>
        <w:tc>
          <w:tcPr>
            <w:tcW w:w="2428" w:type="dxa"/>
            <w:vAlign w:val="center"/>
          </w:tcPr>
          <w:p w14:paraId="5CF80B9A" w14:textId="77777777" w:rsidR="009C048B" w:rsidRPr="000D4DD1" w:rsidRDefault="009C048B" w:rsidP="00CE66A3">
            <w:pPr>
              <w:spacing w:line="360" w:lineRule="auto"/>
              <w:rPr>
                <w:color w:val="FF0000"/>
                <w:sz w:val="16"/>
                <w:szCs w:val="16"/>
                <w:lang w:val="en-GB"/>
              </w:rPr>
            </w:pPr>
            <w:r w:rsidRPr="000D4DD1">
              <w:rPr>
                <w:sz w:val="16"/>
                <w:szCs w:val="16"/>
                <w:lang w:val="en-GB"/>
              </w:rPr>
              <w:t>Steel</w:t>
            </w:r>
          </w:p>
        </w:tc>
        <w:tc>
          <w:tcPr>
            <w:tcW w:w="2238" w:type="dxa"/>
            <w:vAlign w:val="center"/>
          </w:tcPr>
          <w:p w14:paraId="32E206B6" w14:textId="77777777" w:rsidR="009C048B" w:rsidRPr="000D4DD1" w:rsidRDefault="009C048B" w:rsidP="00CE66A3">
            <w:pPr>
              <w:spacing w:line="360" w:lineRule="auto"/>
              <w:rPr>
                <w:sz w:val="16"/>
                <w:szCs w:val="16"/>
                <w:lang w:val="en-GB"/>
              </w:rPr>
            </w:pPr>
            <w:r w:rsidRPr="000D4DD1">
              <w:rPr>
                <w:sz w:val="16"/>
                <w:szCs w:val="16"/>
                <w:lang w:val="en-GB"/>
              </w:rPr>
              <w:t>General cargo ships</w:t>
            </w:r>
          </w:p>
        </w:tc>
        <w:tc>
          <w:tcPr>
            <w:tcW w:w="1965" w:type="dxa"/>
            <w:vAlign w:val="center"/>
          </w:tcPr>
          <w:p w14:paraId="24283FF2" w14:textId="77777777" w:rsidR="009C048B" w:rsidRPr="000D4DD1" w:rsidRDefault="009C048B" w:rsidP="00CE66A3">
            <w:pPr>
              <w:spacing w:line="360" w:lineRule="auto"/>
              <w:rPr>
                <w:sz w:val="16"/>
                <w:szCs w:val="16"/>
                <w:lang w:val="en-GB"/>
              </w:rPr>
            </w:pPr>
            <w:r w:rsidRPr="000D4DD1">
              <w:rPr>
                <w:sz w:val="16"/>
                <w:szCs w:val="16"/>
                <w:lang w:val="en-GB"/>
              </w:rPr>
              <w:t>Endogenous</w:t>
            </w:r>
          </w:p>
        </w:tc>
      </w:tr>
      <w:tr w:rsidR="009C048B" w:rsidRPr="000D4DD1" w14:paraId="3EBF2D51" w14:textId="77777777" w:rsidTr="000D4DD1">
        <w:trPr>
          <w:trHeight w:val="284"/>
          <w:jc w:val="center"/>
        </w:trPr>
        <w:tc>
          <w:tcPr>
            <w:tcW w:w="2428" w:type="dxa"/>
            <w:vAlign w:val="center"/>
          </w:tcPr>
          <w:p w14:paraId="606349AE" w14:textId="77777777" w:rsidR="009C048B" w:rsidRPr="000D4DD1" w:rsidRDefault="009C048B" w:rsidP="00CE66A3">
            <w:pPr>
              <w:spacing w:line="360" w:lineRule="auto"/>
              <w:rPr>
                <w:color w:val="FF0000"/>
                <w:sz w:val="16"/>
                <w:szCs w:val="16"/>
                <w:lang w:val="en-GB"/>
              </w:rPr>
            </w:pPr>
            <w:r w:rsidRPr="000D4DD1">
              <w:rPr>
                <w:color w:val="000000" w:themeColor="text1"/>
                <w:sz w:val="16"/>
                <w:szCs w:val="16"/>
                <w:lang w:val="en-GB"/>
              </w:rPr>
              <w:t>Iron ore</w:t>
            </w:r>
          </w:p>
        </w:tc>
        <w:tc>
          <w:tcPr>
            <w:tcW w:w="2238" w:type="dxa"/>
            <w:vAlign w:val="center"/>
          </w:tcPr>
          <w:p w14:paraId="5C0E9377" w14:textId="77777777" w:rsidR="009C048B" w:rsidRPr="000D4DD1" w:rsidRDefault="009C048B" w:rsidP="00CE66A3">
            <w:pPr>
              <w:spacing w:line="360" w:lineRule="auto"/>
              <w:rPr>
                <w:color w:val="FF0000"/>
                <w:sz w:val="16"/>
                <w:szCs w:val="16"/>
                <w:lang w:val="en-GB"/>
              </w:rPr>
            </w:pPr>
            <w:r w:rsidRPr="000D4DD1">
              <w:rPr>
                <w:sz w:val="16"/>
                <w:szCs w:val="16"/>
                <w:lang w:val="en-GB"/>
              </w:rPr>
              <w:t>Bulk carriers</w:t>
            </w:r>
          </w:p>
        </w:tc>
        <w:tc>
          <w:tcPr>
            <w:tcW w:w="1965" w:type="dxa"/>
            <w:vAlign w:val="center"/>
          </w:tcPr>
          <w:p w14:paraId="363C34B7" w14:textId="77777777" w:rsidR="009C048B" w:rsidRPr="000D4DD1" w:rsidRDefault="009C048B" w:rsidP="00CE66A3">
            <w:pPr>
              <w:spacing w:line="360" w:lineRule="auto"/>
              <w:rPr>
                <w:color w:val="FF0000"/>
                <w:sz w:val="16"/>
                <w:szCs w:val="16"/>
                <w:lang w:val="en-GB"/>
              </w:rPr>
            </w:pPr>
            <w:r w:rsidRPr="000D4DD1">
              <w:rPr>
                <w:color w:val="000000" w:themeColor="text1"/>
                <w:sz w:val="16"/>
                <w:szCs w:val="16"/>
                <w:lang w:val="en-GB"/>
              </w:rPr>
              <w:t>Exogenous</w:t>
            </w:r>
          </w:p>
        </w:tc>
      </w:tr>
      <w:tr w:rsidR="009C048B" w:rsidRPr="000D4DD1" w14:paraId="70CE8066" w14:textId="77777777" w:rsidTr="000D4DD1">
        <w:trPr>
          <w:trHeight w:val="284"/>
          <w:jc w:val="center"/>
        </w:trPr>
        <w:tc>
          <w:tcPr>
            <w:tcW w:w="2428" w:type="dxa"/>
            <w:vAlign w:val="center"/>
          </w:tcPr>
          <w:p w14:paraId="473A584A" w14:textId="77777777" w:rsidR="009C048B" w:rsidRPr="000D4DD1" w:rsidRDefault="009C048B" w:rsidP="00CE66A3">
            <w:pPr>
              <w:spacing w:line="360" w:lineRule="auto"/>
              <w:rPr>
                <w:sz w:val="16"/>
                <w:szCs w:val="16"/>
                <w:lang w:val="en-GB"/>
              </w:rPr>
            </w:pPr>
            <w:r w:rsidRPr="000D4DD1">
              <w:rPr>
                <w:sz w:val="16"/>
                <w:szCs w:val="16"/>
                <w:lang w:val="en-GB"/>
              </w:rPr>
              <w:t>Chemical products</w:t>
            </w:r>
          </w:p>
        </w:tc>
        <w:tc>
          <w:tcPr>
            <w:tcW w:w="2238" w:type="dxa"/>
            <w:vAlign w:val="center"/>
          </w:tcPr>
          <w:p w14:paraId="2459DCE3" w14:textId="77777777" w:rsidR="009C048B" w:rsidRPr="000D4DD1" w:rsidRDefault="009C048B" w:rsidP="00CE66A3">
            <w:pPr>
              <w:spacing w:line="360" w:lineRule="auto"/>
              <w:rPr>
                <w:sz w:val="16"/>
                <w:szCs w:val="16"/>
                <w:lang w:val="en-GB"/>
              </w:rPr>
            </w:pPr>
            <w:r w:rsidRPr="000D4DD1">
              <w:rPr>
                <w:sz w:val="16"/>
                <w:szCs w:val="16"/>
                <w:lang w:val="en-GB"/>
              </w:rPr>
              <w:t>Chemical tankers</w:t>
            </w:r>
          </w:p>
        </w:tc>
        <w:tc>
          <w:tcPr>
            <w:tcW w:w="1965" w:type="dxa"/>
            <w:vAlign w:val="center"/>
          </w:tcPr>
          <w:p w14:paraId="267BA750" w14:textId="77777777" w:rsidR="009C048B" w:rsidRPr="000D4DD1" w:rsidRDefault="009C048B" w:rsidP="00CE66A3">
            <w:pPr>
              <w:spacing w:line="360" w:lineRule="auto"/>
              <w:rPr>
                <w:sz w:val="16"/>
                <w:szCs w:val="16"/>
                <w:lang w:val="en-GB"/>
              </w:rPr>
            </w:pPr>
            <w:r w:rsidRPr="000D4DD1">
              <w:rPr>
                <w:color w:val="000000" w:themeColor="text1"/>
                <w:sz w:val="16"/>
                <w:szCs w:val="16"/>
                <w:lang w:val="en-GB"/>
              </w:rPr>
              <w:t>Exogenous</w:t>
            </w:r>
          </w:p>
        </w:tc>
      </w:tr>
      <w:tr w:rsidR="009C048B" w:rsidRPr="000D4DD1" w14:paraId="7F8C4DAF" w14:textId="77777777" w:rsidTr="000D4DD1">
        <w:trPr>
          <w:trHeight w:val="284"/>
          <w:jc w:val="center"/>
        </w:trPr>
        <w:tc>
          <w:tcPr>
            <w:tcW w:w="2428" w:type="dxa"/>
            <w:vAlign w:val="center"/>
          </w:tcPr>
          <w:p w14:paraId="3D20CF2D" w14:textId="77777777" w:rsidR="009C048B" w:rsidRPr="000D4DD1" w:rsidRDefault="009C048B" w:rsidP="00CE66A3">
            <w:pPr>
              <w:spacing w:line="360" w:lineRule="auto"/>
              <w:rPr>
                <w:sz w:val="16"/>
                <w:szCs w:val="16"/>
                <w:lang w:val="en-GB"/>
              </w:rPr>
            </w:pPr>
            <w:r w:rsidRPr="000D4DD1">
              <w:rPr>
                <w:sz w:val="16"/>
                <w:szCs w:val="16"/>
                <w:lang w:val="en-GB"/>
              </w:rPr>
              <w:t>Containers</w:t>
            </w:r>
          </w:p>
        </w:tc>
        <w:tc>
          <w:tcPr>
            <w:tcW w:w="2238" w:type="dxa"/>
            <w:vAlign w:val="center"/>
          </w:tcPr>
          <w:p w14:paraId="2EB8D095" w14:textId="77777777" w:rsidR="009C048B" w:rsidRPr="000D4DD1" w:rsidRDefault="009C048B" w:rsidP="00CE66A3">
            <w:pPr>
              <w:spacing w:line="360" w:lineRule="auto"/>
              <w:rPr>
                <w:sz w:val="16"/>
                <w:szCs w:val="16"/>
                <w:lang w:val="en-GB"/>
              </w:rPr>
            </w:pPr>
            <w:r w:rsidRPr="000D4DD1">
              <w:rPr>
                <w:sz w:val="16"/>
                <w:szCs w:val="16"/>
                <w:lang w:val="en-GB"/>
              </w:rPr>
              <w:t>Containerships</w:t>
            </w:r>
          </w:p>
        </w:tc>
        <w:tc>
          <w:tcPr>
            <w:tcW w:w="1965" w:type="dxa"/>
            <w:vAlign w:val="center"/>
          </w:tcPr>
          <w:p w14:paraId="0326B8CD" w14:textId="77777777" w:rsidR="009C048B" w:rsidRPr="000D4DD1" w:rsidRDefault="009C048B" w:rsidP="00CE66A3">
            <w:pPr>
              <w:spacing w:line="360" w:lineRule="auto"/>
              <w:rPr>
                <w:sz w:val="16"/>
                <w:szCs w:val="16"/>
                <w:lang w:val="en-GB"/>
              </w:rPr>
            </w:pPr>
            <w:r w:rsidRPr="000D4DD1">
              <w:rPr>
                <w:sz w:val="16"/>
                <w:szCs w:val="16"/>
                <w:lang w:val="en-GB"/>
              </w:rPr>
              <w:t>Exogenous</w:t>
            </w:r>
          </w:p>
        </w:tc>
      </w:tr>
      <w:tr w:rsidR="009C048B" w:rsidRPr="000D4DD1" w14:paraId="7B735186" w14:textId="77777777" w:rsidTr="000D4DD1">
        <w:trPr>
          <w:trHeight w:val="284"/>
          <w:jc w:val="center"/>
        </w:trPr>
        <w:tc>
          <w:tcPr>
            <w:tcW w:w="2428" w:type="dxa"/>
            <w:vAlign w:val="center"/>
          </w:tcPr>
          <w:p w14:paraId="448D4224" w14:textId="77777777" w:rsidR="009C048B" w:rsidRPr="000D4DD1" w:rsidRDefault="009C048B" w:rsidP="00CE66A3">
            <w:pPr>
              <w:spacing w:line="360" w:lineRule="auto"/>
              <w:rPr>
                <w:sz w:val="16"/>
                <w:szCs w:val="16"/>
                <w:lang w:val="en-GB"/>
              </w:rPr>
            </w:pPr>
            <w:r w:rsidRPr="000D4DD1">
              <w:rPr>
                <w:sz w:val="16"/>
                <w:szCs w:val="16"/>
                <w:lang w:val="en-GB"/>
              </w:rPr>
              <w:t>Vehicles</w:t>
            </w:r>
          </w:p>
        </w:tc>
        <w:tc>
          <w:tcPr>
            <w:tcW w:w="2238" w:type="dxa"/>
            <w:vAlign w:val="center"/>
          </w:tcPr>
          <w:p w14:paraId="7A2F2A87" w14:textId="77777777" w:rsidR="009C048B" w:rsidRPr="000D4DD1" w:rsidRDefault="009C048B" w:rsidP="00CE66A3">
            <w:pPr>
              <w:spacing w:line="360" w:lineRule="auto"/>
              <w:rPr>
                <w:sz w:val="16"/>
                <w:szCs w:val="16"/>
                <w:lang w:val="en-GB"/>
              </w:rPr>
            </w:pPr>
            <w:r w:rsidRPr="000D4DD1">
              <w:rPr>
                <w:color w:val="000000" w:themeColor="text1"/>
                <w:sz w:val="16"/>
                <w:szCs w:val="16"/>
                <w:lang w:val="en-GB"/>
              </w:rPr>
              <w:t>Pure Car Carriers</w:t>
            </w:r>
          </w:p>
        </w:tc>
        <w:tc>
          <w:tcPr>
            <w:tcW w:w="1965" w:type="dxa"/>
            <w:vAlign w:val="center"/>
          </w:tcPr>
          <w:p w14:paraId="7E7F79DF" w14:textId="77777777" w:rsidR="009C048B" w:rsidRPr="000D4DD1" w:rsidRDefault="009C048B" w:rsidP="00CE66A3">
            <w:pPr>
              <w:spacing w:line="360" w:lineRule="auto"/>
              <w:rPr>
                <w:sz w:val="16"/>
                <w:szCs w:val="16"/>
                <w:lang w:val="en-GB"/>
              </w:rPr>
            </w:pPr>
            <w:r w:rsidRPr="000D4DD1">
              <w:rPr>
                <w:sz w:val="16"/>
                <w:szCs w:val="16"/>
                <w:lang w:val="en-GB"/>
              </w:rPr>
              <w:t>Exogenous</w:t>
            </w:r>
          </w:p>
        </w:tc>
      </w:tr>
      <w:tr w:rsidR="009C048B" w:rsidRPr="000D4DD1" w14:paraId="7E09D25E" w14:textId="77777777" w:rsidTr="000D4DD1">
        <w:trPr>
          <w:trHeight w:val="284"/>
          <w:jc w:val="center"/>
        </w:trPr>
        <w:tc>
          <w:tcPr>
            <w:tcW w:w="2428" w:type="dxa"/>
            <w:vAlign w:val="center"/>
          </w:tcPr>
          <w:p w14:paraId="120B8914" w14:textId="77777777" w:rsidR="009C048B" w:rsidRPr="000D4DD1" w:rsidRDefault="009C048B" w:rsidP="00CE66A3">
            <w:pPr>
              <w:spacing w:line="360" w:lineRule="auto"/>
              <w:rPr>
                <w:sz w:val="16"/>
                <w:szCs w:val="16"/>
                <w:lang w:val="en-GB"/>
              </w:rPr>
            </w:pPr>
            <w:r w:rsidRPr="000D4DD1">
              <w:rPr>
                <w:sz w:val="16"/>
                <w:szCs w:val="16"/>
                <w:lang w:val="en-GB"/>
              </w:rPr>
              <w:t>-</w:t>
            </w:r>
          </w:p>
        </w:tc>
        <w:tc>
          <w:tcPr>
            <w:tcW w:w="2238" w:type="dxa"/>
            <w:vAlign w:val="center"/>
          </w:tcPr>
          <w:p w14:paraId="5F96806E" w14:textId="77777777" w:rsidR="009C048B" w:rsidRPr="000D4DD1" w:rsidRDefault="009C048B" w:rsidP="00CE66A3">
            <w:pPr>
              <w:spacing w:line="360" w:lineRule="auto"/>
              <w:rPr>
                <w:color w:val="00B0F0"/>
                <w:sz w:val="16"/>
                <w:szCs w:val="16"/>
                <w:lang w:val="en-GB"/>
              </w:rPr>
            </w:pPr>
            <w:r w:rsidRPr="000D4DD1">
              <w:rPr>
                <w:sz w:val="16"/>
                <w:szCs w:val="16"/>
                <w:lang w:val="en-GB"/>
              </w:rPr>
              <w:t>Cruise ships</w:t>
            </w:r>
          </w:p>
        </w:tc>
        <w:tc>
          <w:tcPr>
            <w:tcW w:w="1965" w:type="dxa"/>
            <w:vAlign w:val="center"/>
          </w:tcPr>
          <w:p w14:paraId="2BC9F6B2" w14:textId="77777777" w:rsidR="009C048B" w:rsidRPr="000D4DD1" w:rsidRDefault="009C048B" w:rsidP="00CE66A3">
            <w:pPr>
              <w:spacing w:line="360" w:lineRule="auto"/>
              <w:rPr>
                <w:sz w:val="16"/>
                <w:szCs w:val="16"/>
                <w:lang w:val="en-GB"/>
              </w:rPr>
            </w:pPr>
            <w:r w:rsidRPr="000D4DD1">
              <w:rPr>
                <w:sz w:val="16"/>
                <w:szCs w:val="16"/>
                <w:lang w:val="en-GB"/>
              </w:rPr>
              <w:t>Exogenous</w:t>
            </w:r>
          </w:p>
        </w:tc>
      </w:tr>
      <w:tr w:rsidR="009C048B" w:rsidRPr="000D4DD1" w14:paraId="25EC2BB8" w14:textId="77777777" w:rsidTr="000D4DD1">
        <w:trPr>
          <w:trHeight w:val="284"/>
          <w:jc w:val="center"/>
        </w:trPr>
        <w:tc>
          <w:tcPr>
            <w:tcW w:w="2428" w:type="dxa"/>
            <w:vAlign w:val="center"/>
          </w:tcPr>
          <w:p w14:paraId="59D859D5" w14:textId="77777777" w:rsidR="009C048B" w:rsidRPr="000D4DD1" w:rsidRDefault="009C048B" w:rsidP="00CE66A3">
            <w:pPr>
              <w:spacing w:line="360" w:lineRule="auto"/>
              <w:rPr>
                <w:sz w:val="16"/>
                <w:szCs w:val="16"/>
                <w:lang w:val="en-GB"/>
              </w:rPr>
            </w:pPr>
            <w:r w:rsidRPr="000D4DD1">
              <w:rPr>
                <w:sz w:val="16"/>
                <w:szCs w:val="16"/>
                <w:lang w:val="en-GB"/>
              </w:rPr>
              <w:t>Other</w:t>
            </w:r>
          </w:p>
        </w:tc>
        <w:tc>
          <w:tcPr>
            <w:tcW w:w="2238" w:type="dxa"/>
            <w:vAlign w:val="center"/>
          </w:tcPr>
          <w:p w14:paraId="5BFB199E" w14:textId="77777777" w:rsidR="009C048B" w:rsidRPr="000D4DD1" w:rsidRDefault="009C048B" w:rsidP="00CE66A3">
            <w:pPr>
              <w:spacing w:line="360" w:lineRule="auto"/>
              <w:rPr>
                <w:sz w:val="16"/>
                <w:szCs w:val="16"/>
                <w:lang w:val="en-GB"/>
              </w:rPr>
            </w:pPr>
            <w:r w:rsidRPr="000D4DD1">
              <w:rPr>
                <w:sz w:val="16"/>
                <w:szCs w:val="16"/>
                <w:lang w:val="en-GB"/>
              </w:rPr>
              <w:t>Bulk carriers</w:t>
            </w:r>
          </w:p>
        </w:tc>
        <w:tc>
          <w:tcPr>
            <w:tcW w:w="1965" w:type="dxa"/>
            <w:vAlign w:val="center"/>
          </w:tcPr>
          <w:p w14:paraId="4B12A90D" w14:textId="77777777" w:rsidR="009C048B" w:rsidRPr="000D4DD1" w:rsidRDefault="009C048B" w:rsidP="00CE66A3">
            <w:pPr>
              <w:spacing w:line="360" w:lineRule="auto"/>
              <w:rPr>
                <w:sz w:val="16"/>
                <w:szCs w:val="16"/>
                <w:lang w:val="en-GB"/>
              </w:rPr>
            </w:pPr>
            <w:r w:rsidRPr="000D4DD1">
              <w:rPr>
                <w:sz w:val="16"/>
                <w:szCs w:val="16"/>
                <w:lang w:val="en-GB"/>
              </w:rPr>
              <w:t>Exogenous</w:t>
            </w:r>
          </w:p>
        </w:tc>
      </w:tr>
    </w:tbl>
    <w:p w14:paraId="05A6CCCC" w14:textId="77777777" w:rsidR="008148F1" w:rsidRDefault="008148F1" w:rsidP="009C048B">
      <w:pPr>
        <w:spacing w:line="360" w:lineRule="auto"/>
        <w:jc w:val="both"/>
        <w:rPr>
          <w:lang w:val="en-GB"/>
        </w:rPr>
      </w:pPr>
    </w:p>
    <w:p w14:paraId="2DDA8377" w14:textId="51F5A7E7" w:rsidR="009C048B" w:rsidRDefault="009C048B" w:rsidP="009C048B">
      <w:pPr>
        <w:spacing w:line="360" w:lineRule="auto"/>
        <w:jc w:val="both"/>
        <w:rPr>
          <w:lang w:val="en-GB"/>
        </w:rPr>
      </w:pPr>
      <w:r>
        <w:rPr>
          <w:lang w:val="en-GB"/>
        </w:rPr>
        <w:t>The energy modelling of ships is based on actual Energy Efficiency Operational Index (EEOI) values from the 4</w:t>
      </w:r>
      <w:r w:rsidRPr="008F0ED3">
        <w:rPr>
          <w:vertAlign w:val="superscript"/>
          <w:lang w:val="en-GB"/>
        </w:rPr>
        <w:t>th</w:t>
      </w:r>
      <w:r>
        <w:rPr>
          <w:lang w:val="en-GB"/>
        </w:rPr>
        <w:t xml:space="preserve"> IMO GHG inventory</w:t>
      </w:r>
      <w:r>
        <w:rPr>
          <w:lang w:val="en-GB"/>
        </w:rPr>
        <w:fldChar w:fldCharType="begin" w:fldLock="1"/>
      </w:r>
      <w:r w:rsidR="007C2055">
        <w:rPr>
          <w:lang w:val="en-GB"/>
        </w:rPr>
        <w:instrText>ADDIN CSL_CITATION {"citationItems":[{"id":"ITEM-1","itemData":{"author":[{"dropping-particle":"","family":"Faber","given":"Jasper","non-dropping-particle":"","parse-names":false,"suffix":""},{"dropping-particle":"","family":"Hanayama","given":"Shinchi","non-dropping-particle":"","parse-names":false,"suffix":""},{"dropping-particle":"","family":"Zhang","given":"Shuang","non-dropping-particle":"","parse-names":false,"suffix":""},{"dropping-particle":"","family":"Pereda","given":"P","non-dropping-particle":"","parse-names":false,"suffix":""},{"dropping-particle":"","family":"Comer","given":"Bryan","non-dropping-particle":"","parse-names":false,"suffix":""},{"dropping-particle":"","family":"Hauerhof","given":"E","non-dropping-particle":"","parse-names":false,"suffix":""},{"dropping-particle":"","family":"Loeff","given":"W S","non-dropping-particle":"van der","parse-names":false,"suffix":""},{"dropping-particle":"","family":"Smith","given":"Tristan","non-dropping-particle":"","parse-names":false,"suffix":""},{"dropping-particle":"","family":"Zhang","given":"Yan","non-dropping-particle":"","parse-names":false,"suffix":""},{"dropping-particle":"","family":"Kosaka","given":"Hiroyuko","non-dropping-particle":"","parse-names":false,"suffix":""}],"container-title":"International Maritime Organization","id":"ITEM-1","issued":{"date-parts":[["2021"]]},"number-of-pages":"524","publisher-place":"London, UK","title":"Fourth IMO GHG Report","type":"report"},"uris":["http://www.mendeley.com/documents/?uuid=119dfaaa-d29a-4ab1-8c2d-901ca13aa71e"]}],"mendeley":{"formattedCitation":"&lt;sup&gt;8&lt;/sup&gt;","plainTextFormattedCitation":"8","previouslyFormattedCitation":"&lt;sup&gt;8&lt;/sup&gt;"},"properties":{"noteIndex":0},"schema":"https://github.com/citation-style-language/schema/raw/master/csl-citation.json"}</w:instrText>
      </w:r>
      <w:r>
        <w:rPr>
          <w:lang w:val="en-GB"/>
        </w:rPr>
        <w:fldChar w:fldCharType="separate"/>
      </w:r>
      <w:r w:rsidRPr="00490D7D">
        <w:rPr>
          <w:noProof/>
          <w:vertAlign w:val="superscript"/>
          <w:lang w:val="en-GB"/>
        </w:rPr>
        <w:t>8</w:t>
      </w:r>
      <w:r>
        <w:rPr>
          <w:lang w:val="en-GB"/>
        </w:rPr>
        <w:fldChar w:fldCharType="end"/>
      </w:r>
      <w:r>
        <w:rPr>
          <w:lang w:val="en-GB"/>
        </w:rPr>
        <w:t xml:space="preserve">. Combined with emission factors of conventional fuels, EEOI values </w:t>
      </w:r>
      <w:r>
        <w:rPr>
          <w:lang w:val="en-GB"/>
        </w:rPr>
        <w:lastRenderedPageBreak/>
        <w:t>can provide an estimation of engine brake energy per transport work (kWh/t-nm) for different cargoes/ship types. Combined with information on shipping distances and costs, these values allow the modelling of ten illustrative vessel motorizations. Each of these motorizations can work with specific fuels. In their turn, these fuels are divided into eight groups (bunker-like, diesel-like, ethanol, methanol, LNG, LPG, ammonia, and hydrogen). Like the rest of the energy system, the production of these fuels is modelled in the 18 regions of the COFFEE model. Most groups consist of fuels that can originate from either fossil or renewable sources.</w:t>
      </w:r>
    </w:p>
    <w:p w14:paraId="32F243AC" w14:textId="77777777" w:rsidR="009C048B" w:rsidRDefault="009C048B" w:rsidP="009C048B">
      <w:pPr>
        <w:pStyle w:val="HollandsSpoor2"/>
      </w:pPr>
      <w:r>
        <w:t xml:space="preserve"> IMACLIM-R</w:t>
      </w:r>
    </w:p>
    <w:p w14:paraId="131AF65A" w14:textId="77777777" w:rsidR="009C048B" w:rsidRDefault="009C048B" w:rsidP="009C048B">
      <w:pPr>
        <w:pStyle w:val="HollandsSpoor3"/>
        <w:spacing w:line="276" w:lineRule="auto"/>
      </w:pPr>
      <w:r>
        <w:t>General</w:t>
      </w:r>
    </w:p>
    <w:p w14:paraId="0C699E82" w14:textId="5F5EC0E5" w:rsidR="009C048B" w:rsidRDefault="009C048B" w:rsidP="009C048B">
      <w:pPr>
        <w:spacing w:before="240" w:after="240" w:line="360" w:lineRule="auto"/>
        <w:jc w:val="both"/>
        <w:rPr>
          <w:lang w:val="en-GB"/>
        </w:rPr>
      </w:pPr>
      <w:r w:rsidRPr="00981863">
        <w:rPr>
          <w:rFonts w:eastAsia="Times New Roman" w:cs="Arial"/>
          <w:lang w:val="en-GB" w:eastAsia="es-CL"/>
        </w:rPr>
        <w:t xml:space="preserve">IMACLIM-R is a </w:t>
      </w:r>
      <w:r w:rsidRPr="00981863">
        <w:rPr>
          <w:rFonts w:eastAsia="Times New Roman" w:cs="Arial"/>
          <w:b/>
          <w:lang w:val="en-GB" w:eastAsia="es-CL"/>
        </w:rPr>
        <w:t>multi-sectoral Computable General Equilibrium (CGE) model</w:t>
      </w:r>
      <w:r w:rsidRPr="00981863">
        <w:rPr>
          <w:rFonts w:eastAsia="Times New Roman" w:cs="Arial"/>
          <w:lang w:val="en-GB" w:eastAsia="es-CL"/>
        </w:rPr>
        <w:t xml:space="preserve">, hybrid with bottom-up sectoral modules (fossil fuel extraction, electricity, buildings, and transport). It represents the global economy as a set of 12 interconnected regional and national economies, each composed of 12 production sectors (also connected by input-output and trade links). </w:t>
      </w:r>
      <w:r w:rsidRPr="00981863">
        <w:rPr>
          <w:lang w:val="en-GB"/>
        </w:rPr>
        <w:t xml:space="preserve">It is primarily based on macroeconomic theory and draws inspiration from the Arrow-Debreu model, specifically regarding its emphasis on equilibria. </w:t>
      </w:r>
      <w:r w:rsidRPr="00981863">
        <w:rPr>
          <w:rFonts w:eastAsia="Times New Roman" w:cs="Arial"/>
          <w:lang w:val="en-GB" w:eastAsia="es-CL"/>
        </w:rPr>
        <w:t>It features consistent input-output accounting of both economic and physical energy flows</w:t>
      </w:r>
      <w:r w:rsidRPr="00981863">
        <w:rPr>
          <w:lang w:val="en-GB"/>
        </w:rPr>
        <w:t>, achieved by reconciling energy balances and national accounting data.</w:t>
      </w:r>
      <w:r w:rsidRPr="00981863">
        <w:rPr>
          <w:rFonts w:eastAsia="Times New Roman" w:cs="Arial"/>
          <w:lang w:val="en-GB" w:eastAsia="es-CL"/>
        </w:rPr>
        <w:t xml:space="preserve"> The model simulates dynamic trajectories in yearly steps through the recursive and hard-linked succession of static macroeconomic equilibria and bottom-up sectoral modules. It explicitly represents the constraints affecting technical flexibilities and their interplay with macroeconomic trajectories by describing economic patterns in a world with market imperfections, partial use of production factors (labour and capital) and imperfect expectations for investment decisions. Within macroeconomic equilibria, </w:t>
      </w:r>
      <w:r w:rsidRPr="00981863">
        <w:rPr>
          <w:lang w:val="en-GB"/>
        </w:rPr>
        <w:t>a representative household in each regional economy aims to maximize its utility while considering economic and time budget constraints. To meet demand, productive sectors operate under short-term technical and productive capacity limitations. Between two economic equilibria, bottom-up modules use explicit technologies for the electricity and transport sectors to simulate technical adjustments to demand and price changes, considering imperfect foresight. The model utilizes a bottom-up approach for the representation of different power-producing technologies in the electricity sector, while energy-related technologies for buildings and road transport are taken into account on the demand side</w:t>
      </w:r>
      <w:r>
        <w:rPr>
          <w:lang w:val="en-GB"/>
        </w:rPr>
        <w:fldChar w:fldCharType="begin" w:fldLock="1"/>
      </w:r>
      <w:r w:rsidR="007C2055">
        <w:rPr>
          <w:lang w:val="en-GB"/>
        </w:rPr>
        <w:instrText>ADDIN CSL_CITATION {"citationItems":[{"id":"ITEM-1","itemData":{"DOI":"10.1007/s10584-011-0387-z","ISSN":"1573-1480","abstract":"This paper analyzes the transition costs of moving towards a low carbon society when the second-best nature of the economy is accounted for. We emphasize the consequences on mitigation costs of considering the interplay between a) technical systems inertia, including slow infrastructure turnover in transportation and construction; and b) imperfect foresight influencing investment decisions. To this end, the hybrid general equilibrium modeling framework Imaclim-R is employed as it allows for transitory partial adjustments of the economy and captures their impact on the dynamics of economic growth. The modeling exercise quantitatively emphasizes the a) specific risks that the interplay between inertia and imperfect foresight leads to high macroeconomic costs of carbon abatement measures; b) opportunities of co-benefits from climate policies permitted by the correction of sub-optimalities in the reference scenarios. The article draws insights for the framing of future climate architectures by studying the role of measures that act complementarily to carbon pricing in the transport sector. In particular, reallocating public investment towards low-carbon transport infrastructure significantly reduces the overall macroeconomic costs of a given GHG stabilization target and even creates the room for long-term net economic benefits from climate policies.","author":[{"dropping-particle":"","family":"Waisman","given":"Henri","non-dropping-particle":"","parse-names":false,"suffix":""},{"dropping-particle":"","family":"Guivarch","given":"Céline","non-dropping-particle":"","parse-names":false,"suffix":""},{"dropping-particle":"","family":"Grazi","given":"Fabio","non-dropping-particle":"","parse-names":false,"suffix":""},{"dropping-particle":"","family":"Hourcade","given":"Jean Charles","non-dropping-particle":"","parse-names":false,"suffix":""}],"container-title":"Climatic Change","id":"ITEM-1","issue":"1","issued":{"date-parts":[["2012"]]},"page":"101-120","title":"The Imaclim-R model: infrastructures, technical inertia and the costs of low carbon futures under imperfect foresight","type":"article-journal","volume":"114"},"uris":["http://www.mendeley.com/documents/?uuid=f077db2c-b2cb-4467-be67-42beb38c90d2"]},{"id":"ITEM-2","itemData":{"DOI":"10.1007/s12053-018-9682-0","ISSN":"1570-6478","abstract":"Achieving an emission pathway that would be compatible with limiting the global temperature increase to 1.5 °C compared with pre-industrial levels would require unprecedented changes in the economy and energy use and supply. This paper describes how such a transition may impact the dynamics of sectoral emissions. We compare contrasted global scenarios in terms of the date of emission peaks, energy efficiency, availability of low-carbon energy technologies, and fossil fuels, using the global integrated assessment model IMACLIM-R. The results suggest that it is impossible to delay the peak of global emissions until 2030 while remaining on a path compatible with the 1.5 °C objective. We show that stringent policies in energy-demand sectors—industry and transportation especially—are needed in the short run to trigger an immediate peak of global emissions and increase the probability to meet the 1.5 °C objective. Such sector-specific policies would contribute to lowering energy demand and would reduce the level of the carbon price required to reach the same temperature objective. Bringing forward the peak of global emissions does not lead to a homothetic adjustment of all sectoral emission pathways: an early peak of global emissions implies the fast decarbonization of the electricity sector and early emission reductions in energy-demand sectors—mainly industry and transportation.","author":[{"dropping-particle":"","family":"Méjean","given":"Aurélie","non-dropping-particle":"","parse-names":false,"suffix":""},{"dropping-particle":"","family":"Guivarch","given":"Céline","non-dropping-particle":"","parse-names":false,"suffix":""},{"dropping-particle":"","family":"Lefèvre","given":"Julien","non-dropping-particle":"","parse-names":false,"suffix":""},{"dropping-particle":"","family":"Hamdi-Cherif","given":"Meriem","non-dropping-particle":"","parse-names":false,"suffix":""}],"container-title":"Energy Efficiency","id":"ITEM-2","issue":"2","issued":{"date-parts":[["2019"]]},"page":"441-462","title":"The transition in energy demand sectors to limit global warming to 1.5 °C","type":"article-journal","volume":"12"},"uris":["http://www.mendeley.com/documents/?uuid=642a0d67-fc9b-42f9-846f-8d22291d3e60"]}],"mendeley":{"formattedCitation":"&lt;sup&gt;9,10&lt;/sup&gt;","plainTextFormattedCitation":"9,10","previouslyFormattedCitation":"&lt;sup&gt;9,10&lt;/sup&gt;"},"properties":{"noteIndex":0},"schema":"https://github.com/citation-style-language/schema/raw/master/csl-citation.json"}</w:instrText>
      </w:r>
      <w:r>
        <w:rPr>
          <w:lang w:val="en-GB"/>
        </w:rPr>
        <w:fldChar w:fldCharType="separate"/>
      </w:r>
      <w:r w:rsidRPr="00490D7D">
        <w:rPr>
          <w:noProof/>
          <w:vertAlign w:val="superscript"/>
          <w:lang w:val="en-GB"/>
        </w:rPr>
        <w:t>9,10</w:t>
      </w:r>
      <w:r>
        <w:rPr>
          <w:lang w:val="en-GB"/>
        </w:rPr>
        <w:fldChar w:fldCharType="end"/>
      </w:r>
      <w:r w:rsidRPr="00981863">
        <w:rPr>
          <w:lang w:val="en-GB"/>
        </w:rPr>
        <w:t>.</w:t>
      </w:r>
    </w:p>
    <w:p w14:paraId="4AF2A376" w14:textId="77777777" w:rsidR="009C048B" w:rsidRDefault="009C048B" w:rsidP="009C048B">
      <w:pPr>
        <w:pStyle w:val="HollandsSpoor3"/>
      </w:pPr>
      <w:r>
        <w:t>International shipping</w:t>
      </w:r>
    </w:p>
    <w:p w14:paraId="5975D596" w14:textId="543E7A90" w:rsidR="009C048B" w:rsidRDefault="009C048B" w:rsidP="009C048B">
      <w:pPr>
        <w:spacing w:before="240" w:after="240" w:line="360" w:lineRule="auto"/>
        <w:jc w:val="both"/>
        <w:rPr>
          <w:lang w:val="en-GB"/>
        </w:rPr>
      </w:pPr>
      <w:r w:rsidRPr="00981863">
        <w:rPr>
          <w:lang w:val="en-GB"/>
        </w:rPr>
        <w:t xml:space="preserve">The IMACLIM-R model represents the dynamics of the </w:t>
      </w:r>
      <w:r w:rsidRPr="00981863">
        <w:rPr>
          <w:b/>
          <w:lang w:val="en-GB"/>
        </w:rPr>
        <w:t>maritime sector</w:t>
      </w:r>
      <w:r w:rsidRPr="00981863">
        <w:rPr>
          <w:lang w:val="en-GB"/>
        </w:rPr>
        <w:t xml:space="preserve"> through several distinct processes. Firstly, freight demand is influenced by international trade volumes of physical goods, </w:t>
      </w:r>
      <w:r w:rsidRPr="00981863">
        <w:rPr>
          <w:lang w:val="en-GB"/>
        </w:rPr>
        <w:lastRenderedPageBreak/>
        <w:t>particularly industrial and energy goods, which are determined by the structure of the world economy (including the degree of openness and distribution of production and consumption poles). Additionally, the price of freight transport, which is strongly influenced by energy carrier prices and energy efficiency, also affects freight demand. The technological advancement of the maritime fleet, such as the energy sources used and energy efficiency, is mainly determined by the relative prices of energy, including carbon taxation, and exogenous hypotheses for energy efficiency improvements. The current version of the model considers two types of energy carriers: conventional marine fuels and synthetic drop-in biofuels</w:t>
      </w:r>
      <w:r>
        <w:rPr>
          <w:lang w:val="en-GB"/>
        </w:rPr>
        <w:fldChar w:fldCharType="begin" w:fldLock="1"/>
      </w:r>
      <w:r w:rsidR="007C2055">
        <w:rPr>
          <w:lang w:val="en-GB"/>
        </w:rPr>
        <w:instrText>ADDIN CSL_CITATION {"citationItems":[{"id":"ITEM-1","itemData":{"DOI":"10.1007/s10584-011-0387-z","ISSN":"1573-1480","abstract":"This paper analyzes the transition costs of moving towards a low carbon society when the second-best nature of the economy is accounted for. We emphasize the consequences on mitigation costs of considering the interplay between a) technical systems inertia, including slow infrastructure turnover in transportation and construction; and b) imperfect foresight influencing investment decisions. To this end, the hybrid general equilibrium modeling framework Imaclim-R is employed as it allows for transitory partial adjustments of the economy and captures their impact on the dynamics of economic growth. The modeling exercise quantitatively emphasizes the a) specific risks that the interplay between inertia and imperfect foresight leads to high macroeconomic costs of carbon abatement measures; b) opportunities of co-benefits from climate policies permitted by the correction of sub-optimalities in the reference scenarios. The article draws insights for the framing of future climate architectures by studying the role of measures that act complementarily to carbon pricing in the transport sector. In particular, reallocating public investment towards low-carbon transport infrastructure significantly reduces the overall macroeconomic costs of a given GHG stabilization target and even creates the room for long-term net economic benefits from climate policies.","author":[{"dropping-particle":"","family":"Waisman","given":"Henri","non-dropping-particle":"","parse-names":false,"suffix":""},{"dropping-particle":"","family":"Guivarch","given":"Céline","non-dropping-particle":"","parse-names":false,"suffix":""},{"dropping-particle":"","family":"Grazi","given":"Fabio","non-dropping-particle":"","parse-names":false,"suffix":""},{"dropping-particle":"","family":"Hourcade","given":"Jean Charles","non-dropping-particle":"","parse-names":false,"suffix":""}],"container-title":"Climatic Change","id":"ITEM-1","issue":"1","issued":{"date-parts":[["2012"]]},"page":"101-120","title":"The Imaclim-R model: infrastructures, technical inertia and the costs of low carbon futures under imperfect foresight","type":"article-journal","volume":"114"},"uris":["http://www.mendeley.com/documents/?uuid=f077db2c-b2cb-4467-be67-42beb38c90d2"]},{"id":"ITEM-2","itemData":{"DOI":"10.1007/s12053-018-9682-0","ISSN":"1570-6478","abstract":"Achieving an emission pathway that would be compatible with limiting the global temperature increase to 1.5 °C compared with pre-industrial levels would require unprecedented changes in the economy and energy use and supply. This paper describes how such a transition may impact the dynamics of sectoral emissions. We compare contrasted global scenarios in terms of the date of emission peaks, energy efficiency, availability of low-carbon energy technologies, and fossil fuels, using the global integrated assessment model IMACLIM-R. The results suggest that it is impossible to delay the peak of global emissions until 2030 while remaining on a path compatible with the 1.5 °C objective. We show that stringent policies in energy-demand sectors—industry and transportation especially—are needed in the short run to trigger an immediate peak of global emissions and increase the probability to meet the 1.5 °C objective. Such sector-specific policies would contribute to lowering energy demand and would reduce the level of the carbon price required to reach the same temperature objective. Bringing forward the peak of global emissions does not lead to a homothetic adjustment of all sectoral emission pathways: an early peak of global emissions implies the fast decarbonization of the electricity sector and early emission reductions in energy-demand sectors—mainly industry and transportation.","author":[{"dropping-particle":"","family":"Méjean","given":"Aurélie","non-dropping-particle":"","parse-names":false,"suffix":""},{"dropping-particle":"","family":"Guivarch","given":"Céline","non-dropping-particle":"","parse-names":false,"suffix":""},{"dropping-particle":"","family":"Lefèvre","given":"Julien","non-dropping-particle":"","parse-names":false,"suffix":""},{"dropping-particle":"","family":"Hamdi-Cherif","given":"Meriem","non-dropping-particle":"","parse-names":false,"suffix":""}],"container-title":"Energy Efficiency","id":"ITEM-2","issue":"2","issued":{"date-parts":[["2019"]]},"page":"441-462","title":"The transition in energy demand sectors to limit global warming to 1.5 °C","type":"article-journal","volume":"12"},"uris":["http://www.mendeley.com/documents/?uuid=642a0d67-fc9b-42f9-846f-8d22291d3e60"]}],"mendeley":{"formattedCitation":"&lt;sup&gt;9,10&lt;/sup&gt;","plainTextFormattedCitation":"9,10","previouslyFormattedCitation":"&lt;sup&gt;9,10&lt;/sup&gt;"},"properties":{"noteIndex":0},"schema":"https://github.com/citation-style-language/schema/raw/master/csl-citation.json"}</w:instrText>
      </w:r>
      <w:r>
        <w:rPr>
          <w:lang w:val="en-GB"/>
        </w:rPr>
        <w:fldChar w:fldCharType="separate"/>
      </w:r>
      <w:r w:rsidRPr="00490D7D">
        <w:rPr>
          <w:noProof/>
          <w:vertAlign w:val="superscript"/>
          <w:lang w:val="en-GB"/>
        </w:rPr>
        <w:t>9,10</w:t>
      </w:r>
      <w:r>
        <w:rPr>
          <w:lang w:val="en-GB"/>
        </w:rPr>
        <w:fldChar w:fldCharType="end"/>
      </w:r>
      <w:r w:rsidRPr="00981863">
        <w:rPr>
          <w:lang w:val="en-GB"/>
        </w:rPr>
        <w:t>.</w:t>
      </w:r>
    </w:p>
    <w:p w14:paraId="188FAEAA" w14:textId="77777777" w:rsidR="009C048B" w:rsidRDefault="009C048B" w:rsidP="009C048B">
      <w:pPr>
        <w:pStyle w:val="HollandsSpoor2"/>
      </w:pPr>
      <w:r>
        <w:t xml:space="preserve"> IMAGE</w:t>
      </w:r>
    </w:p>
    <w:p w14:paraId="5B2C7B0F" w14:textId="77777777" w:rsidR="009C048B" w:rsidRDefault="009C048B" w:rsidP="009C048B">
      <w:pPr>
        <w:pStyle w:val="HollandsSpoor3"/>
        <w:spacing w:line="276" w:lineRule="auto"/>
      </w:pPr>
      <w:r>
        <w:t>General</w:t>
      </w:r>
    </w:p>
    <w:p w14:paraId="5479DD58" w14:textId="08DB0409" w:rsidR="009C048B" w:rsidRDefault="009C048B" w:rsidP="009C048B">
      <w:pPr>
        <w:spacing w:line="360" w:lineRule="auto"/>
        <w:jc w:val="both"/>
        <w:rPr>
          <w:lang w:val="en-GB"/>
        </w:rPr>
      </w:pPr>
      <w:r w:rsidRPr="00981863">
        <w:rPr>
          <w:lang w:val="en-GB"/>
        </w:rPr>
        <w:t>IMAGE (Integrated Model to Assess the Global Environment) is a process-oriented integrated assessment model (IAM), providing an intermediate complexity representation of human and earth systems. The key components of the human system that largely contribute to greenhouse gas emissions are the energy system and the agricultural and land systems. The main drivers for the human system are demographic, economic, and technological developments, as well as resource availability, lifestyle changes and policy. For the earth system, the modelling framework is used to describe land cover, crop growth, carbon and water cycles and climate. The human and earth systems are interconnected by emissions and land use. The socio-economic processes and most of the human system parameters are described at the level of 26 world regions, while the earth system is modelled on a 5x5 minute grid for land use and land-use changes and on a 30x30 minute grid for plant growth and the carbon and water cycles. IMAGE operates in annual time steps and, as such, is suitable for long-term climate mitigation assessments up to 2100</w:t>
      </w:r>
      <w:r>
        <w:rPr>
          <w:lang w:val="en-GB"/>
        </w:rPr>
        <w:fldChar w:fldCharType="begin" w:fldLock="1"/>
      </w:r>
      <w:r w:rsidR="007C2055">
        <w:rPr>
          <w:lang w:val="en-GB"/>
        </w:rPr>
        <w:instrText>ADDIN CSL_CITATION {"citationItems":[{"id":"ITEM-1","itemData":{"URL":"https://www.iamcdocumentation.eu/index.php/Model_Documentation_-_IMAGE","author":[{"dropping-particle":"","family":"IAMC","given":"","non-dropping-particle":"","parse-names":false,"suffix":""}],"id":"ITEM-1","issued":{"date-parts":[["2023"]]},"title":"Model Documentation - IMAGE","type":"webpage"},"uris":["http://www.mendeley.com/documents/?uuid=5f0fbd18-e8d9-4117-bf39-9547c5c9731b"]}],"mendeley":{"formattedCitation":"&lt;sup&gt;11&lt;/sup&gt;","plainTextFormattedCitation":"11","previouslyFormattedCitation":"&lt;sup&gt;11&lt;/sup&gt;"},"properties":{"noteIndex":0},"schema":"https://github.com/citation-style-language/schema/raw/master/csl-citation.json"}</w:instrText>
      </w:r>
      <w:r>
        <w:rPr>
          <w:lang w:val="en-GB"/>
        </w:rPr>
        <w:fldChar w:fldCharType="separate"/>
      </w:r>
      <w:r w:rsidRPr="00490D7D">
        <w:rPr>
          <w:noProof/>
          <w:vertAlign w:val="superscript"/>
          <w:lang w:val="en-GB"/>
        </w:rPr>
        <w:t>11</w:t>
      </w:r>
      <w:r>
        <w:rPr>
          <w:lang w:val="en-GB"/>
        </w:rPr>
        <w:fldChar w:fldCharType="end"/>
      </w:r>
      <w:r w:rsidRPr="00981863">
        <w:rPr>
          <w:lang w:val="en-GB"/>
        </w:rPr>
        <w:t>.</w:t>
      </w:r>
    </w:p>
    <w:p w14:paraId="622D4C36" w14:textId="77777777" w:rsidR="009C048B" w:rsidRDefault="009C048B" w:rsidP="009C048B">
      <w:pPr>
        <w:spacing w:line="360" w:lineRule="auto"/>
        <w:jc w:val="both"/>
        <w:rPr>
          <w:lang w:val="en-GB"/>
        </w:rPr>
      </w:pPr>
      <w:r w:rsidRPr="00981863">
        <w:rPr>
          <w:lang w:val="en-GB"/>
        </w:rPr>
        <w:t xml:space="preserve">The IMage Energy Regional (TIMER) model has been developed to explore scenarios for the energy system in the broader context of the IMAGE framework. TIMER describes 12 primary energy carriers in 26 world regions and is used to analyse long term trends in energy demand and supply in the context of the sustainable development challenges. The model simulates long-term trends in energy use, issues related to depletion, energy-related greenhouse gas and other air polluting emissions, together with land-use demand for energy crops. Based on historical trends, the demand for travel, housing, and specific materials described and related to regional economic and price developments, cultural factors, and demographic development. These services can be provided or produced in various ways, depending on resource availability, technology development, operation, and availability, amongst other things. The focus is on dynamic relationships in the energy system, such as inertia and learning-by-doing in capital stocks, depletion of the resource base and trade between regions. Like other </w:t>
      </w:r>
      <w:r w:rsidRPr="00981863">
        <w:rPr>
          <w:lang w:val="en-GB"/>
        </w:rPr>
        <w:lastRenderedPageBreak/>
        <w:t xml:space="preserve">IMAGE components, TIMER is a simulation model. The results obtained depend on a single set of deterministic algorithms, according to which the system state in any future year is derived entirely from previous system states. </w:t>
      </w:r>
    </w:p>
    <w:p w14:paraId="7ED1AC40" w14:textId="77777777" w:rsidR="009C048B" w:rsidRPr="002461B6" w:rsidRDefault="009C048B" w:rsidP="009C048B">
      <w:pPr>
        <w:pStyle w:val="HollandsSpoor3"/>
      </w:pPr>
      <w:r>
        <w:t>International shipping</w:t>
      </w:r>
    </w:p>
    <w:p w14:paraId="4CC9FE06" w14:textId="108CEFB7" w:rsidR="009C048B" w:rsidRDefault="009C048B" w:rsidP="009C048B">
      <w:pPr>
        <w:spacing w:line="360" w:lineRule="auto"/>
        <w:jc w:val="both"/>
        <w:rPr>
          <w:lang w:val="en-GB"/>
        </w:rPr>
      </w:pPr>
      <w:r w:rsidRPr="00981863">
        <w:rPr>
          <w:lang w:val="en-GB"/>
        </w:rPr>
        <w:t>The transport submodule consists of two parts – passenger and freight transport. Passenger transport modes include buses, bicycles, motorcycles, walking, trains, passenger vehicles and aircraft, and which mode people choose may depend on personal preferences, as well as on costs. If, for example, air travel would become more expensive due to the implementation of air passenger tax, or conversely would become cheaper due to technological developments, the kilometres travelled by air may decrease or increase, respectively. The freight transport submodule has a simpler structure. Service demand is projected with constant elasticity of the industry value added for each freight transport mode. In addition, demand sensitivity to transport prices is considered for each mode, depending on its share of energy costs in the total service costs. There are six freight transport modes: international shipping, domestic shipping, train, heavy truck, medium truck, and aircraft. In both passenger and freight submodules, vehicles with different energy efficiencies, costs, and fuel type characteristics, compete based on preferences and total passenger-kilometre costs, using a multinomial logit equation. These substitution processes describe the price induced energy efficiency changes. Over time efficient technologies become more competitive due to exogenous assumed decrease in cost, representing the autonomous induced energy efficiency. The efficiency of the transport fleet is determined by a weighted average of the full fleet (a vintage model, giving an explicit description of the efficiency in all single years). As each type of vehicle is assumed to use only one (or in case of a hybrid vehicle two) fuel type, this process also describes the fuel selection</w:t>
      </w:r>
      <w:r>
        <w:rPr>
          <w:lang w:val="en-GB"/>
        </w:rPr>
        <w:fldChar w:fldCharType="begin" w:fldLock="1"/>
      </w:r>
      <w:r w:rsidR="007C2055">
        <w:rPr>
          <w:lang w:val="en-GB"/>
        </w:rPr>
        <w:instrText>ADDIN CSL_CITATION {"citationItems":[{"id":"ITEM-1","itemData":{"author":[{"dropping-particle":"","family":"Edelenbosch","given":"Oreane Y","non-dropping-particle":"","parse-names":false,"suffix":""},{"dropping-particle":"","family":"Berg","given":"Maarten","non-dropping-particle":"van den","parse-names":false,"suffix":""},{"dropping-particle":"","family":"Boer","given":"Harmen-Sytze","non-dropping-particle":"de","parse-names":false,"suffix":""},{"dropping-particle":"","family":"Chen","given":"HsingHsuan","non-dropping-particle":"","parse-names":false,"suffix":""},{"dropping-particle":"","family":"Daioglou","given":"Vassilis","non-dropping-particle":"","parse-names":false,"suffix":""},{"dropping-particle":"","family":"Dekker","given":"Mark","non-dropping-particle":"","parse-names":false,"suffix":""},{"dropping-particle":"","family":"Doelman","given":"Jonathan","non-dropping-particle":"","parse-names":false,"suffix":""},{"dropping-particle":"","family":"Elzen","given":"Michel","non-dropping-particle":"den","parse-names":false,"suffix":""},{"dropping-particle":"","family":"Frinking","given":"Valentijn","non-dropping-particle":"","parse-names":false,"suffix":""},{"dropping-particle":"","family":"Harmsen","given":"Mathijs","non-dropping-particle":"","parse-names":false,"suffix":""},{"dropping-particle":"","family":"Hof","given":"Andries F","non-dropping-particle":"","parse-names":false,"suffix":""},{"dropping-particle":"","family":"Mikropoulos","given":"Efstratios","non-dropping-particle":"","parse-names":false,"suffix":""},{"dropping-particle":"","family":"Sluisveld","given":"Mariësse","non-dropping-particle":"van","parse-names":false,"suffix":""},{"dropping-particle":"","family":"Tagomori","given":"Isabela S.","non-dropping-particle":"","parse-names":false,"suffix":""},{"dropping-particle":"","family":"Vuuren","given":"Detlef P.","non-dropping-particle":"van","parse-names":false,"suffix":""}],"id":"ITEM-1","issued":{"date-parts":[["2022"]]},"number-of-pages":"69","title":"Mitigating greenhouse gas emissions in hard-to-abate sectors","type":"report"},"uris":["http://www.mendeley.com/documents/?uuid=01c2f088-bbe3-4e68-8e0b-233888a89f1a"]}],"mendeley":{"formattedCitation":"&lt;sup&gt;12&lt;/sup&gt;","plainTextFormattedCitation":"12","previouslyFormattedCitation":"&lt;sup&gt;12&lt;/sup&gt;"},"properties":{"noteIndex":0},"schema":"https://github.com/citation-style-language/schema/raw/master/csl-citation.json"}</w:instrText>
      </w:r>
      <w:r>
        <w:rPr>
          <w:lang w:val="en-GB"/>
        </w:rPr>
        <w:fldChar w:fldCharType="separate"/>
      </w:r>
      <w:r w:rsidRPr="00490D7D">
        <w:rPr>
          <w:noProof/>
          <w:vertAlign w:val="superscript"/>
          <w:lang w:val="en-GB"/>
        </w:rPr>
        <w:t>12</w:t>
      </w:r>
      <w:r>
        <w:rPr>
          <w:lang w:val="en-GB"/>
        </w:rPr>
        <w:fldChar w:fldCharType="end"/>
      </w:r>
      <w:r w:rsidRPr="00981863">
        <w:rPr>
          <w:lang w:val="en-GB"/>
        </w:rPr>
        <w:t>.</w:t>
      </w:r>
    </w:p>
    <w:p w14:paraId="7C22FFDF" w14:textId="77777777" w:rsidR="009C048B" w:rsidRDefault="009C048B" w:rsidP="009C048B">
      <w:pPr>
        <w:pStyle w:val="HollandsSpoor2"/>
      </w:pPr>
      <w:r>
        <w:t xml:space="preserve"> PROMETHEUS</w:t>
      </w:r>
    </w:p>
    <w:p w14:paraId="65BF0A17" w14:textId="77777777" w:rsidR="009C048B" w:rsidRDefault="009C048B" w:rsidP="009C048B">
      <w:pPr>
        <w:pStyle w:val="HollandsSpoor3"/>
        <w:spacing w:line="276" w:lineRule="auto"/>
      </w:pPr>
      <w:r>
        <w:t>General</w:t>
      </w:r>
    </w:p>
    <w:p w14:paraId="6CF30CC3" w14:textId="77777777" w:rsidR="009C048B" w:rsidRDefault="009C048B" w:rsidP="009C048B">
      <w:pPr>
        <w:spacing w:line="360" w:lineRule="auto"/>
        <w:jc w:val="both"/>
        <w:rPr>
          <w:lang w:val="en-GB"/>
        </w:rPr>
      </w:pPr>
      <w:r w:rsidRPr="00981863">
        <w:rPr>
          <w:lang w:val="en-GB"/>
        </w:rPr>
        <w:t xml:space="preserve">PROMETHEUS is a global energy system model covering in detail the complex interactions between energy demand, supply, and energy prices at the regional and global level. Its main objectives are: (1) to assess climate change mitigation pathways and low-emission strategies for the medium and long term; (2) analyse the energy system, economic, technology, and emission implications of a wide spectrum of energy and climate policy measures, differentiated by region and sector; and (3) quantify the impacts of climate policies on the evolution of global energy prices. PROMETHEUS quantifies CO2 emissions and incorporates emission abatement technologies (such as renewable energy, electric vehicles, Carbon Capture and Storage, energy efficiency, green hydrogen) and policy instruments, such as carbon pricing schemes or energy efficient standards that may differentiate by region and economic </w:t>
      </w:r>
      <w:r w:rsidRPr="00981863">
        <w:rPr>
          <w:lang w:val="en-GB"/>
        </w:rPr>
        <w:lastRenderedPageBreak/>
        <w:t>activity. The model can be used to assess energy and climate policies, as it endogenously represents detailed world and regional supply/demand dynamics and technology dynamics mechanisms focusing on low-carbon technologies (e.g., wind, solar PV, electric cars, CCS, advanced biofuels, hydrogen). PROMETHEUS is a recursive dynamic energy system simulation model. The economic decisions regarding the investment and operation of energy system are based on the current state of knowledge of parameters (costs and performance of technologies, etc.) or with a myopic anticipation of future costs and constraints. The PROMETHEUS model assumes market equilibrium, where each representative agent (e.g., energy producer or consumer) uses information on prices and makes decisions about the allocation of resources. The interactions of representative agents are governed by market dynamics with market derived prices to balance energy demand and supply in each sector (e.g., electricity production, transport, and energy industries). The regional fuel markets are integrated to form an international (global or regional) market equilibrium for crude oil, natural gas, and coal. The model produces projections of global and regional fuel prices, which depend on demand, supply, technology, and resources. PROMETHEUS is designed to provide medium- and long-term energy system projections and system restructuring up to 2050, both in the demand and the supply sides. The model produces analytical quantitative results in the form of detailed energy balances in the period 2020 to 2050 annually. The model can support impact assessment of specific energy and environment policies and measures, applied at regional and global level, including price signals, such as taxation, subsidies, technology, and energy efficiency promoting policies, RES supporting policies, environmental policies, and technology standards.</w:t>
      </w:r>
    </w:p>
    <w:p w14:paraId="433D9112" w14:textId="77777777" w:rsidR="009C048B" w:rsidRDefault="009C048B" w:rsidP="009C048B">
      <w:pPr>
        <w:pStyle w:val="HollandsSpoor3"/>
      </w:pPr>
      <w:r>
        <w:t>International shipping</w:t>
      </w:r>
    </w:p>
    <w:p w14:paraId="2BF33FAC" w14:textId="2E76C5D5" w:rsidR="009C048B" w:rsidRPr="00981863" w:rsidRDefault="009C048B" w:rsidP="009C048B">
      <w:pPr>
        <w:spacing w:line="360" w:lineRule="auto"/>
        <w:jc w:val="both"/>
        <w:rPr>
          <w:lang w:val="en-GB"/>
        </w:rPr>
      </w:pPr>
      <w:r w:rsidRPr="00981863">
        <w:rPr>
          <w:lang w:val="en-GB"/>
        </w:rPr>
        <w:t>PROMETHEUS is significantly enhanced with an improved representation of international maritime, based on more granular modelling, the inclusion of various technologies, emission reduction options and low-emission fuels, and the integration of new data and information on mitigation potentials and activity projections from recent literature. In the shipping sector, PROMETHEUS distinguishes inland navigation and international shipping; activity in the latter is split by shipping segments, i.e., dry bulk carriers, general cargo, containers, and tankers. In the latter, activity is endogenously estimated in PROMETHEUS, driven by the regional trade of fossil fuels, while in other shipping segments activity is exogenous, calculated using GEM-E3 bilateral trade projections</w:t>
      </w:r>
      <w:r>
        <w:rPr>
          <w:lang w:val="en-GB"/>
        </w:rPr>
        <w:fldChar w:fldCharType="begin" w:fldLock="1"/>
      </w:r>
      <w:r w:rsidR="007C2055">
        <w:rPr>
          <w:lang w:val="en-GB"/>
        </w:rPr>
        <w:instrText>ADDIN CSL_CITATION {"citationItems":[{"id":"ITEM-1","itemData":{"DOI":"https://doi.org/10.1016/j.techfore.2014.02.011","ISSN":"0040-1625","abstract":"Lack of consensus on an international agreement for reducing Greenhouse Gas Emissions (GHG) emissions eventually leads to asymmetric climate policies which not only increase the cost of reducing emissions but also decrease the effectiveness of the climate policy, through carbon leakage. We calculate the carbon leakage rate when EU undertakes a unilateral climate policy and we assess the importance of the competitiveness channel on carbon leakage. Our analysis is global and mirrors energy and climate policies and commitments that are currently announced at country level. The effectiveness of possible measures to mitigate carbon leakage is also evaluated and the results emphasize on the importance of the size of the group of countries participating in the GHG mitigation effort. The analysis is based on the results obtained using the GEM-E3 model, a global multi-sector and multi-country computable general equilibrium model. It is found that total carbon leakage is around 28%, over the 2015–2050 period, when the EU acts alone with moderate Armington trade substitution elasticity values; leakage rates are found to increase when assuming higher trade elasticities. The size and composition, in terms of GHG and energy intensities, of the group of regions undertaking emission reductions matter for carbon leakage. The paper finds that the leakage is significantly reduced when China joins the mitigation effort. If the USA joins the EU effort, the leakage rate drops only to 25% and if alternatively China joins the EU the leakage rate drops to 3% over the 2015–2050 period. This is attributed to both the market size of China and to the energy intensity features of its production. Chemicals and metals are industries prone to higher leakage rates.","author":[{"dropping-particle":"","family":"Paroussos","given":"Leonidas","non-dropping-particle":"","parse-names":false,"suffix":""},{"dropping-particle":"","family":"Fragkos","given":"Panagiotis","non-dropping-particle":"","parse-names":false,"suffix":""},{"dropping-particle":"","family":"Capros","given":"Pantelis","non-dropping-particle":"","parse-names":false,"suffix":""},{"dropping-particle":"","family":"Fragkiadakis","given":"Kostas","non-dropping-particle":"","parse-names":false,"suffix":""}],"container-title":"Technological Forecasting and Social Change","id":"ITEM-1","issued":{"date-parts":[["2015"]]},"page":"204-219","title":"Assessment of carbon leakage through the industry channel: The EU perspective","type":"article-journal","volume":"90"},"uris":["http://www.mendeley.com/documents/?uuid=ce58f1b2-dd97-4e21-b470-2809412cbff8"]}],"mendeley":{"formattedCitation":"&lt;sup&gt;13&lt;/sup&gt;","plainTextFormattedCitation":"13","previouslyFormattedCitation":"&lt;sup&gt;13&lt;/sup&gt;"},"properties":{"noteIndex":0},"schema":"https://github.com/citation-style-language/schema/raw/master/csl-citation.json"}</w:instrText>
      </w:r>
      <w:r>
        <w:rPr>
          <w:lang w:val="en-GB"/>
        </w:rPr>
        <w:fldChar w:fldCharType="separate"/>
      </w:r>
      <w:r w:rsidRPr="00490D7D">
        <w:rPr>
          <w:noProof/>
          <w:vertAlign w:val="superscript"/>
          <w:lang w:val="en-GB"/>
        </w:rPr>
        <w:t>13</w:t>
      </w:r>
      <w:r>
        <w:rPr>
          <w:lang w:val="en-GB"/>
        </w:rPr>
        <w:fldChar w:fldCharType="end"/>
      </w:r>
      <w:r>
        <w:rPr>
          <w:lang w:val="en-GB"/>
        </w:rPr>
        <w:t xml:space="preserve"> </w:t>
      </w:r>
      <w:r w:rsidRPr="00981863">
        <w:rPr>
          <w:lang w:val="en-GB"/>
        </w:rPr>
        <w:t>mapped into PROMETHEUS regions. The activity of tankers depends on the evolution of fossil fuel trade across regions, which is determined endogenously as part of the global energy demand and supply projections of PROMETHEUS. This allows us to analyse the linkages between domestic climate policy and international shipping through the reduction of demand and thus international trade of fossil fuels.</w:t>
      </w:r>
    </w:p>
    <w:p w14:paraId="2DDE850C" w14:textId="2BADFC5D" w:rsidR="009C048B" w:rsidRPr="00981863" w:rsidRDefault="009C048B" w:rsidP="009C048B">
      <w:pPr>
        <w:spacing w:line="360" w:lineRule="auto"/>
        <w:jc w:val="both"/>
        <w:rPr>
          <w:lang w:val="en-GB"/>
        </w:rPr>
      </w:pPr>
      <w:r w:rsidRPr="00981863">
        <w:rPr>
          <w:lang w:val="en-GB"/>
        </w:rPr>
        <w:lastRenderedPageBreak/>
        <w:t>In addition to the conventional fossil fuels (RFO, marine gas oil or LNG), new, low-emission, sustainable fuel types and clean vessel technologies are introduced in the model (e.g., biofuels, synthetic e-fuels, ammonia, hydrogen), whose uptake is triggered by ambitious climate policies and the introduction of emission or technology standards. The different technologies and fuels compete based on the evolution of their total costs, including capital, operating, fuel and carbon costs, technical efficiencies, energy densities and other characteristics (e.g., infrastructure barriers, innovation potentials). Energy efficiency is represented endogenously, based on technological improvement, operational efficiency, engine improvements, and increased energy prices. The various emission reduction options, including energy saving possibilities, speed reduction, and use of alternative low-emission fuels are introduced in the model, based on data from PRIMES-Maritime model</w:t>
      </w:r>
      <w:r>
        <w:rPr>
          <w:lang w:val="en-GB"/>
        </w:rPr>
        <w:fldChar w:fldCharType="begin" w:fldLock="1"/>
      </w:r>
      <w:r w:rsidR="007C2055">
        <w:rPr>
          <w:lang w:val="en-GB"/>
        </w:rPr>
        <w:instrText>ADDIN CSL_CITATION {"citationItems":[{"id":"ITEM-1","itemData":{"author":[{"dropping-particle":"","family":"European Commission","given":"","non-dropping-particle":"","parse-names":false,"suffix":""}],"id":"ITEM-1","issued":{"date-parts":[["2021"]]},"title":"Proposal for a Regulation of the European Parliament and of the Council on the Use of Renewable and Low-Carbon Fuels in Maritime Transport and Amending Directive","type":"report"},"uris":["http://www.mendeley.com/documents/?uuid=80853594-13f0-4446-a386-cf1df1f679cc"]}],"mendeley":{"formattedCitation":"&lt;sup&gt;14&lt;/sup&gt;","plainTextFormattedCitation":"14","previouslyFormattedCitation":"&lt;sup&gt;14&lt;/sup&gt;"},"properties":{"noteIndex":0},"schema":"https://github.com/citation-style-language/schema/raw/master/csl-citation.json"}</w:instrText>
      </w:r>
      <w:r>
        <w:rPr>
          <w:lang w:val="en-GB"/>
        </w:rPr>
        <w:fldChar w:fldCharType="separate"/>
      </w:r>
      <w:r w:rsidRPr="00490D7D">
        <w:rPr>
          <w:noProof/>
          <w:vertAlign w:val="superscript"/>
          <w:lang w:val="en-GB"/>
        </w:rPr>
        <w:t>14</w:t>
      </w:r>
      <w:r>
        <w:rPr>
          <w:lang w:val="en-GB"/>
        </w:rPr>
        <w:fldChar w:fldCharType="end"/>
      </w:r>
      <w:r w:rsidRPr="00981863">
        <w:rPr>
          <w:lang w:val="en-GB"/>
        </w:rPr>
        <w:t>, enabling PROMETHEUS to quantify the transformational dynamics in the shipping sector towards deep decarbonization.</w:t>
      </w:r>
    </w:p>
    <w:p w14:paraId="4CA2F5D9" w14:textId="77777777" w:rsidR="009C048B" w:rsidRDefault="009C048B" w:rsidP="009C048B">
      <w:pPr>
        <w:pStyle w:val="HollandsSpoor2"/>
      </w:pPr>
      <w:r>
        <w:t xml:space="preserve"> TIAM-UCL</w:t>
      </w:r>
    </w:p>
    <w:p w14:paraId="22BE7387" w14:textId="77777777" w:rsidR="009C048B" w:rsidRDefault="009C048B" w:rsidP="009C048B">
      <w:pPr>
        <w:pStyle w:val="HollandsSpoor3"/>
        <w:spacing w:line="276" w:lineRule="auto"/>
      </w:pPr>
      <w:r>
        <w:t>General</w:t>
      </w:r>
    </w:p>
    <w:p w14:paraId="7F62D8E2" w14:textId="53A698EC" w:rsidR="009C048B" w:rsidRPr="00981863" w:rsidRDefault="009C048B" w:rsidP="009C048B">
      <w:pPr>
        <w:spacing w:line="360" w:lineRule="auto"/>
        <w:jc w:val="both"/>
        <w:rPr>
          <w:lang w:val="en-GB"/>
        </w:rPr>
      </w:pPr>
      <w:r w:rsidRPr="00981863">
        <w:rPr>
          <w:lang w:val="en-GB"/>
        </w:rPr>
        <w:t>TIAM-UCL</w:t>
      </w:r>
      <w:r>
        <w:rPr>
          <w:lang w:val="en-GB"/>
        </w:rPr>
        <w:fldChar w:fldCharType="begin" w:fldLock="1"/>
      </w:r>
      <w:r w:rsidR="007C2055">
        <w:rPr>
          <w:lang w:val="en-GB"/>
        </w:rPr>
        <w:instrText>ADDIN CSL_CITATION {"citationItems":[{"id":"ITEM-1","itemData":{"author":[{"dropping-particle":"","family":"Pye","given":"Steve","non-dropping-particle":"","parse-names":false,"suffix":""},{"dropping-particle":"","family":"Butnar","given":"Isabela","non-dropping-particle":"","parse-names":false,"suffix":""},{"dropping-particle":"","family":"Cronin","given":"Jen","non-dropping-particle":"","parse-names":false,"suffix":""},{"dropping-particle":"","family":"Welsby","given":"Dan","non-dropping-particle":"","parse-names":false,"suffix":""},{"dropping-particle":"","family":"Price","given":"James","non-dropping-particle":"","parse-names":false,"suffix":""},{"dropping-particle":"","family":"Dessens","given":"Olivier","non-dropping-particle":"","parse-names":false,"suffix":""},{"dropping-particle":"","family":"Rodríguez","given":"Baltazar S.","non-dropping-particle":"","parse-names":false,"suffix":""},{"dropping-particle":"","family":"Winning","given":"Matthew","non-dropping-particle":"","parse-names":false,"suffix":""},{"dropping-particle":"","family":"Anandarajah","given":"Gabrial","non-dropping-particle":"","parse-names":false,"suffix":""},{"dropping-particle":"","family":"Scamman","given":"Daniel","non-dropping-particle":"","parse-names":false,"suffix":""},{"dropping-particle":"","family":"Keppo","given":"Ilkka","non-dropping-particle":"","parse-names":false,"suffix":""}],"id":"ITEM-1","issued":{"date-parts":[["2020"]]},"title":"The TIAM-UCL Model (Version 4.1.1) Documentation","type":"report"},"uris":["http://www.mendeley.com/documents/?uuid=12bce043-d974-4757-b2b8-41c82f2d8781"]}],"mendeley":{"formattedCitation":"&lt;sup&gt;15&lt;/sup&gt;","plainTextFormattedCitation":"15","previouslyFormattedCitation":"&lt;sup&gt;15&lt;/sup&gt;"},"properties":{"noteIndex":0},"schema":"https://github.com/citation-style-language/schema/raw/master/csl-citation.json"}</w:instrText>
      </w:r>
      <w:r>
        <w:rPr>
          <w:lang w:val="en-GB"/>
        </w:rPr>
        <w:fldChar w:fldCharType="separate"/>
      </w:r>
      <w:r w:rsidRPr="00490D7D">
        <w:rPr>
          <w:noProof/>
          <w:vertAlign w:val="superscript"/>
          <w:lang w:val="en-GB"/>
        </w:rPr>
        <w:t>15</w:t>
      </w:r>
      <w:r>
        <w:rPr>
          <w:lang w:val="en-GB"/>
        </w:rPr>
        <w:fldChar w:fldCharType="end"/>
      </w:r>
      <w:r>
        <w:rPr>
          <w:lang w:val="en-GB"/>
        </w:rPr>
        <w:t xml:space="preserve"> </w:t>
      </w:r>
      <w:r w:rsidRPr="00981863">
        <w:rPr>
          <w:lang w:val="en-GB"/>
        </w:rPr>
        <w:t>is an energy-economy model of the global energy system. It is built in the TIMES framework, a modelling framework that uses a linear programming optimisation approach to explore cost-optimal systems. Features of this formulation include perfect competition (no market power held by specific firms) and perfect foresight (market players have all information, now in the future, to inform investment decisions).</w:t>
      </w:r>
    </w:p>
    <w:p w14:paraId="0E2743F3" w14:textId="77777777" w:rsidR="009C048B" w:rsidRPr="00981863" w:rsidRDefault="009C048B" w:rsidP="009C048B">
      <w:pPr>
        <w:spacing w:line="360" w:lineRule="auto"/>
        <w:jc w:val="both"/>
        <w:rPr>
          <w:lang w:val="en-GB"/>
        </w:rPr>
      </w:pPr>
      <w:r w:rsidRPr="00981863">
        <w:rPr>
          <w:lang w:val="en-GB"/>
        </w:rPr>
        <w:t>The representation of the global energy system includes primary energy sources (oil, gas, coal, nuclear, biomass, and renewables) from production through to their conversion (</w:t>
      </w:r>
      <w:proofErr w:type="gramStart"/>
      <w:r w:rsidRPr="00981863">
        <w:rPr>
          <w:lang w:val="en-GB"/>
        </w:rPr>
        <w:t>e.g.</w:t>
      </w:r>
      <w:proofErr w:type="gramEnd"/>
      <w:r w:rsidRPr="00981863">
        <w:rPr>
          <w:lang w:val="en-GB"/>
        </w:rPr>
        <w:t xml:space="preserve"> electricity production), their transport and distribution, and their eventual use to meet energy demands across a range of economic sectors. Using a scenario-based approach, the evolution of the system to meet future energy service demands (including mobility, lighting, residential and industrial </w:t>
      </w:r>
      <w:proofErr w:type="gramStart"/>
      <w:r w:rsidRPr="00981863">
        <w:rPr>
          <w:lang w:val="en-GB"/>
        </w:rPr>
        <w:t>heat</w:t>
      </w:r>
      <w:proofErr w:type="gramEnd"/>
      <w:r w:rsidRPr="00981863">
        <w:rPr>
          <w:lang w:val="en-GB"/>
        </w:rPr>
        <w:t xml:space="preserve"> and cooling), can be simulated, driven by the least-cost objective solution.</w:t>
      </w:r>
    </w:p>
    <w:p w14:paraId="13667FD8" w14:textId="77777777" w:rsidR="009C048B" w:rsidRPr="00981863" w:rsidRDefault="009C048B" w:rsidP="009C048B">
      <w:pPr>
        <w:spacing w:line="360" w:lineRule="auto"/>
        <w:jc w:val="both"/>
        <w:rPr>
          <w:lang w:val="en-GB"/>
        </w:rPr>
      </w:pPr>
      <w:r w:rsidRPr="00981863">
        <w:rPr>
          <w:lang w:val="en-GB"/>
        </w:rPr>
        <w:t>The model splits the globe up into 16 regions which allows for a detailed characterisation of regional energy sectors, and the trade flows between them. Future demands for energy services, which vary due to population, economic growth, and behavioural changes, drive the evolution of the energy system that must meet these demand requirements. These demands are dynamic, in that they can rise or fall in response to changes in the cost of providing energy services via the use of long run price elasticities. The model can also be hard linked to a simple CGE model to assess impacts of the energy system on the broader economy, and the subsequent feedback on energy demand. These two last features were not used in the present research.</w:t>
      </w:r>
    </w:p>
    <w:p w14:paraId="5E434EA5" w14:textId="77777777" w:rsidR="009C048B" w:rsidRPr="00981863" w:rsidRDefault="009C048B" w:rsidP="009C048B">
      <w:pPr>
        <w:spacing w:line="360" w:lineRule="auto"/>
        <w:jc w:val="both"/>
        <w:rPr>
          <w:lang w:val="en-GB"/>
        </w:rPr>
      </w:pPr>
      <w:r w:rsidRPr="00981863">
        <w:rPr>
          <w:lang w:val="en-GB"/>
        </w:rPr>
        <w:lastRenderedPageBreak/>
        <w:t>Decisions around what energy sector investments to make across regions to meet these demands are determined based on the most cost-effective investments, considering the existing system in 2015, energy resource potential, technology availability, and crucially policy constraints such as emissions reduction targets or carbon budgets. The model solves to minimise the discounted total system cost over the full-time horizon of the model (ending in 2100), based on a discount factor of 3.5%.</w:t>
      </w:r>
    </w:p>
    <w:p w14:paraId="572CED3A" w14:textId="77777777" w:rsidR="009C048B" w:rsidRDefault="009C048B" w:rsidP="009C048B">
      <w:pPr>
        <w:pStyle w:val="HollandsSpoor3"/>
        <w:numPr>
          <w:ilvl w:val="2"/>
          <w:numId w:val="5"/>
        </w:numPr>
        <w:spacing w:line="276" w:lineRule="auto"/>
      </w:pPr>
      <w:r>
        <w:t>International shipping</w:t>
      </w:r>
    </w:p>
    <w:p w14:paraId="7195A960" w14:textId="77777777" w:rsidR="009C048B" w:rsidRPr="00981863" w:rsidRDefault="009C048B" w:rsidP="009C048B">
      <w:pPr>
        <w:spacing w:line="360" w:lineRule="auto"/>
        <w:jc w:val="both"/>
        <w:rPr>
          <w:color w:val="000000" w:themeColor="text1"/>
          <w:lang w:val="en-GB"/>
        </w:rPr>
      </w:pPr>
      <w:r w:rsidRPr="00981863">
        <w:rPr>
          <w:color w:val="000000" w:themeColor="text1"/>
          <w:lang w:val="en-GB"/>
        </w:rPr>
        <w:t>The transport sector in TIAM-UCL is fully based on a cost-optimisation paradigm; it does not capture the preferences of consumers, vehicle purchase decisions are made based on capital, maintenance, and fuel costs alone. The model provides useful insights into the evolution of the transport sector and its implications on the whole energy system. The transport sector is characterized by 14 energy-services plus one non-energy use demand segment. The road transport sector considers two- and three-wheels vehicles, cars, light duty vehicles, commercial, medium, and heavy trucks, and buses. Additionally, the model considers rail transport of passengers and freight, domestic and international navigation as well as domestic and international aviation. The shift between transport modes is not possible in the standard TIAM-UCL version; each service demand is an exogenous model input (except for part of the international shipping sector as explained later). There is a range of fuels represented in TIAM-UCL to supply existing and new transport technologies, for all transport service demands: coal, natural gas, LPG, gasoline, diesel, kerosene, heavy fuel oil, electricity, bioethanol, biodiesel, hydrogen, various synthetic fuels, and methanol. These fuels have a supply chain and system architecture associated, from the upstream sector through to end-use services.</w:t>
      </w:r>
    </w:p>
    <w:p w14:paraId="158FC9E1" w14:textId="509DF619" w:rsidR="009C048B" w:rsidRPr="00981863" w:rsidRDefault="009C048B" w:rsidP="009C048B">
      <w:pPr>
        <w:spacing w:line="360" w:lineRule="auto"/>
        <w:jc w:val="both"/>
        <w:rPr>
          <w:lang w:val="en-GB"/>
        </w:rPr>
      </w:pPr>
      <w:r w:rsidRPr="00981863">
        <w:rPr>
          <w:lang w:val="en-GB"/>
        </w:rPr>
        <w:t>More precisely, for the shipping sector, TIAM-UCL distinguishes domestic and international shipping, the latter is the sector analysed in this study. The activity in the international shipping is split by trade types as followed:  non-energy commodities transport and energy related commodities. For the first subsector (non-energy commodities) activity is exogenous, calculated and mapped into TIAM-UCL regions using trade projections from the sectoral model GloTraM</w:t>
      </w:r>
      <w:r>
        <w:rPr>
          <w:lang w:val="en-GB"/>
        </w:rPr>
        <w:fldChar w:fldCharType="begin" w:fldLock="1"/>
      </w:r>
      <w:r w:rsidR="007C2055">
        <w:rPr>
          <w:lang w:val="en-GB"/>
        </w:rPr>
        <w:instrText>ADDIN CSL_CITATION {"citationItems":[{"id":"ITEM-1","itemData":{"URL":"https://www.ucl.ac.uk/energy-models/models/glotram","accessed":{"date-parts":[["2023","3","28"]]},"author":[{"dropping-particle":"","family":"UCL","given":"","non-dropping-particle":"","parse-names":false,"suffix":""}],"container-title":"UCL Energy Institute Models","id":"ITEM-1","issued":{"date-parts":[["2023"]]},"title":"GloTraM","type":"webpage"},"uris":["http://www.mendeley.com/documents/?uuid=9001d135-01c0-48ee-a567-550c5c881a76"]}],"mendeley":{"formattedCitation":"&lt;sup&gt;16&lt;/sup&gt;","plainTextFormattedCitation":"16","previouslyFormattedCitation":"&lt;sup&gt;16&lt;/sup&gt;"},"properties":{"noteIndex":0},"schema":"https://github.com/citation-style-language/schema/raw/master/csl-citation.json"}</w:instrText>
      </w:r>
      <w:r>
        <w:rPr>
          <w:lang w:val="en-GB"/>
        </w:rPr>
        <w:fldChar w:fldCharType="separate"/>
      </w:r>
      <w:r w:rsidRPr="00490D7D">
        <w:rPr>
          <w:noProof/>
          <w:vertAlign w:val="superscript"/>
          <w:lang w:val="en-GB"/>
        </w:rPr>
        <w:t>16</w:t>
      </w:r>
      <w:r>
        <w:rPr>
          <w:lang w:val="en-GB"/>
        </w:rPr>
        <w:fldChar w:fldCharType="end"/>
      </w:r>
      <w:r w:rsidRPr="00981863">
        <w:rPr>
          <w:lang w:val="en-GB"/>
        </w:rPr>
        <w:t xml:space="preserve"> developed at UCL. For the energy commodities related trade, activity is endogenously estimated in model, driven by the international trade of fossil fuels and other energy vectors (e.g., low carbon fuel or biomass for bioenergy feedstock). In addition to conventional fossil fuels (HFO, diesel, gasoline, and LNG) the sector can access new, low-emission, sustainable fuel types (biodiesel, synfuels (diesel, gasoline, or LNG), ammonia or hydrogen). The emission reduction by use of alternative low-emission fuels is based on fuel price, carbon prices and feedstock/policy constraints introduced in the model. Ship and logistic efficiency (technological and operational improvements) are introduced exogenously in the model extracted from GloTraM scenarios. </w:t>
      </w:r>
    </w:p>
    <w:p w14:paraId="484075E9" w14:textId="77777777" w:rsidR="009C048B" w:rsidRDefault="009C048B" w:rsidP="009C048B">
      <w:pPr>
        <w:pStyle w:val="HollandsSpoor2"/>
        <w:numPr>
          <w:ilvl w:val="1"/>
          <w:numId w:val="5"/>
        </w:numPr>
      </w:pPr>
      <w:r>
        <w:lastRenderedPageBreak/>
        <w:t xml:space="preserve"> WITCH</w:t>
      </w:r>
    </w:p>
    <w:p w14:paraId="6BF835D2" w14:textId="77777777" w:rsidR="009C048B" w:rsidRDefault="009C048B" w:rsidP="009C048B">
      <w:pPr>
        <w:pStyle w:val="HollandsSpoor3"/>
        <w:spacing w:line="276" w:lineRule="auto"/>
      </w:pPr>
      <w:r>
        <w:t>General</w:t>
      </w:r>
    </w:p>
    <w:p w14:paraId="2C35B2C0" w14:textId="77777777" w:rsidR="009C048B" w:rsidRPr="00981863" w:rsidRDefault="009C048B" w:rsidP="009C048B">
      <w:pPr>
        <w:spacing w:line="360" w:lineRule="auto"/>
        <w:jc w:val="both"/>
        <w:rPr>
          <w:lang w:val="en-GB"/>
        </w:rPr>
      </w:pPr>
      <w:r w:rsidRPr="00981863">
        <w:rPr>
          <w:lang w:val="en-GB"/>
        </w:rPr>
        <w:t>The WITCH integrated model is a comprehensive tool designed to examine the complex interplay between climate change, energy systems, and economic development. With a hybrid structure that combines top-down economic representation and bottom-up energy system detail, it is a valuable resource for policymakers and researchers.</w:t>
      </w:r>
    </w:p>
    <w:p w14:paraId="23173429" w14:textId="77777777" w:rsidR="009C048B" w:rsidRPr="00981863" w:rsidRDefault="009C048B" w:rsidP="009C048B">
      <w:pPr>
        <w:spacing w:line="360" w:lineRule="auto"/>
        <w:jc w:val="both"/>
        <w:rPr>
          <w:lang w:val="en-GB"/>
        </w:rPr>
      </w:pPr>
      <w:r w:rsidRPr="00981863">
        <w:rPr>
          <w:lang w:val="en-GB"/>
        </w:rPr>
        <w:t>WITCH is a hybrid model that merges a top-down representation of the economy with a bottom-up representation of the energy system. The top-down component includes an intertemporal optimization model that accounts for macroeconomic interactions and dynamics, while the bottom-up component captures the technological details of the energy sector. The model employs a cost-effectiveness optimization method to minimize total discounted global costs associated with meeting specific climate and energy objectives. This approach considers various factors, such as investment, capital, and operational costs, in addition to climate change damages and policy costs like carbon pricing.</w:t>
      </w:r>
    </w:p>
    <w:p w14:paraId="4C38DC84" w14:textId="77777777" w:rsidR="009C048B" w:rsidRPr="00981863" w:rsidRDefault="009C048B" w:rsidP="009C048B">
      <w:pPr>
        <w:spacing w:line="360" w:lineRule="auto"/>
        <w:jc w:val="both"/>
        <w:rPr>
          <w:lang w:val="en-GB"/>
        </w:rPr>
      </w:pPr>
      <w:r w:rsidRPr="00981863">
        <w:rPr>
          <w:lang w:val="en-GB"/>
        </w:rPr>
        <w:t>The model divides the world into representative native regions or coalitions and generates optimal mitigation and adaptation strategies from 2005 to 2100 in response to climate damage or emission constraints. Strategies result from a maximization process involving regional welfare, capturing regional free-riding behaviours and strategic interactions induced by global externalities. An iterative algorithm implements the open-loop Nash equilibrium in a non-cooperative, simultaneous, open membership game with full information.</w:t>
      </w:r>
    </w:p>
    <w:p w14:paraId="3C7082B4" w14:textId="77777777" w:rsidR="009C048B" w:rsidRPr="00981863" w:rsidRDefault="009C048B" w:rsidP="009C048B">
      <w:pPr>
        <w:spacing w:line="360" w:lineRule="auto"/>
        <w:jc w:val="both"/>
        <w:rPr>
          <w:lang w:val="en-GB"/>
        </w:rPr>
      </w:pPr>
      <w:r w:rsidRPr="00981863">
        <w:rPr>
          <w:lang w:val="en-GB"/>
        </w:rPr>
        <w:t xml:space="preserve">WITCH features endogenous R&amp;D diffusion and innovation processes for energy efficiency and carbon-free technologies, capturing multiple externalities in climate and innovation. Technology externalities are modelled through international spill overs of knowledge and experience. Low carbon mitigation technologies and energy productivity in each country depending on the region's energy R&amp;D stock and global cumulative installed capacity. The model uses a social planner to maximize the sum of regional discounted utility, with a constant relative risk aversion (CRRA) utility function derived from per-capita consumption. The economy produces a single commodity, with final goods produced via a nested CES function combining capital, labour, and energy services. Climate impacts affect gross output, with fossil fuel and GHG mitigation costs subtracted from them. Energy services are provided by a combination of physical energy input and a stock of energy efficiency knowledge. </w:t>
      </w:r>
    </w:p>
    <w:p w14:paraId="4353098F" w14:textId="77777777" w:rsidR="009C048B" w:rsidRPr="00981863" w:rsidRDefault="009C048B" w:rsidP="009C048B">
      <w:pPr>
        <w:spacing w:line="360" w:lineRule="auto"/>
        <w:jc w:val="both"/>
        <w:rPr>
          <w:lang w:val="en-GB"/>
        </w:rPr>
      </w:pPr>
      <w:r w:rsidRPr="00981863">
        <w:rPr>
          <w:lang w:val="en-GB"/>
        </w:rPr>
        <w:t xml:space="preserve">The energy system in WITCH is characterized by a detailed representation of primary energy sources, conversion technologies, and end-use sectors. It includes a wide range of energy carriers (e.g., coal, </w:t>
      </w:r>
      <w:r w:rsidRPr="00981863">
        <w:rPr>
          <w:lang w:val="en-GB"/>
        </w:rPr>
        <w:lastRenderedPageBreak/>
        <w:t>oil, natural gas, nuclear, and renewables) and technologies for power generation, transportation, and other end-use sectors. The model also captures technological progress and energy efficiency improvements over time.</w:t>
      </w:r>
    </w:p>
    <w:p w14:paraId="63A28871" w14:textId="77777777" w:rsidR="009C048B" w:rsidRPr="00C11F35" w:rsidRDefault="009C048B" w:rsidP="009C048B">
      <w:pPr>
        <w:pStyle w:val="HollandsSpoor3"/>
        <w:numPr>
          <w:ilvl w:val="2"/>
          <w:numId w:val="6"/>
        </w:numPr>
        <w:spacing w:line="276" w:lineRule="auto"/>
      </w:pPr>
      <w:r>
        <w:t>International shipping</w:t>
      </w:r>
    </w:p>
    <w:p w14:paraId="6D593A8E" w14:textId="77777777" w:rsidR="009C048B" w:rsidRPr="00981863" w:rsidRDefault="009C048B" w:rsidP="009C048B">
      <w:pPr>
        <w:spacing w:line="360" w:lineRule="auto"/>
        <w:jc w:val="both"/>
        <w:rPr>
          <w:lang w:val="en-GB"/>
        </w:rPr>
      </w:pPr>
      <w:r w:rsidRPr="00981863">
        <w:rPr>
          <w:lang w:val="en-GB"/>
        </w:rPr>
        <w:t>The transportation sector in the model includes road transport (both passenger-duty vehicles and heavy-duty vehicles), international aviation, and a preliminary version of international shipping. Currently, Shipping demand for each region in the base year is the total global demand allocated with respect to its GDP share [ton</w:t>
      </w:r>
      <w:r>
        <w:rPr>
          <w:lang w:val="en-GB"/>
        </w:rPr>
        <w:t>ne</w:t>
      </w:r>
      <w:r w:rsidRPr="00981863">
        <w:rPr>
          <w:lang w:val="en-GB"/>
        </w:rPr>
        <w:t>. mile/year]. Then, demand for future time steps is estimated by using the elasticity of GDP (as a proxy of income). Elasticities are distinguished for different cargo types in the model. Also, regions are divided into high-income, mid-income, and low-income, and each one of them has specific income elasticity on demand. Efficiency improvement of the fleet is exogenous, kept constant at around 2%/year. On the supply side, the sector has only access to oil-based traditional fuels, biofuels, hydrogen, and renewable hydrocarbons, and ships have fixed investment expenses.</w:t>
      </w:r>
    </w:p>
    <w:p w14:paraId="15FAF6A2" w14:textId="452922C6" w:rsidR="00D017F3" w:rsidRDefault="009C048B" w:rsidP="009C048B">
      <w:pPr>
        <w:spacing w:line="360" w:lineRule="auto"/>
        <w:jc w:val="both"/>
        <w:rPr>
          <w:lang w:val="en-GB"/>
        </w:rPr>
      </w:pPr>
      <w:r w:rsidRPr="00981863">
        <w:rPr>
          <w:lang w:val="en-GB"/>
        </w:rPr>
        <w:t xml:space="preserve">The international shipping module within the model is currently in its early stages and remains highly aggregated. Ongoing development aims to enhance the module by incorporating </w:t>
      </w:r>
      <w:r>
        <w:rPr>
          <w:lang w:val="en-GB"/>
        </w:rPr>
        <w:t>b</w:t>
      </w:r>
      <w:r w:rsidRPr="00981863">
        <w:rPr>
          <w:lang w:val="en-GB"/>
        </w:rPr>
        <w:t xml:space="preserve">ilateral trade analysis between regions/countries, </w:t>
      </w:r>
      <w:r>
        <w:rPr>
          <w:lang w:val="en-GB"/>
        </w:rPr>
        <w:t>i</w:t>
      </w:r>
      <w:r w:rsidRPr="00981863">
        <w:rPr>
          <w:lang w:val="en-GB"/>
        </w:rPr>
        <w:t xml:space="preserve">dentifying elasticities affecting individual trade demand types, </w:t>
      </w:r>
      <w:r>
        <w:rPr>
          <w:lang w:val="en-GB"/>
        </w:rPr>
        <w:t>m</w:t>
      </w:r>
      <w:r w:rsidRPr="00981863">
        <w:rPr>
          <w:lang w:val="en-GB"/>
        </w:rPr>
        <w:t>odelling port demand areas for future expansion and associated investment requirements, vessel categories and their specific parameters as well as potential cost reduction, establishing production infrastructure and supply chains for more alternative fuels options (e.g., ammonia, bio-LNG, etc.).</w:t>
      </w:r>
    </w:p>
    <w:p w14:paraId="3F10D786" w14:textId="77777777" w:rsidR="008148F1" w:rsidRDefault="008148F1" w:rsidP="009C048B">
      <w:pPr>
        <w:spacing w:line="360" w:lineRule="auto"/>
        <w:jc w:val="both"/>
        <w:rPr>
          <w:lang w:val="en-GB"/>
        </w:rPr>
      </w:pPr>
    </w:p>
    <w:p w14:paraId="2141882D" w14:textId="6D9034E3" w:rsidR="00D017F3" w:rsidRDefault="008148F1" w:rsidP="007C2055">
      <w:pPr>
        <w:pStyle w:val="HollandsSpoor"/>
        <w:numPr>
          <w:ilvl w:val="0"/>
          <w:numId w:val="6"/>
        </w:numPr>
        <w:spacing w:line="360" w:lineRule="auto"/>
        <w:jc w:val="both"/>
      </w:pPr>
      <w:r>
        <w:t>Comparison of adopted carbon budgets with the Sixth Assessment Report (AR6) of the IPCC</w:t>
      </w:r>
    </w:p>
    <w:p w14:paraId="3D0BA77C" w14:textId="3B9EB1F5" w:rsidR="007C2055" w:rsidRDefault="007C2055" w:rsidP="007C2055">
      <w:pPr>
        <w:spacing w:line="360" w:lineRule="auto"/>
        <w:jc w:val="both"/>
        <w:rPr>
          <w:lang w:val="en-US"/>
        </w:rPr>
      </w:pPr>
      <w:r>
        <w:rPr>
          <w:lang w:val="en-US"/>
        </w:rPr>
        <w:t xml:space="preserve">The choice of carbon budget values is based on model capabilities and warming categories, as defined by the IPCC in its latest assessment report </w:t>
      </w:r>
      <w:r>
        <w:rPr>
          <w:lang w:val="en-US"/>
        </w:rPr>
        <w:fldChar w:fldCharType="begin" w:fldLock="1"/>
      </w:r>
      <w:r w:rsidR="00384CBA">
        <w:rPr>
          <w:lang w:val="en-US"/>
        </w:rPr>
        <w:instrText>ADDIN CSL_CITATION {"citationItems":[{"id":"ITEM-1","itemData":{"DOI":"10.1017/9781009157926.001","author":[{"dropping-particle":"","family":"IPCC","given":"","non-dropping-particle":"","parse-names":false,"suffix":""}],"container-title":"Climate Change 2022: Mitigation of Climate Change. Contribution of Working Group III to the Sixth Assessment Report of the Intergovernmental Panel on Climate Change","editor":[{"dropping-particle":"","family":"Shukla","given":"P R","non-dropping-particle":"","parse-names":false,"suffix":""},{"dropping-particle":"","family":"Skea","given":"J","non-dropping-particle":"","parse-names":false,"suffix":""},{"dropping-particle":"","family":"Slade","given":"R","non-dropping-particle":"","parse-names":false,"suffix":""},{"dropping-particle":"Al","family":"Khourdajie","given":"A","non-dropping-particle":"","parse-names":false,"suffix":""},{"dropping-particle":"","family":"Diemen","given":"R","non-dropping-particle":"van","parse-names":false,"suffix":""},{"dropping-particle":"","family":"McCollum","given":"D","non-dropping-particle":"","parse-names":false,"suffix":""},{"dropping-particle":"","family":"Pathak","given":"M","non-dropping-particle":"","parse-names":false,"suffix":""},{"dropping-particle":"","family":"Some","given":"S","non-dropping-particle":"","parse-names":false,"suffix":""},{"dropping-particle":"","family":"Vyas","given":"P","non-dropping-particle":"","parse-names":false,"suffix":""},{"dropping-particle":"","family":"Fradera","given":"R","non-dropping-particle":"","parse-names":false,"suffix":""},{"dropping-particle":"","family":"Belkacemi","given":"M","non-dropping-particle":"","parse-names":false,"suffix":""},{"dropping-particle":"","family":"Hasija","given":"A","non-dropping-particle":"","parse-names":false,"suffix":""},{"dropping-particle":"","family":"Lisboa","given":"G","non-dropping-particle":"","parse-names":false,"suffix":""},{"dropping-particle":"","family":"Luz","given":"S","non-dropping-particle":"","parse-names":false,"suffix":""},{"dropping-particle":"","family":"Malley","given":"J","non-dropping-particle":"","parse-names":false,"suffix":""}],"id":"ITEM-1","issued":{"date-parts":[["2022"]]},"publisher":"Cambridge University Press","publisher-place":"Cambridge, UK and New York, NY, USA","title":"Summary for Policymakers","type":"chapter"},"uris":["http://www.mendeley.com/documents/?uuid=ba655661-8b79-481e-97c7-5109b50741db"]},{"id":"ITEM-2","itemData":{"DOI":"10.1017/9781009157926.005","author":[{"dropping-particle":"","family":"Riahi","given":"K","non-dropping-particle":"","parse-names":false,"suffix":""},{"dropping-particle":"","family":"Schaeffer","given":"R","non-dropping-particle":"","parse-names":false,"suffix":""},{"dropping-particle":"","family":"Arango","given":"J","non-dropping-particle":"","parse-names":false,"suffix":""},{"dropping-particle":"","family":"Calvin","given":"K","non-dropping-particle":"","parse-names":false,"suffix":""},{"dropping-particle":"","family":"Guivarch","given":"C","non-dropping-particle":"","parse-names":false,"suffix":""},{"dropping-particle":"","family":"Hasegawa","given":"T","non-dropping-particle":"","parse-names":false,"suffix":""},{"dropping-particle":"","family":"Jiang","given":"K","non-dropping-particle":"","parse-names":false,"suffix":""},{"dropping-particle":"","family":"Kriegler","given":"E","non-dropping-particle":"","parse-names":false,"suffix":""},{"dropping-particle":"","family":"Matthews","given":"R","non-dropping-particle":"","parse-names":false,"suffix":""},{"dropping-particle":"","family":"Peters","given":"G P","non-dropping-particle":"","parse-names":false,"suffix":""},{"dropping-particle":"","family":"Rao","given":"A","non-dropping-particle":"","parse-names":false,"suffix":""},{"dropping-particle":"","family":"Robertson","given":"S","non-dropping-particle":"","parse-names":false,"suffix":""},{"dropping-particle":"","family":"Sebbit","given":"A M","non-dropping-particle":"","parse-names":false,"suffix":""},{"dropping-particle":"","family":"Steinberger","given":"J","non-dropping-particle":"","parse-names":false,"suffix":""},{"dropping-particle":"","family":"Tavoni","given":"M","non-dropping-particle":"","parse-names":false,"suffix":""},{"dropping-particle":"","family":"Vuuren","given":"D P","non-dropping-particle":"Van","parse-names":false,"suffix":""}],"chapter-number":"3","container-title":"IPCC, 2022: Climate Change 2022: Mitigation of Climate Change. Contribution of Working Group III to the Sixth Assessment Report of the Intergovernmental Panel on Climate Change","editor":[{"dropping-particle":"","family":"Shukla","given":"P R","non-dropping-particle":"","parse-names":false,"suffix":""},{"dropping-particle":"","family":"Skea","given":"J","non-dropping-particle":"","parse-names":false,"suffix":""},{"dropping-particle":"","family":"Slade","given":"R","non-dropping-particle":"","parse-names":false,"suffix":""},{"dropping-particle":"Al","family":"Khourdajie","given":"A","non-dropping-particle":"","parse-names":false,"suffix":""},{"dropping-particle":"","family":"Diemen","given":"R","non-dropping-particle":"van","parse-names":false,"suffix":""},{"dropping-particle":"","family":"McCollum","given":"D","non-dropping-particle":"","parse-names":false,"suffix":""},{"dropping-particle":"","family":"Pathak","given":"M","non-dropping-particle":"","parse-names":false,"suffix":""},{"dropping-particle":"","family":"Some","given":"S","non-dropping-particle":"","parse-names":false,"suffix":""},{"dropping-particle":"","family":"Vyas","given":"P","non-dropping-particle":"","parse-names":false,"suffix":""},{"dropping-particle":"","family":"Fradera","given":"R","non-dropping-particle":"","parse-names":false,"suffix":""},{"dropping-particle":"","family":"Belkacemi","given":"M","non-dropping-particle":"","parse-names":false,"suffix":""},{"dropping-particle":"","family":"Hasija","given":"A","non-dropping-particle":"","parse-names":false,"suffix":""},{"dropping-particle":"","family":"Lisboa","given":"G","non-dropping-particle":"","parse-names":false,"suffix":""},{"dropping-particle":"","family":"Luz","given":"S","non-dropping-particle":"","parse-names":false,"suffix":""},{"dropping-particle":"","family":"Malley","given":"J","non-dropping-particle":"","parse-names":false,"suffix":""}],"id":"ITEM-2","issued":{"date-parts":[["2022"]]},"publisher":"Cambridge University Press","publisher-place":"Cambridge, UK and New York, NY, USA","title":"Mitigation pathways compatible with long-term goals.","type":"chapter"},"uris":["http://www.mendeley.com/documents/?uuid=88fc4eed-796a-48a5-a057-5c6cead321b8"]}],"mendeley":{"formattedCitation":"&lt;sup&gt;17,18&lt;/sup&gt;","plainTextFormattedCitation":"17,18","previouslyFormattedCitation":"&lt;sup&gt;17,18&lt;/sup&gt;"},"properties":{"noteIndex":0},"schema":"https://github.com/citation-style-language/schema/raw/master/csl-citation.json"}</w:instrText>
      </w:r>
      <w:r>
        <w:rPr>
          <w:lang w:val="en-US"/>
        </w:rPr>
        <w:fldChar w:fldCharType="separate"/>
      </w:r>
      <w:r w:rsidRPr="007C2055">
        <w:rPr>
          <w:noProof/>
          <w:vertAlign w:val="superscript"/>
          <w:lang w:val="en-US"/>
        </w:rPr>
        <w:t>17,18</w:t>
      </w:r>
      <w:r>
        <w:rPr>
          <w:lang w:val="en-US"/>
        </w:rPr>
        <w:fldChar w:fldCharType="end"/>
      </w:r>
      <w:r>
        <w:rPr>
          <w:lang w:val="en-US"/>
        </w:rPr>
        <w:t>. As indicated by</w:t>
      </w:r>
      <w:r w:rsidR="00EC5023">
        <w:rPr>
          <w:lang w:val="en-US"/>
        </w:rPr>
        <w:t xml:space="preserve"> </w:t>
      </w:r>
      <w:r w:rsidR="00EC5023">
        <w:rPr>
          <w:lang w:val="en-US"/>
        </w:rPr>
        <w:fldChar w:fldCharType="begin"/>
      </w:r>
      <w:r w:rsidR="00EC5023">
        <w:rPr>
          <w:lang w:val="en-US"/>
        </w:rPr>
        <w:instrText xml:space="preserve"> REF _Ref134621098 \h </w:instrText>
      </w:r>
      <w:r w:rsidR="00EC5023">
        <w:rPr>
          <w:lang w:val="en-US"/>
        </w:rPr>
      </w:r>
      <w:r w:rsidR="00EC5023">
        <w:rPr>
          <w:lang w:val="en-US"/>
        </w:rPr>
        <w:fldChar w:fldCharType="separate"/>
      </w:r>
      <w:r w:rsidR="00EC5023" w:rsidRPr="00981863">
        <w:rPr>
          <w:lang w:val="en-GB"/>
        </w:rPr>
        <w:t xml:space="preserve">Table </w:t>
      </w:r>
      <w:r w:rsidR="00EC5023">
        <w:rPr>
          <w:noProof/>
          <w:lang w:val="en-GB"/>
        </w:rPr>
        <w:t>4</w:t>
      </w:r>
      <w:r w:rsidR="00EC5023">
        <w:rPr>
          <w:lang w:val="en-US"/>
        </w:rPr>
        <w:fldChar w:fldCharType="end"/>
      </w:r>
      <w:r w:rsidRPr="00EC5023">
        <w:rPr>
          <w:lang w:val="en-US"/>
        </w:rPr>
        <w:t>,</w:t>
      </w:r>
      <w:r w:rsidRPr="007C2055">
        <w:rPr>
          <w:b/>
          <w:bCs/>
          <w:lang w:val="en-US"/>
        </w:rPr>
        <w:t xml:space="preserve"> C60</w:t>
      </w:r>
      <w:r w:rsidRPr="00EA0BEE">
        <w:rPr>
          <w:b/>
          <w:bCs/>
          <w:lang w:val="en-US"/>
        </w:rPr>
        <w:t>0</w:t>
      </w:r>
      <w:r>
        <w:rPr>
          <w:lang w:val="en-US"/>
        </w:rPr>
        <w:t xml:space="preserve"> scenarios can be seen as in line with a warming of 1.5</w:t>
      </w:r>
      <w:r w:rsidRPr="0036158E">
        <w:rPr>
          <w:vertAlign w:val="superscript"/>
          <w:lang w:val="en-US"/>
        </w:rPr>
        <w:t>o</w:t>
      </w:r>
      <w:r>
        <w:rPr>
          <w:lang w:val="en-US"/>
        </w:rPr>
        <w:t xml:space="preserve">C or slightly above (since it lies between C1 and C2) while </w:t>
      </w:r>
      <w:r>
        <w:rPr>
          <w:b/>
          <w:bCs/>
          <w:lang w:val="en-US"/>
        </w:rPr>
        <w:t>C1</w:t>
      </w:r>
      <w:r w:rsidRPr="0036158E">
        <w:rPr>
          <w:b/>
          <w:bCs/>
          <w:lang w:val="en-US"/>
        </w:rPr>
        <w:t>00</w:t>
      </w:r>
      <w:r>
        <w:rPr>
          <w:b/>
          <w:bCs/>
          <w:lang w:val="en-US"/>
        </w:rPr>
        <w:t>0</w:t>
      </w:r>
      <w:r>
        <w:rPr>
          <w:lang w:val="en-US"/>
        </w:rPr>
        <w:t xml:space="preserve"> scenarios would reflect a world likely below 2</w:t>
      </w:r>
      <w:r w:rsidRPr="0036158E">
        <w:rPr>
          <w:vertAlign w:val="superscript"/>
          <w:lang w:val="en-US"/>
        </w:rPr>
        <w:t>o</w:t>
      </w:r>
      <w:r>
        <w:rPr>
          <w:lang w:val="en-US"/>
        </w:rPr>
        <w:t>C (lying between C3 and C4). More ambitious carbon budgets (e.g., 400 GtCO</w:t>
      </w:r>
      <w:r w:rsidRPr="00C8371F">
        <w:rPr>
          <w:vertAlign w:val="subscript"/>
          <w:lang w:val="en-US"/>
        </w:rPr>
        <w:t>2</w:t>
      </w:r>
      <w:r>
        <w:rPr>
          <w:lang w:val="en-US"/>
        </w:rPr>
        <w:t>) are not used because most of our models are currently not able to find solutions below 600 GtCO</w:t>
      </w:r>
      <w:r w:rsidRPr="008370CA">
        <w:rPr>
          <w:vertAlign w:val="subscript"/>
          <w:lang w:val="en-US"/>
        </w:rPr>
        <w:t>2</w:t>
      </w:r>
      <w:r w:rsidRPr="00C8371F">
        <w:rPr>
          <w:lang w:val="en-US"/>
        </w:rPr>
        <w:t>,</w:t>
      </w:r>
      <w:r>
        <w:rPr>
          <w:lang w:val="en-US"/>
        </w:rPr>
        <w:t xml:space="preserve"> especially with a peak budget</w:t>
      </w:r>
      <w:r w:rsidR="00EC5023">
        <w:rPr>
          <w:lang w:val="en-US"/>
        </w:rPr>
        <w:t xml:space="preserve"> (i.e., without overreliance on CDR)</w:t>
      </w:r>
      <w:r>
        <w:rPr>
          <w:lang w:val="en-US"/>
        </w:rPr>
        <w:t>. Finally, it is worth noting that none of the scenarios include IMO2050 as a restriction, since one of our aims is to compare the model results to this target.</w:t>
      </w:r>
    </w:p>
    <w:p w14:paraId="07CBABE7" w14:textId="77777777" w:rsidR="007C2055" w:rsidRDefault="007C2055" w:rsidP="007C2055">
      <w:pPr>
        <w:spacing w:line="360" w:lineRule="auto"/>
        <w:jc w:val="both"/>
        <w:rPr>
          <w:lang w:val="en-US"/>
        </w:rPr>
      </w:pPr>
    </w:p>
    <w:p w14:paraId="01FC6324" w14:textId="77777777" w:rsidR="007C2055" w:rsidRDefault="007C2055" w:rsidP="007C2055">
      <w:pPr>
        <w:spacing w:line="360" w:lineRule="auto"/>
        <w:jc w:val="both"/>
        <w:rPr>
          <w:lang w:val="en-US"/>
        </w:rPr>
      </w:pPr>
    </w:p>
    <w:p w14:paraId="13E7B3F1" w14:textId="77777777" w:rsidR="007C2055" w:rsidRDefault="007C2055" w:rsidP="007C2055">
      <w:pPr>
        <w:spacing w:line="360" w:lineRule="auto"/>
        <w:jc w:val="both"/>
        <w:rPr>
          <w:lang w:val="en-US"/>
        </w:rPr>
      </w:pPr>
    </w:p>
    <w:p w14:paraId="514693BF" w14:textId="77777777" w:rsidR="007C2055" w:rsidRDefault="007C2055" w:rsidP="007C2055">
      <w:pPr>
        <w:spacing w:line="360" w:lineRule="auto"/>
        <w:jc w:val="both"/>
        <w:rPr>
          <w:lang w:val="en-US"/>
        </w:rPr>
      </w:pPr>
    </w:p>
    <w:p w14:paraId="65F58943" w14:textId="36AB0018" w:rsidR="007C2055" w:rsidRPr="007C2055" w:rsidRDefault="007C2055" w:rsidP="007C2055">
      <w:pPr>
        <w:pStyle w:val="Legenda"/>
        <w:spacing w:line="360" w:lineRule="auto"/>
        <w:jc w:val="center"/>
        <w:rPr>
          <w:i w:val="0"/>
          <w:iCs w:val="0"/>
          <w:lang w:val="en-GB"/>
        </w:rPr>
      </w:pPr>
      <w:bookmarkStart w:id="3" w:name="_Ref134621098"/>
      <w:r w:rsidRPr="00981863">
        <w:rPr>
          <w:i w:val="0"/>
          <w:iCs w:val="0"/>
          <w:lang w:val="en-GB"/>
        </w:rPr>
        <w:t xml:space="preserve">Table </w:t>
      </w:r>
      <w:r w:rsidRPr="00981863">
        <w:rPr>
          <w:i w:val="0"/>
          <w:iCs w:val="0"/>
          <w:lang w:val="en-GB"/>
        </w:rPr>
        <w:fldChar w:fldCharType="begin"/>
      </w:r>
      <w:r w:rsidRPr="00981863">
        <w:rPr>
          <w:i w:val="0"/>
          <w:iCs w:val="0"/>
          <w:lang w:val="en-GB"/>
        </w:rPr>
        <w:instrText xml:space="preserve"> SEQ Table \* ARABIC </w:instrText>
      </w:r>
      <w:r w:rsidRPr="00981863">
        <w:rPr>
          <w:i w:val="0"/>
          <w:iCs w:val="0"/>
          <w:lang w:val="en-GB"/>
        </w:rPr>
        <w:fldChar w:fldCharType="separate"/>
      </w:r>
      <w:r w:rsidR="00F3536E">
        <w:rPr>
          <w:i w:val="0"/>
          <w:iCs w:val="0"/>
          <w:noProof/>
          <w:lang w:val="en-GB"/>
        </w:rPr>
        <w:t>4</w:t>
      </w:r>
      <w:r w:rsidRPr="00981863">
        <w:rPr>
          <w:i w:val="0"/>
          <w:iCs w:val="0"/>
          <w:lang w:val="en-GB"/>
        </w:rPr>
        <w:fldChar w:fldCharType="end"/>
      </w:r>
      <w:bookmarkEnd w:id="3"/>
      <w:r w:rsidRPr="00981863">
        <w:rPr>
          <w:i w:val="0"/>
          <w:iCs w:val="0"/>
          <w:lang w:val="en-GB"/>
        </w:rPr>
        <w:t xml:space="preserve"> – </w:t>
      </w:r>
      <w:r w:rsidR="00EC5023">
        <w:rPr>
          <w:i w:val="0"/>
          <w:iCs w:val="0"/>
          <w:lang w:val="en-GB"/>
        </w:rPr>
        <w:t>IPCC AR6 warming categories</w:t>
      </w:r>
    </w:p>
    <w:tbl>
      <w:tblPr>
        <w:tblStyle w:val="Tabelacomgrade"/>
        <w:tblW w:w="9252" w:type="dxa"/>
        <w:tblLook w:val="04A0" w:firstRow="1" w:lastRow="0" w:firstColumn="1" w:lastColumn="0" w:noHBand="0" w:noVBand="1"/>
      </w:tblPr>
      <w:tblGrid>
        <w:gridCol w:w="1035"/>
        <w:gridCol w:w="2929"/>
        <w:gridCol w:w="3135"/>
        <w:gridCol w:w="2153"/>
      </w:tblGrid>
      <w:tr w:rsidR="007C2055" w:rsidRPr="007C2055" w14:paraId="0162AFCB" w14:textId="77777777" w:rsidTr="003965C3">
        <w:tc>
          <w:tcPr>
            <w:tcW w:w="1035" w:type="dxa"/>
            <w:vMerge w:val="restart"/>
            <w:vAlign w:val="center"/>
          </w:tcPr>
          <w:p w14:paraId="19BDA710" w14:textId="77777777" w:rsidR="007C2055" w:rsidRPr="007C2055" w:rsidRDefault="007C2055" w:rsidP="003965C3">
            <w:pPr>
              <w:spacing w:line="360" w:lineRule="auto"/>
              <w:rPr>
                <w:b/>
                <w:bCs/>
                <w:sz w:val="16"/>
                <w:szCs w:val="16"/>
                <w:lang w:val="en-GB"/>
              </w:rPr>
            </w:pPr>
            <w:r w:rsidRPr="007C2055">
              <w:rPr>
                <w:b/>
                <w:bCs/>
                <w:sz w:val="16"/>
                <w:szCs w:val="16"/>
                <w:lang w:val="en-GB"/>
              </w:rPr>
              <w:t>Category</w:t>
            </w:r>
          </w:p>
        </w:tc>
        <w:tc>
          <w:tcPr>
            <w:tcW w:w="2929" w:type="dxa"/>
            <w:vMerge w:val="restart"/>
            <w:vAlign w:val="center"/>
          </w:tcPr>
          <w:p w14:paraId="1BBEE1E3" w14:textId="77777777" w:rsidR="007C2055" w:rsidRPr="007C2055" w:rsidRDefault="007C2055" w:rsidP="003965C3">
            <w:pPr>
              <w:spacing w:line="360" w:lineRule="auto"/>
              <w:rPr>
                <w:b/>
                <w:bCs/>
                <w:sz w:val="16"/>
                <w:szCs w:val="16"/>
                <w:lang w:val="en-GB"/>
              </w:rPr>
            </w:pPr>
            <w:r w:rsidRPr="007C2055">
              <w:rPr>
                <w:b/>
                <w:bCs/>
                <w:sz w:val="16"/>
                <w:szCs w:val="16"/>
                <w:lang w:val="en-GB"/>
              </w:rPr>
              <w:t>Description</w:t>
            </w:r>
          </w:p>
        </w:tc>
        <w:tc>
          <w:tcPr>
            <w:tcW w:w="5288" w:type="dxa"/>
            <w:gridSpan w:val="2"/>
            <w:vAlign w:val="center"/>
          </w:tcPr>
          <w:p w14:paraId="04EC897A" w14:textId="77777777" w:rsidR="007C2055" w:rsidRPr="007C2055" w:rsidRDefault="007C2055" w:rsidP="003965C3">
            <w:pPr>
              <w:spacing w:line="360" w:lineRule="auto"/>
              <w:jc w:val="center"/>
              <w:rPr>
                <w:b/>
                <w:bCs/>
                <w:sz w:val="16"/>
                <w:szCs w:val="16"/>
                <w:lang w:val="en-GB"/>
              </w:rPr>
            </w:pPr>
            <w:r w:rsidRPr="007C2055">
              <w:rPr>
                <w:b/>
                <w:bCs/>
                <w:sz w:val="16"/>
                <w:szCs w:val="16"/>
                <w:lang w:val="en-GB"/>
              </w:rPr>
              <w:t>Cumulative CO</w:t>
            </w:r>
            <w:r w:rsidRPr="007C2055">
              <w:rPr>
                <w:b/>
                <w:bCs/>
                <w:sz w:val="16"/>
                <w:szCs w:val="16"/>
                <w:vertAlign w:val="subscript"/>
                <w:lang w:val="en-GB"/>
              </w:rPr>
              <w:t>2</w:t>
            </w:r>
            <w:r w:rsidRPr="007C2055">
              <w:rPr>
                <w:b/>
                <w:bCs/>
                <w:sz w:val="16"/>
                <w:szCs w:val="16"/>
                <w:lang w:val="en-GB"/>
              </w:rPr>
              <w:t xml:space="preserve"> emissions (Gt)</w:t>
            </w:r>
          </w:p>
        </w:tc>
      </w:tr>
      <w:tr w:rsidR="007C2055" w:rsidRPr="007C2055" w14:paraId="376E3760" w14:textId="77777777" w:rsidTr="003965C3">
        <w:tc>
          <w:tcPr>
            <w:tcW w:w="1035" w:type="dxa"/>
            <w:vMerge/>
            <w:vAlign w:val="center"/>
          </w:tcPr>
          <w:p w14:paraId="41FEA123" w14:textId="77777777" w:rsidR="007C2055" w:rsidRPr="007C2055" w:rsidRDefault="007C2055" w:rsidP="003965C3">
            <w:pPr>
              <w:spacing w:line="360" w:lineRule="auto"/>
              <w:rPr>
                <w:b/>
                <w:bCs/>
                <w:sz w:val="16"/>
                <w:szCs w:val="16"/>
                <w:lang w:val="en-GB"/>
              </w:rPr>
            </w:pPr>
          </w:p>
        </w:tc>
        <w:tc>
          <w:tcPr>
            <w:tcW w:w="2929" w:type="dxa"/>
            <w:vMerge/>
            <w:vAlign w:val="center"/>
          </w:tcPr>
          <w:p w14:paraId="6078A3DD" w14:textId="77777777" w:rsidR="007C2055" w:rsidRPr="007C2055" w:rsidRDefault="007C2055" w:rsidP="003965C3">
            <w:pPr>
              <w:spacing w:line="360" w:lineRule="auto"/>
              <w:rPr>
                <w:b/>
                <w:bCs/>
                <w:sz w:val="16"/>
                <w:szCs w:val="16"/>
                <w:lang w:val="en-GB"/>
              </w:rPr>
            </w:pPr>
          </w:p>
        </w:tc>
        <w:tc>
          <w:tcPr>
            <w:tcW w:w="3135" w:type="dxa"/>
            <w:vAlign w:val="center"/>
          </w:tcPr>
          <w:p w14:paraId="0F334D06" w14:textId="77777777" w:rsidR="007C2055" w:rsidRPr="007C2055" w:rsidRDefault="007C2055" w:rsidP="003965C3">
            <w:pPr>
              <w:spacing w:line="360" w:lineRule="auto"/>
              <w:jc w:val="center"/>
              <w:rPr>
                <w:b/>
                <w:bCs/>
                <w:sz w:val="16"/>
                <w:szCs w:val="16"/>
                <w:lang w:val="en-GB"/>
              </w:rPr>
            </w:pPr>
            <w:r w:rsidRPr="007C2055">
              <w:rPr>
                <w:b/>
                <w:bCs/>
                <w:sz w:val="16"/>
                <w:szCs w:val="16"/>
                <w:lang w:val="en-GB"/>
              </w:rPr>
              <w:t>2020 to net zero CO</w:t>
            </w:r>
            <w:r w:rsidRPr="007C2055">
              <w:rPr>
                <w:b/>
                <w:bCs/>
                <w:sz w:val="16"/>
                <w:szCs w:val="16"/>
                <w:vertAlign w:val="subscript"/>
                <w:lang w:val="en-GB"/>
              </w:rPr>
              <w:t>2</w:t>
            </w:r>
          </w:p>
        </w:tc>
        <w:tc>
          <w:tcPr>
            <w:tcW w:w="2153" w:type="dxa"/>
            <w:vAlign w:val="center"/>
          </w:tcPr>
          <w:p w14:paraId="3E1E9CB2" w14:textId="77777777" w:rsidR="007C2055" w:rsidRPr="007C2055" w:rsidRDefault="007C2055" w:rsidP="003965C3">
            <w:pPr>
              <w:spacing w:line="360" w:lineRule="auto"/>
              <w:jc w:val="center"/>
              <w:rPr>
                <w:b/>
                <w:bCs/>
                <w:sz w:val="16"/>
                <w:szCs w:val="16"/>
                <w:lang w:val="en-GB"/>
              </w:rPr>
            </w:pPr>
            <w:r w:rsidRPr="007C2055">
              <w:rPr>
                <w:b/>
                <w:bCs/>
                <w:sz w:val="16"/>
                <w:szCs w:val="16"/>
                <w:lang w:val="en-GB"/>
              </w:rPr>
              <w:t>2020-2100</w:t>
            </w:r>
          </w:p>
        </w:tc>
      </w:tr>
      <w:tr w:rsidR="007C2055" w:rsidRPr="007C2055" w14:paraId="121C6F5A" w14:textId="77777777" w:rsidTr="003965C3">
        <w:tc>
          <w:tcPr>
            <w:tcW w:w="1035" w:type="dxa"/>
            <w:vAlign w:val="center"/>
          </w:tcPr>
          <w:p w14:paraId="1A4F2822" w14:textId="77777777" w:rsidR="007C2055" w:rsidRPr="007C2055" w:rsidRDefault="007C2055" w:rsidP="003965C3">
            <w:pPr>
              <w:spacing w:line="360" w:lineRule="auto"/>
              <w:jc w:val="center"/>
              <w:rPr>
                <w:sz w:val="16"/>
                <w:szCs w:val="16"/>
                <w:lang w:val="en-GB"/>
              </w:rPr>
            </w:pPr>
            <w:r w:rsidRPr="007C2055">
              <w:rPr>
                <w:sz w:val="16"/>
                <w:szCs w:val="16"/>
                <w:lang w:val="en-GB"/>
              </w:rPr>
              <w:t>C1</w:t>
            </w:r>
          </w:p>
        </w:tc>
        <w:tc>
          <w:tcPr>
            <w:tcW w:w="2929" w:type="dxa"/>
            <w:vAlign w:val="center"/>
          </w:tcPr>
          <w:p w14:paraId="69C3540D" w14:textId="77777777" w:rsidR="007C2055" w:rsidRPr="007C2055" w:rsidRDefault="007C2055" w:rsidP="003965C3">
            <w:pPr>
              <w:spacing w:line="360" w:lineRule="auto"/>
              <w:rPr>
                <w:sz w:val="16"/>
                <w:szCs w:val="16"/>
                <w:lang w:val="en-GB"/>
              </w:rPr>
            </w:pPr>
            <w:r w:rsidRPr="007C2055">
              <w:rPr>
                <w:sz w:val="16"/>
                <w:szCs w:val="16"/>
                <w:lang w:val="en-GB"/>
              </w:rPr>
              <w:t>Limit warming to 1.5</w:t>
            </w:r>
            <w:r w:rsidRPr="007C2055">
              <w:rPr>
                <w:sz w:val="16"/>
                <w:szCs w:val="16"/>
                <w:vertAlign w:val="superscript"/>
                <w:lang w:val="en-GB"/>
              </w:rPr>
              <w:t>o</w:t>
            </w:r>
            <w:r w:rsidRPr="007C2055">
              <w:rPr>
                <w:sz w:val="16"/>
                <w:szCs w:val="16"/>
                <w:lang w:val="en-GB"/>
              </w:rPr>
              <w:t>C (&gt;50%) with no or limited overshoot</w:t>
            </w:r>
          </w:p>
        </w:tc>
        <w:tc>
          <w:tcPr>
            <w:tcW w:w="3135" w:type="dxa"/>
            <w:vAlign w:val="center"/>
          </w:tcPr>
          <w:p w14:paraId="057C5D4E" w14:textId="77777777" w:rsidR="007C2055" w:rsidRPr="007C2055" w:rsidRDefault="007C2055" w:rsidP="003965C3">
            <w:pPr>
              <w:spacing w:line="360" w:lineRule="auto"/>
              <w:jc w:val="center"/>
              <w:rPr>
                <w:sz w:val="16"/>
                <w:szCs w:val="16"/>
                <w:lang w:val="en-GB"/>
              </w:rPr>
            </w:pPr>
            <w:r w:rsidRPr="007C2055">
              <w:rPr>
                <w:sz w:val="16"/>
                <w:szCs w:val="16"/>
                <w:lang w:val="en-GB"/>
              </w:rPr>
              <w:t>510 [330 to 710]</w:t>
            </w:r>
          </w:p>
        </w:tc>
        <w:tc>
          <w:tcPr>
            <w:tcW w:w="2153" w:type="dxa"/>
            <w:vAlign w:val="center"/>
          </w:tcPr>
          <w:p w14:paraId="0F142001" w14:textId="77777777" w:rsidR="007C2055" w:rsidRPr="007C2055" w:rsidRDefault="007C2055" w:rsidP="003965C3">
            <w:pPr>
              <w:spacing w:line="360" w:lineRule="auto"/>
              <w:jc w:val="center"/>
              <w:rPr>
                <w:sz w:val="16"/>
                <w:szCs w:val="16"/>
                <w:lang w:val="en-GB"/>
              </w:rPr>
            </w:pPr>
            <w:r w:rsidRPr="007C2055">
              <w:rPr>
                <w:sz w:val="16"/>
                <w:szCs w:val="16"/>
                <w:lang w:val="en-GB"/>
              </w:rPr>
              <w:t>320 [-210 to 710]</w:t>
            </w:r>
          </w:p>
        </w:tc>
      </w:tr>
      <w:tr w:rsidR="007C2055" w:rsidRPr="007C2055" w14:paraId="5A680E25" w14:textId="77777777" w:rsidTr="003965C3">
        <w:tc>
          <w:tcPr>
            <w:tcW w:w="1035" w:type="dxa"/>
            <w:vAlign w:val="center"/>
          </w:tcPr>
          <w:p w14:paraId="67E890E1" w14:textId="77777777" w:rsidR="007C2055" w:rsidRPr="007C2055" w:rsidRDefault="007C2055" w:rsidP="003965C3">
            <w:pPr>
              <w:spacing w:line="360" w:lineRule="auto"/>
              <w:jc w:val="center"/>
              <w:rPr>
                <w:sz w:val="16"/>
                <w:szCs w:val="16"/>
                <w:lang w:val="en-GB"/>
              </w:rPr>
            </w:pPr>
            <w:r w:rsidRPr="007C2055">
              <w:rPr>
                <w:sz w:val="16"/>
                <w:szCs w:val="16"/>
                <w:lang w:val="en-GB"/>
              </w:rPr>
              <w:t>C2</w:t>
            </w:r>
          </w:p>
        </w:tc>
        <w:tc>
          <w:tcPr>
            <w:tcW w:w="2929" w:type="dxa"/>
            <w:vAlign w:val="center"/>
          </w:tcPr>
          <w:p w14:paraId="600B08FD" w14:textId="77777777" w:rsidR="007C2055" w:rsidRPr="007C2055" w:rsidRDefault="007C2055" w:rsidP="003965C3">
            <w:pPr>
              <w:spacing w:line="360" w:lineRule="auto"/>
              <w:rPr>
                <w:sz w:val="16"/>
                <w:szCs w:val="16"/>
                <w:lang w:val="en-GB"/>
              </w:rPr>
            </w:pPr>
            <w:r w:rsidRPr="007C2055">
              <w:rPr>
                <w:sz w:val="16"/>
                <w:szCs w:val="16"/>
                <w:lang w:val="en-GB"/>
              </w:rPr>
              <w:t>Return warming to 1.5</w:t>
            </w:r>
            <w:r w:rsidRPr="007C2055">
              <w:rPr>
                <w:sz w:val="16"/>
                <w:szCs w:val="16"/>
                <w:vertAlign w:val="superscript"/>
                <w:lang w:val="en-GB"/>
              </w:rPr>
              <w:t>o</w:t>
            </w:r>
            <w:r w:rsidRPr="007C2055">
              <w:rPr>
                <w:sz w:val="16"/>
                <w:szCs w:val="16"/>
                <w:lang w:val="en-GB"/>
              </w:rPr>
              <w:t>C (&gt;50%) after a high overshoot</w:t>
            </w:r>
          </w:p>
        </w:tc>
        <w:tc>
          <w:tcPr>
            <w:tcW w:w="3135" w:type="dxa"/>
            <w:vAlign w:val="center"/>
          </w:tcPr>
          <w:p w14:paraId="2264B86A" w14:textId="77777777" w:rsidR="007C2055" w:rsidRPr="007C2055" w:rsidRDefault="007C2055" w:rsidP="003965C3">
            <w:pPr>
              <w:spacing w:line="360" w:lineRule="auto"/>
              <w:jc w:val="center"/>
              <w:rPr>
                <w:sz w:val="16"/>
                <w:szCs w:val="16"/>
                <w:lang w:val="en-GB"/>
              </w:rPr>
            </w:pPr>
            <w:r w:rsidRPr="007C2055">
              <w:rPr>
                <w:sz w:val="16"/>
                <w:szCs w:val="16"/>
                <w:lang w:val="en-GB"/>
              </w:rPr>
              <w:t>720 [530 to 930]</w:t>
            </w:r>
          </w:p>
        </w:tc>
        <w:tc>
          <w:tcPr>
            <w:tcW w:w="2153" w:type="dxa"/>
            <w:vAlign w:val="center"/>
          </w:tcPr>
          <w:p w14:paraId="0D038092" w14:textId="77777777" w:rsidR="007C2055" w:rsidRPr="007C2055" w:rsidRDefault="007C2055" w:rsidP="003965C3">
            <w:pPr>
              <w:spacing w:line="360" w:lineRule="auto"/>
              <w:jc w:val="center"/>
              <w:rPr>
                <w:sz w:val="16"/>
                <w:szCs w:val="16"/>
                <w:lang w:val="en-GB"/>
              </w:rPr>
            </w:pPr>
            <w:r w:rsidRPr="007C2055">
              <w:rPr>
                <w:sz w:val="16"/>
                <w:szCs w:val="16"/>
                <w:lang w:val="en-GB"/>
              </w:rPr>
              <w:t>400 [-90 to 620]</w:t>
            </w:r>
          </w:p>
        </w:tc>
      </w:tr>
      <w:tr w:rsidR="007C2055" w:rsidRPr="007C2055" w14:paraId="6A8E8C07" w14:textId="77777777" w:rsidTr="003965C3">
        <w:tc>
          <w:tcPr>
            <w:tcW w:w="1035" w:type="dxa"/>
            <w:vAlign w:val="center"/>
          </w:tcPr>
          <w:p w14:paraId="64F3889E" w14:textId="77777777" w:rsidR="007C2055" w:rsidRPr="007C2055" w:rsidRDefault="007C2055" w:rsidP="003965C3">
            <w:pPr>
              <w:spacing w:line="360" w:lineRule="auto"/>
              <w:jc w:val="center"/>
              <w:rPr>
                <w:sz w:val="16"/>
                <w:szCs w:val="16"/>
                <w:lang w:val="en-GB"/>
              </w:rPr>
            </w:pPr>
            <w:r w:rsidRPr="007C2055">
              <w:rPr>
                <w:sz w:val="16"/>
                <w:szCs w:val="16"/>
                <w:lang w:val="en-GB"/>
              </w:rPr>
              <w:t>C3</w:t>
            </w:r>
          </w:p>
        </w:tc>
        <w:tc>
          <w:tcPr>
            <w:tcW w:w="2929" w:type="dxa"/>
            <w:vAlign w:val="center"/>
          </w:tcPr>
          <w:p w14:paraId="6DCCF3CE" w14:textId="77777777" w:rsidR="007C2055" w:rsidRPr="007C2055" w:rsidRDefault="007C2055" w:rsidP="003965C3">
            <w:pPr>
              <w:spacing w:line="360" w:lineRule="auto"/>
              <w:rPr>
                <w:sz w:val="16"/>
                <w:szCs w:val="16"/>
                <w:lang w:val="en-GB"/>
              </w:rPr>
            </w:pPr>
            <w:r w:rsidRPr="007C2055">
              <w:rPr>
                <w:sz w:val="16"/>
                <w:szCs w:val="16"/>
                <w:lang w:val="en-GB"/>
              </w:rPr>
              <w:t>Limit warming to 2</w:t>
            </w:r>
            <w:r w:rsidRPr="007C2055">
              <w:rPr>
                <w:sz w:val="16"/>
                <w:szCs w:val="16"/>
                <w:vertAlign w:val="superscript"/>
                <w:lang w:val="en-GB"/>
              </w:rPr>
              <w:t>o</w:t>
            </w:r>
            <w:r w:rsidRPr="007C2055">
              <w:rPr>
                <w:sz w:val="16"/>
                <w:szCs w:val="16"/>
                <w:lang w:val="en-GB"/>
              </w:rPr>
              <w:t>C (&gt;67%)</w:t>
            </w:r>
          </w:p>
        </w:tc>
        <w:tc>
          <w:tcPr>
            <w:tcW w:w="3135" w:type="dxa"/>
            <w:vAlign w:val="center"/>
          </w:tcPr>
          <w:p w14:paraId="6AB220F1" w14:textId="77777777" w:rsidR="007C2055" w:rsidRPr="007C2055" w:rsidRDefault="007C2055" w:rsidP="003965C3">
            <w:pPr>
              <w:spacing w:line="360" w:lineRule="auto"/>
              <w:jc w:val="center"/>
              <w:rPr>
                <w:sz w:val="16"/>
                <w:szCs w:val="16"/>
                <w:lang w:val="en-GB"/>
              </w:rPr>
            </w:pPr>
            <w:r w:rsidRPr="007C2055">
              <w:rPr>
                <w:sz w:val="16"/>
                <w:szCs w:val="16"/>
                <w:lang w:val="en-GB"/>
              </w:rPr>
              <w:t>890 [640 to 1,160]</w:t>
            </w:r>
          </w:p>
        </w:tc>
        <w:tc>
          <w:tcPr>
            <w:tcW w:w="2153" w:type="dxa"/>
            <w:vAlign w:val="center"/>
          </w:tcPr>
          <w:p w14:paraId="4EA6A82C" w14:textId="77777777" w:rsidR="007C2055" w:rsidRPr="007C2055" w:rsidRDefault="007C2055" w:rsidP="003965C3">
            <w:pPr>
              <w:spacing w:line="360" w:lineRule="auto"/>
              <w:jc w:val="center"/>
              <w:rPr>
                <w:sz w:val="16"/>
                <w:szCs w:val="16"/>
                <w:lang w:val="en-GB"/>
              </w:rPr>
            </w:pPr>
            <w:r w:rsidRPr="007C2055">
              <w:rPr>
                <w:sz w:val="16"/>
                <w:szCs w:val="16"/>
                <w:lang w:val="en-GB"/>
              </w:rPr>
              <w:t>800 [510 to 1,140]</w:t>
            </w:r>
          </w:p>
        </w:tc>
      </w:tr>
      <w:tr w:rsidR="007C2055" w:rsidRPr="007C2055" w14:paraId="3E35339C" w14:textId="77777777" w:rsidTr="003965C3">
        <w:tc>
          <w:tcPr>
            <w:tcW w:w="1035" w:type="dxa"/>
            <w:vAlign w:val="center"/>
          </w:tcPr>
          <w:p w14:paraId="799EE5E5" w14:textId="77777777" w:rsidR="007C2055" w:rsidRPr="007C2055" w:rsidRDefault="007C2055" w:rsidP="003965C3">
            <w:pPr>
              <w:spacing w:line="360" w:lineRule="auto"/>
              <w:jc w:val="center"/>
              <w:rPr>
                <w:sz w:val="16"/>
                <w:szCs w:val="16"/>
                <w:lang w:val="en-GB"/>
              </w:rPr>
            </w:pPr>
            <w:r w:rsidRPr="007C2055">
              <w:rPr>
                <w:sz w:val="16"/>
                <w:szCs w:val="16"/>
                <w:lang w:val="en-GB"/>
              </w:rPr>
              <w:t>C4</w:t>
            </w:r>
          </w:p>
        </w:tc>
        <w:tc>
          <w:tcPr>
            <w:tcW w:w="2929" w:type="dxa"/>
            <w:vAlign w:val="center"/>
          </w:tcPr>
          <w:p w14:paraId="5FE67DF9" w14:textId="77777777" w:rsidR="007C2055" w:rsidRPr="007C2055" w:rsidRDefault="007C2055" w:rsidP="003965C3">
            <w:pPr>
              <w:spacing w:line="360" w:lineRule="auto"/>
              <w:rPr>
                <w:sz w:val="16"/>
                <w:szCs w:val="16"/>
                <w:lang w:val="en-GB"/>
              </w:rPr>
            </w:pPr>
            <w:r w:rsidRPr="007C2055">
              <w:rPr>
                <w:sz w:val="16"/>
                <w:szCs w:val="16"/>
                <w:lang w:val="en-GB"/>
              </w:rPr>
              <w:t>Limit warming to 2</w:t>
            </w:r>
            <w:r w:rsidRPr="007C2055">
              <w:rPr>
                <w:sz w:val="16"/>
                <w:szCs w:val="16"/>
                <w:vertAlign w:val="superscript"/>
                <w:lang w:val="en-GB"/>
              </w:rPr>
              <w:t>o</w:t>
            </w:r>
            <w:r w:rsidRPr="007C2055">
              <w:rPr>
                <w:sz w:val="16"/>
                <w:szCs w:val="16"/>
                <w:lang w:val="en-GB"/>
              </w:rPr>
              <w:t>C (&gt;50%)</w:t>
            </w:r>
          </w:p>
        </w:tc>
        <w:tc>
          <w:tcPr>
            <w:tcW w:w="3135" w:type="dxa"/>
            <w:vAlign w:val="center"/>
          </w:tcPr>
          <w:p w14:paraId="287B95FF" w14:textId="77777777" w:rsidR="007C2055" w:rsidRPr="007C2055" w:rsidRDefault="007C2055" w:rsidP="003965C3">
            <w:pPr>
              <w:spacing w:line="360" w:lineRule="auto"/>
              <w:jc w:val="center"/>
              <w:rPr>
                <w:sz w:val="16"/>
                <w:szCs w:val="16"/>
                <w:lang w:val="en-GB"/>
              </w:rPr>
            </w:pPr>
            <w:r w:rsidRPr="007C2055">
              <w:rPr>
                <w:sz w:val="16"/>
                <w:szCs w:val="16"/>
                <w:lang w:val="en-GB"/>
              </w:rPr>
              <w:t>1,210 [970 to 1,490]</w:t>
            </w:r>
          </w:p>
        </w:tc>
        <w:tc>
          <w:tcPr>
            <w:tcW w:w="2153" w:type="dxa"/>
            <w:vAlign w:val="center"/>
          </w:tcPr>
          <w:p w14:paraId="283617A1" w14:textId="77777777" w:rsidR="007C2055" w:rsidRPr="007C2055" w:rsidRDefault="007C2055" w:rsidP="003965C3">
            <w:pPr>
              <w:spacing w:line="360" w:lineRule="auto"/>
              <w:jc w:val="center"/>
              <w:rPr>
                <w:sz w:val="16"/>
                <w:szCs w:val="16"/>
                <w:lang w:val="en-GB"/>
              </w:rPr>
            </w:pPr>
            <w:r w:rsidRPr="007C2055">
              <w:rPr>
                <w:sz w:val="16"/>
                <w:szCs w:val="16"/>
                <w:lang w:val="en-GB"/>
              </w:rPr>
              <w:t>1,160 [700 to 1,490]</w:t>
            </w:r>
          </w:p>
        </w:tc>
      </w:tr>
    </w:tbl>
    <w:p w14:paraId="21281516" w14:textId="77777777" w:rsidR="007C2055" w:rsidRDefault="007C2055" w:rsidP="007C2055">
      <w:pPr>
        <w:spacing w:line="360" w:lineRule="auto"/>
        <w:jc w:val="both"/>
        <w:rPr>
          <w:lang w:val="en-US"/>
        </w:rPr>
      </w:pPr>
    </w:p>
    <w:p w14:paraId="786E5DA6" w14:textId="4EBC7C5F" w:rsidR="007C2055" w:rsidRDefault="007C2055" w:rsidP="007C2055">
      <w:pPr>
        <w:pStyle w:val="HollandsSpoor"/>
        <w:numPr>
          <w:ilvl w:val="0"/>
          <w:numId w:val="6"/>
        </w:numPr>
        <w:spacing w:line="360" w:lineRule="auto"/>
        <w:jc w:val="both"/>
      </w:pPr>
      <w:r>
        <w:t>Detailed results for Bioenergy with Carbon Capture and Storage (BECCS)</w:t>
      </w:r>
    </w:p>
    <w:p w14:paraId="3067E3CC" w14:textId="7C90D2A8" w:rsidR="007C2055" w:rsidRDefault="007C2055" w:rsidP="007C2055">
      <w:pPr>
        <w:spacing w:line="360" w:lineRule="auto"/>
        <w:jc w:val="both"/>
        <w:rPr>
          <w:lang w:val="en-GB"/>
        </w:rPr>
      </w:pPr>
      <w:r w:rsidRPr="00981863">
        <w:rPr>
          <w:rFonts w:cstheme="minorHAnsi"/>
          <w:color w:val="000000" w:themeColor="text1"/>
          <w:shd w:val="clear" w:color="auto" w:fill="FFFFFF"/>
          <w:lang w:val="en-GB"/>
        </w:rPr>
        <w:t xml:space="preserve">Except for PROMETHEUS (whose time horizon is 2050), all models project international shipping emissions to approximately stabilize in the second half of the century, both in </w:t>
      </w:r>
      <w:r w:rsidRPr="00981863">
        <w:rPr>
          <w:rFonts w:cstheme="minorHAnsi"/>
          <w:b/>
          <w:bCs/>
          <w:color w:val="000000" w:themeColor="text1"/>
          <w:shd w:val="clear" w:color="auto" w:fill="FFFFFF"/>
          <w:lang w:val="en-GB"/>
        </w:rPr>
        <w:t>C1000</w:t>
      </w:r>
      <w:r w:rsidRPr="00981863">
        <w:rPr>
          <w:rFonts w:cstheme="minorHAnsi"/>
          <w:color w:val="000000" w:themeColor="text1"/>
          <w:shd w:val="clear" w:color="auto" w:fill="FFFFFF"/>
          <w:lang w:val="en-GB"/>
        </w:rPr>
        <w:t xml:space="preserve"> and </w:t>
      </w:r>
      <w:r w:rsidRPr="00981863">
        <w:rPr>
          <w:rFonts w:cstheme="minorHAnsi"/>
          <w:b/>
          <w:bCs/>
          <w:color w:val="000000" w:themeColor="text1"/>
          <w:shd w:val="clear" w:color="auto" w:fill="FFFFFF"/>
          <w:lang w:val="en-GB"/>
        </w:rPr>
        <w:t>C600</w:t>
      </w:r>
      <w:r w:rsidRPr="00981863">
        <w:rPr>
          <w:rFonts w:cstheme="minorHAnsi"/>
          <w:color w:val="000000" w:themeColor="text1"/>
          <w:shd w:val="clear" w:color="auto" w:fill="FFFFFF"/>
          <w:lang w:val="en-GB"/>
        </w:rPr>
        <w:t xml:space="preserve"> scenarios. This pattern is due to the rise of Bioenergy with Carbon Capture and Storage (BECCS) after 2040. As explained before, our carbon budget scenarios do not allow net negative emissions. However, this does not exclude the use of some level of CDR strategies in these scenarios. In a peak-budget scenario, once the carbon budget is depleted, eventual residual emissions must necessarily be compensated by CDR </w:t>
      </w:r>
      <w:r w:rsidR="00752572">
        <w:rPr>
          <w:rFonts w:cstheme="minorHAnsi"/>
          <w:color w:val="000000" w:themeColor="text1"/>
          <w:shd w:val="clear" w:color="auto" w:fill="FFFFFF"/>
          <w:lang w:val="en-GB"/>
        </w:rPr>
        <w:t xml:space="preserve">strategies </w:t>
      </w:r>
      <w:r w:rsidRPr="00981863">
        <w:rPr>
          <w:rFonts w:cstheme="minorHAnsi"/>
          <w:color w:val="000000" w:themeColor="text1"/>
          <w:shd w:val="clear" w:color="auto" w:fill="FFFFFF"/>
          <w:lang w:val="en-GB"/>
        </w:rPr>
        <w:t>to hold net CO</w:t>
      </w:r>
      <w:r w:rsidRPr="00981863">
        <w:rPr>
          <w:rFonts w:cstheme="minorHAnsi"/>
          <w:color w:val="000000" w:themeColor="text1"/>
          <w:shd w:val="clear" w:color="auto" w:fill="FFFFFF"/>
          <w:vertAlign w:val="subscript"/>
          <w:lang w:val="en-GB"/>
        </w:rPr>
        <w:t xml:space="preserve">2 </w:t>
      </w:r>
      <w:r w:rsidRPr="00981863">
        <w:rPr>
          <w:rFonts w:cstheme="minorHAnsi"/>
          <w:color w:val="000000" w:themeColor="text1"/>
          <w:shd w:val="clear" w:color="auto" w:fill="FFFFFF"/>
          <w:lang w:val="en-GB"/>
        </w:rPr>
        <w:t>emissions equal to zero. In the pathways modelled by our IAMs, this is ensured by the deployment of BECCS, with CO</w:t>
      </w:r>
      <w:r w:rsidRPr="00981863">
        <w:rPr>
          <w:rFonts w:cstheme="minorHAnsi"/>
          <w:color w:val="000000" w:themeColor="text1"/>
          <w:shd w:val="clear" w:color="auto" w:fill="FFFFFF"/>
          <w:vertAlign w:val="subscript"/>
          <w:lang w:val="en-GB"/>
        </w:rPr>
        <w:t>2</w:t>
      </w:r>
      <w:r w:rsidRPr="00981863">
        <w:rPr>
          <w:rFonts w:cstheme="minorHAnsi"/>
          <w:color w:val="000000" w:themeColor="text1"/>
          <w:shd w:val="clear" w:color="auto" w:fill="FFFFFF"/>
          <w:lang w:val="en-GB"/>
        </w:rPr>
        <w:t xml:space="preserve"> removals in the range of 1.6-9.6 Gt/yr in 2050, 4.1-14.5 Gt/yr in 2070 and 3.6-18.4 Gt/yr in 2090. In the case of WITCH, Direct Air Capture with Carbon Storage (DACCS) also plays a relevant role, with global removals in 2070 around 1.0 GtCO</w:t>
      </w:r>
      <w:r w:rsidRPr="00981863">
        <w:rPr>
          <w:rFonts w:cstheme="minorHAnsi"/>
          <w:color w:val="000000" w:themeColor="text1"/>
          <w:shd w:val="clear" w:color="auto" w:fill="FFFFFF"/>
          <w:vertAlign w:val="subscript"/>
          <w:lang w:val="en-GB"/>
        </w:rPr>
        <w:t>2</w:t>
      </w:r>
      <w:r w:rsidRPr="00981863">
        <w:rPr>
          <w:rFonts w:cstheme="minorHAnsi"/>
          <w:color w:val="000000" w:themeColor="text1"/>
          <w:shd w:val="clear" w:color="auto" w:fill="FFFFFF"/>
          <w:lang w:val="en-GB"/>
        </w:rPr>
        <w:t>/yr (</w:t>
      </w:r>
      <w:r w:rsidRPr="00981863">
        <w:rPr>
          <w:rFonts w:cstheme="minorHAnsi"/>
          <w:b/>
          <w:bCs/>
          <w:color w:val="000000" w:themeColor="text1"/>
          <w:shd w:val="clear" w:color="auto" w:fill="FFFFFF"/>
          <w:lang w:val="en-GB"/>
        </w:rPr>
        <w:t>C1000</w:t>
      </w:r>
      <w:r w:rsidRPr="00981863">
        <w:rPr>
          <w:rFonts w:cstheme="minorHAnsi"/>
          <w:color w:val="000000" w:themeColor="text1"/>
          <w:shd w:val="clear" w:color="auto" w:fill="FFFFFF"/>
          <w:lang w:val="en-GB"/>
        </w:rPr>
        <w:t xml:space="preserve"> scenario) and 1.7 GtCO</w:t>
      </w:r>
      <w:r w:rsidRPr="00981863">
        <w:rPr>
          <w:rFonts w:cstheme="minorHAnsi"/>
          <w:color w:val="000000" w:themeColor="text1"/>
          <w:shd w:val="clear" w:color="auto" w:fill="FFFFFF"/>
          <w:vertAlign w:val="subscript"/>
          <w:lang w:val="en-GB"/>
        </w:rPr>
        <w:t>2</w:t>
      </w:r>
      <w:r w:rsidRPr="00981863">
        <w:rPr>
          <w:rFonts w:cstheme="minorHAnsi"/>
          <w:color w:val="000000" w:themeColor="text1"/>
          <w:shd w:val="clear" w:color="auto" w:fill="FFFFFF"/>
          <w:lang w:val="en-GB"/>
        </w:rPr>
        <w:t>/yr (</w:t>
      </w:r>
      <w:r w:rsidRPr="00981863">
        <w:rPr>
          <w:rFonts w:cstheme="minorHAnsi"/>
          <w:b/>
          <w:bCs/>
          <w:color w:val="000000" w:themeColor="text1"/>
          <w:shd w:val="clear" w:color="auto" w:fill="FFFFFF"/>
          <w:lang w:val="en-GB"/>
        </w:rPr>
        <w:t>C600</w:t>
      </w:r>
      <w:r w:rsidRPr="00981863">
        <w:rPr>
          <w:rFonts w:cstheme="minorHAnsi"/>
          <w:color w:val="000000" w:themeColor="text1"/>
          <w:shd w:val="clear" w:color="auto" w:fill="FFFFFF"/>
          <w:lang w:val="en-GB"/>
        </w:rPr>
        <w:t xml:space="preserve"> scenario). Typically, BECCS and DACCS gradually escalate between 2040 and 2060, reaching their height towards the end of the century. In Figures 1-6, we compare the annual CO</w:t>
      </w:r>
      <w:r w:rsidRPr="00981863">
        <w:rPr>
          <w:rFonts w:cstheme="minorHAnsi"/>
          <w:color w:val="000000" w:themeColor="text1"/>
          <w:shd w:val="clear" w:color="auto" w:fill="FFFFFF"/>
          <w:vertAlign w:val="subscript"/>
          <w:lang w:val="en-GB"/>
        </w:rPr>
        <w:t>2</w:t>
      </w:r>
      <w:r w:rsidRPr="00981863">
        <w:rPr>
          <w:rFonts w:cstheme="minorHAnsi"/>
          <w:color w:val="000000" w:themeColor="text1"/>
          <w:shd w:val="clear" w:color="auto" w:fill="FFFFFF"/>
          <w:lang w:val="en-GB"/>
        </w:rPr>
        <w:t xml:space="preserve"> removal by BECCS with residual CO</w:t>
      </w:r>
      <w:r w:rsidRPr="00981863">
        <w:rPr>
          <w:rFonts w:cstheme="minorHAnsi"/>
          <w:color w:val="000000" w:themeColor="text1"/>
          <w:shd w:val="clear" w:color="auto" w:fill="FFFFFF"/>
          <w:vertAlign w:val="subscript"/>
          <w:lang w:val="en-GB"/>
        </w:rPr>
        <w:t>2</w:t>
      </w:r>
      <w:r w:rsidRPr="00981863">
        <w:rPr>
          <w:rFonts w:cstheme="minorHAnsi"/>
          <w:color w:val="000000" w:themeColor="text1"/>
          <w:shd w:val="clear" w:color="auto" w:fill="FFFFFF"/>
          <w:lang w:val="en-GB"/>
        </w:rPr>
        <w:t xml:space="preserve"> emissions from shipping in 2050, 2070 and 2090. While shipping annual emissions are comparable to BECCS in 2050, they are no more than 13% of the CDR achieved by BECCS in 2090. This finding should be tempered by the uncertainties surrounding the large-scale deployment of BECCS (</w:t>
      </w:r>
      <w:r w:rsidRPr="00981863">
        <w:rPr>
          <w:lang w:val="en-GB"/>
        </w:rPr>
        <w:t>e.g., land and water requirements</w:t>
      </w:r>
      <w:r w:rsidRPr="00981863">
        <w:rPr>
          <w:lang w:val="en-GB"/>
        </w:rPr>
        <w:fldChar w:fldCharType="begin" w:fldLock="1"/>
      </w:r>
      <w:r w:rsidR="008A0114">
        <w:rPr>
          <w:lang w:val="en-GB"/>
        </w:rPr>
        <w:instrText>ADDIN CSL_CITATION {"citationItems":[{"id":"ITEM-1","itemData":{"DOI":"10.1038/s41558-020-0885-y","ISSN":"1758-6798","abstract":"Bioenergy with carbon capture and storage (BECCS) can act as a negative emission technology and is considered crucial in many climate change mitigation pathways that limit global warming to 1.5–2 °C; however, the negative emission potential of BECCS has not been rigorously assessed. Here we perform a global spatially explicit analysis of life-cycle GHG emissions for lignocellulosic crop-based BECCS. We show that negative emissions greatly depend on biomass cultivation location, treatment of original vegetation, the final energy carrier produced and the evaluation period considered. We find a global potential of 28 EJ per year for electricity with negative emissions, sequestering 2.5 GtCO2 per year when accounting emissions over 30 years, which increases to 220 EJ per year and 40 GtCO2 per year over 80 years. We show that BECCS sequestration projected in IPCC SR1.5 °C pathways can be approached biophysically; however, considering its potentially very large land requirements, we suggest substantially limited and earlier deployment.","author":[{"dropping-particle":"V","family":"Hanssen","given":"S","non-dropping-particle":"","parse-names":false,"suffix":""},{"dropping-particle":"","family":"Daioglou","given":"V","non-dropping-particle":"","parse-names":false,"suffix":""},{"dropping-particle":"","family":"Steinmann","given":"Z J N","non-dropping-particle":"","parse-names":false,"suffix":""},{"dropping-particle":"","family":"Doelman","given":"J C","non-dropping-particle":"","parse-names":false,"suffix":""},{"dropping-particle":"","family":"Vuuren","given":"D P","non-dropping-particle":"Van","parse-names":false,"suffix":""},{"dropping-particle":"","family":"Huijbregts","given":"M A J","non-dropping-particle":"","parse-names":false,"suffix":""}],"container-title":"Nature Climate Change","id":"ITEM-1","issue":"11","issued":{"date-parts":[["2020"]]},"page":"1023-1029","title":"The climate change mitigation potential of bioenergy with carbon capture and storage","type":"article-journal","volume":"10"},"uris":["http://www.mendeley.com/documents/?uuid=5f2e2f45-74ac-4df3-84ee-15bb01c824ad"]},{"id":"ITEM-2","itemData":{"DOI":"10.1038/s41467-021-21640-3","ISSN":"2041-1723","abstract":"Bioenergy with carbon capture and storage (BECCS) is considered an important negative emissions (NEs) technology, but might involve substantial irrigation on biomass plantations. Potential water stress resulting from the additional withdrawals warrants evaluation against the avoided climate change impact. Here we quantitatively assess potential side effects of BECCS with respect to water stress by disentangling the associated drivers (irrigated biomass plantations, climate, land use patterns) using comprehensive global model simulations. By considering a widespread use of irrigated biomass plantations, global warming by the end of the 21st century could be limited to 1.5 °C compared to a climate change scenario with 3 °C. However, our results suggest that both the global area and population living under severe water stress in the BECCS scenario would double compared to today and even exceed the impact of climate change. Such side effects of achieving substantial NEs would come as an extra pressure in an already water-stressed world and could only be avoided if sustainable water management were implemented globally.","author":[{"dropping-particle":"","family":"Stenzel","given":"Fabian","non-dropping-particle":"","parse-names":false,"suffix":""},{"dropping-particle":"","family":"Greve","given":"Peter","non-dropping-particle":"","parse-names":false,"suffix":""},{"dropping-particle":"","family":"Lucht","given":"Wolfgang","non-dropping-particle":"","parse-names":false,"suffix":""},{"dropping-particle":"","family":"Tramberend","given":"Sylvia","non-dropping-particle":"","parse-names":false,"suffix":""},{"dropping-particle":"","family":"Wada","given":"Yoshihide","non-dropping-particle":"","parse-names":false,"suffix":""},{"dropping-particle":"","family":"Gerten","given":"Dieter","non-dropping-particle":"","parse-names":false,"suffix":""}],"container-title":"Nature Communications","id":"ITEM-2","issue":"1","issued":{"date-parts":[["2021"]]},"page":"1512","title":"Irrigation of biomass plantations may globally increase water stress more than climate change","type":"article-journal","volume":"12"},"uris":["http://www.mendeley.com/documents/?uuid=4352b6c5-6dab-4d81-9689-354f0fddd269"]}],"mendeley":{"formattedCitation":"&lt;sup&gt;19,20&lt;/sup&gt;","plainTextFormattedCitation":"19,20","previouslyFormattedCitation":"&lt;sup&gt;19,20&lt;/sup&gt;"},"properties":{"noteIndex":0},"schema":"https://github.com/citation-style-language/schema/raw/master/csl-citation.json"}</w:instrText>
      </w:r>
      <w:r w:rsidRPr="00981863">
        <w:rPr>
          <w:lang w:val="en-GB"/>
        </w:rPr>
        <w:fldChar w:fldCharType="separate"/>
      </w:r>
      <w:r w:rsidR="00384CBA" w:rsidRPr="00384CBA">
        <w:rPr>
          <w:noProof/>
          <w:vertAlign w:val="superscript"/>
          <w:lang w:val="en-GB"/>
        </w:rPr>
        <w:t>19,20</w:t>
      </w:r>
      <w:r w:rsidRPr="00981863">
        <w:rPr>
          <w:lang w:val="en-GB"/>
        </w:rPr>
        <w:fldChar w:fldCharType="end"/>
      </w:r>
      <w:r w:rsidRPr="00981863">
        <w:rPr>
          <w:rFonts w:cstheme="minorHAnsi"/>
          <w:color w:val="000000" w:themeColor="text1"/>
          <w:shd w:val="clear" w:color="auto" w:fill="FFFFFF"/>
          <w:lang w:val="en-GB"/>
        </w:rPr>
        <w:t xml:space="preserve">) </w:t>
      </w:r>
      <w:r w:rsidRPr="00981863">
        <w:rPr>
          <w:lang w:val="en-GB"/>
        </w:rPr>
        <w:t>and DACCS (e.g., chemicals availability, technological maturity and water requirements</w:t>
      </w:r>
      <w:r w:rsidRPr="00981863">
        <w:rPr>
          <w:lang w:val="en-GB"/>
        </w:rPr>
        <w:fldChar w:fldCharType="begin" w:fldLock="1"/>
      </w:r>
      <w:r w:rsidR="008A0114">
        <w:rPr>
          <w:lang w:val="en-GB"/>
        </w:rPr>
        <w:instrText>ADDIN CSL_CITATION {"citationItems":[{"id":"ITEM-1","itemData":{"author":[{"dropping-particle":"","family":"Fonte","given":"Clarissa","non-dropping-particle":"","parse-names":false,"suffix":""}],"id":"ITEM-1","issued":{"date-parts":[["2021"]]},"publisher":"Universidade Federal do Rio de Janeiro","title":"Avaliação de Rota de Produção de Eletrocombustíveis para Aviação Utilizando Eletricidade Solar Fotovoltaica e Captura de Dióxido de Carbono Diretamente do Ar","type":"thesis"},"uris":["http://www.mendeley.com/documents/?uuid=3509b9a0-e8c6-4c8f-8b01-9cad017363ad"]},{"id":"ITEM-2","itemData":{"DOI":"10.1038/s41467-022-31146-1","ISSN":"2041-1723","abstract":"Direct air capture (DAC) is critical for achieving stringent climate targets, yet the environmental implications of its large-scale deployment have not been evaluated in this context. Performing a prospective life cycle assessment for two promising technologies in a series of climate change mitigation scenarios, we find that electricity sector decarbonization and DAC technology improvements are both indispensable to avoid environmental problem-shifting. Decarbonizing the electricity sector improves the sequestration efficiency, but also increases the terrestrial ecotoxicity and metal depletion levels per tonne of CO2 sequestered via DAC. These increases can be reduced by improvements in DAC material and energy use efficiencies. DAC exhibits regional environmental impact variations, highlighting the importance of smart siting related to energy system planning and integration. DAC deployment aids the achievement of long-term climate targets, its environmental and climate performance however depend on sectoral mitigation actions, and thus should not suggest a relaxation of sectoral decarbonization targets.","author":[{"dropping-particle":"","family":"Qiu","given":"Yang","non-dropping-particle":"","parse-names":false,"suffix":""},{"dropping-particle":"","family":"Lamers","given":"Patrick","non-dropping-particle":"","parse-names":false,"suffix":""},{"dropping-particle":"","family":"Daioglou","given":"Vassilis","non-dropping-particle":"","parse-names":false,"suffix":""},{"dropping-particle":"","family":"McQueen","given":"Noah","non-dropping-particle":"","parse-names":false,"suffix":""},{"dropping-particle":"","family":"Boer","given":"Harmen-Sytze","non-dropping-particle":"de","parse-names":false,"suffix":""},{"dropping-particle":"","family":"Harmsen","given":"Mathijs","non-dropping-particle":"","parse-names":false,"suffix":""},{"dropping-particle":"","family":"Wilcox","given":"Jennifer","non-dropping-particle":"","parse-names":false,"suffix":""},{"dropping-particle":"","family":"Bardow","given":"André","non-dropping-particle":"","parse-names":false,"suffix":""},{"dropping-particle":"","family":"Suh","given":"Sangwon","non-dropping-particle":"","parse-names":false,"suffix":""}],"container-title":"Nature Communications","id":"ITEM-2","issue":"1","issued":{"date-parts":[["2022"]]},"page":"3635","title":"Environmental trade-offs of direct air capture technologies in climate change mitigation toward 2100","type":"article-journal","volume":"13"},"uris":["http://www.mendeley.com/documents/?uuid=a465b763-1532-4897-8e30-76bc02454576"]}],"mendeley":{"formattedCitation":"&lt;sup&gt;21,22&lt;/sup&gt;","plainTextFormattedCitation":"21,22","previouslyFormattedCitation":"&lt;sup&gt;21,22&lt;/sup&gt;"},"properties":{"noteIndex":0},"schema":"https://github.com/citation-style-language/schema/raw/master/csl-citation.json"}</w:instrText>
      </w:r>
      <w:r w:rsidRPr="00981863">
        <w:rPr>
          <w:lang w:val="en-GB"/>
        </w:rPr>
        <w:fldChar w:fldCharType="separate"/>
      </w:r>
      <w:r w:rsidR="00384CBA" w:rsidRPr="00384CBA">
        <w:rPr>
          <w:noProof/>
          <w:vertAlign w:val="superscript"/>
          <w:lang w:val="en-GB"/>
        </w:rPr>
        <w:t>21,22</w:t>
      </w:r>
      <w:r w:rsidRPr="00981863">
        <w:rPr>
          <w:lang w:val="en-GB"/>
        </w:rPr>
        <w:fldChar w:fldCharType="end"/>
      </w:r>
      <w:r w:rsidRPr="00981863">
        <w:rPr>
          <w:lang w:val="en-GB"/>
        </w:rPr>
        <w:t xml:space="preserve">). Restrictions on the </w:t>
      </w:r>
      <w:r w:rsidRPr="00981863">
        <w:rPr>
          <w:lang w:val="en-GB"/>
        </w:rPr>
        <w:lastRenderedPageBreak/>
        <w:t>diffusion and implementation of these technologies would mean a higher decarbonisation pressure on the shipping sector.</w:t>
      </w:r>
    </w:p>
    <w:p w14:paraId="606FC156" w14:textId="77777777" w:rsidR="00F93190" w:rsidRPr="00981863" w:rsidRDefault="00F93190" w:rsidP="00F93190">
      <w:pPr>
        <w:spacing w:line="360" w:lineRule="auto"/>
        <w:jc w:val="both"/>
        <w:rPr>
          <w:rFonts w:cstheme="minorHAnsi"/>
          <w:color w:val="000000" w:themeColor="text1"/>
          <w:shd w:val="clear" w:color="auto" w:fill="FFFFFF"/>
          <w:lang w:val="en-GB"/>
        </w:rPr>
      </w:pPr>
    </w:p>
    <w:p w14:paraId="3A58F38F" w14:textId="77777777" w:rsidR="00F93190" w:rsidRPr="00981863" w:rsidRDefault="00F93190" w:rsidP="00F93190">
      <w:pPr>
        <w:spacing w:line="360" w:lineRule="auto"/>
        <w:jc w:val="center"/>
        <w:rPr>
          <w:rFonts w:cstheme="minorHAnsi"/>
          <w:color w:val="000000" w:themeColor="text1"/>
          <w:shd w:val="clear" w:color="auto" w:fill="FFFFFF"/>
          <w:lang w:val="en-GB"/>
        </w:rPr>
      </w:pPr>
      <w:r w:rsidRPr="00981863">
        <w:rPr>
          <w:rFonts w:cstheme="minorHAnsi"/>
          <w:noProof/>
          <w:color w:val="000000" w:themeColor="text1"/>
          <w:shd w:val="clear" w:color="auto" w:fill="FFFFFF"/>
          <w:lang w:val="en-GB"/>
        </w:rPr>
        <w:drawing>
          <wp:inline distT="0" distB="0" distL="0" distR="0" wp14:anchorId="3C60DEE4" wp14:editId="3DB9AC25">
            <wp:extent cx="3076575" cy="2405063"/>
            <wp:effectExtent l="0" t="0" r="9525" b="14605"/>
            <wp:docPr id="3" name="Gráfico 3">
              <a:extLst xmlns:a="http://schemas.openxmlformats.org/drawingml/2006/main">
                <a:ext uri="{FF2B5EF4-FFF2-40B4-BE49-F238E27FC236}">
                  <a16:creationId xmlns:a16="http://schemas.microsoft.com/office/drawing/2014/main" id="{BE16D28B-7B01-FCCB-8F70-8BC533751D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1847D56" w14:textId="3FC94E10" w:rsidR="00F93190" w:rsidRPr="00981863" w:rsidRDefault="00F93190" w:rsidP="00F93190">
      <w:pPr>
        <w:pStyle w:val="Legenda"/>
        <w:spacing w:line="360" w:lineRule="auto"/>
        <w:jc w:val="center"/>
        <w:rPr>
          <w:i w:val="0"/>
          <w:iCs w:val="0"/>
          <w:lang w:val="en-GB"/>
        </w:rPr>
      </w:pPr>
      <w:bookmarkStart w:id="4" w:name="_Hlk128573604"/>
      <w:r w:rsidRPr="00981863">
        <w:rPr>
          <w:i w:val="0"/>
          <w:iCs w:val="0"/>
          <w:lang w:val="en-GB"/>
        </w:rPr>
        <w:t xml:space="preserve">Figure </w:t>
      </w:r>
      <w:r w:rsidRPr="00981863">
        <w:rPr>
          <w:i w:val="0"/>
          <w:iCs w:val="0"/>
          <w:lang w:val="en-GB"/>
        </w:rPr>
        <w:fldChar w:fldCharType="begin"/>
      </w:r>
      <w:r w:rsidRPr="00981863">
        <w:rPr>
          <w:i w:val="0"/>
          <w:iCs w:val="0"/>
          <w:lang w:val="en-GB"/>
        </w:rPr>
        <w:instrText xml:space="preserve"> SEQ Figure \* ARABIC </w:instrText>
      </w:r>
      <w:r w:rsidRPr="00981863">
        <w:rPr>
          <w:i w:val="0"/>
          <w:iCs w:val="0"/>
          <w:lang w:val="en-GB"/>
        </w:rPr>
        <w:fldChar w:fldCharType="separate"/>
      </w:r>
      <w:r w:rsidR="00F3536E">
        <w:rPr>
          <w:i w:val="0"/>
          <w:iCs w:val="0"/>
          <w:noProof/>
          <w:lang w:val="en-GB"/>
        </w:rPr>
        <w:t>1</w:t>
      </w:r>
      <w:r w:rsidRPr="00981863">
        <w:rPr>
          <w:i w:val="0"/>
          <w:iCs w:val="0"/>
          <w:lang w:val="en-GB"/>
        </w:rPr>
        <w:fldChar w:fldCharType="end"/>
      </w:r>
      <w:r w:rsidRPr="00981863">
        <w:rPr>
          <w:i w:val="0"/>
          <w:iCs w:val="0"/>
          <w:lang w:val="en-GB"/>
        </w:rPr>
        <w:t xml:space="preserve"> – International shipping emissions (dark) compared to annual CO</w:t>
      </w:r>
      <w:r w:rsidRPr="00981863">
        <w:rPr>
          <w:i w:val="0"/>
          <w:iCs w:val="0"/>
          <w:vertAlign w:val="subscript"/>
          <w:lang w:val="en-GB"/>
        </w:rPr>
        <w:t>2</w:t>
      </w:r>
      <w:r w:rsidRPr="00981863">
        <w:rPr>
          <w:i w:val="0"/>
          <w:iCs w:val="0"/>
          <w:lang w:val="en-GB"/>
        </w:rPr>
        <w:t xml:space="preserve"> removal through BECCS in 2050 (light). Red triangles indicate the proportions between these two values – C1000 scenarios</w:t>
      </w:r>
    </w:p>
    <w:bookmarkEnd w:id="4"/>
    <w:p w14:paraId="52C8EB30" w14:textId="77777777" w:rsidR="00F93190" w:rsidRPr="00981863" w:rsidRDefault="00F93190" w:rsidP="00F93190">
      <w:pPr>
        <w:spacing w:line="360" w:lineRule="auto"/>
        <w:jc w:val="center"/>
        <w:rPr>
          <w:rFonts w:cstheme="minorHAnsi"/>
          <w:color w:val="000000" w:themeColor="text1"/>
          <w:shd w:val="clear" w:color="auto" w:fill="FFFFFF"/>
          <w:lang w:val="en-GB"/>
        </w:rPr>
      </w:pPr>
      <w:r w:rsidRPr="00981863">
        <w:rPr>
          <w:rFonts w:cstheme="minorHAnsi"/>
          <w:noProof/>
          <w:color w:val="000000" w:themeColor="text1"/>
          <w:shd w:val="clear" w:color="auto" w:fill="FFFFFF"/>
          <w:lang w:val="en-GB"/>
        </w:rPr>
        <w:drawing>
          <wp:inline distT="0" distB="0" distL="0" distR="0" wp14:anchorId="057F0003" wp14:editId="170DE52E">
            <wp:extent cx="3076575" cy="2405063"/>
            <wp:effectExtent l="0" t="0" r="9525" b="14605"/>
            <wp:docPr id="5" name="Gráfico 5">
              <a:extLst xmlns:a="http://schemas.openxmlformats.org/drawingml/2006/main">
                <a:ext uri="{FF2B5EF4-FFF2-40B4-BE49-F238E27FC236}">
                  <a16:creationId xmlns:a16="http://schemas.microsoft.com/office/drawing/2014/main" id="{C65604C4-EB8E-432C-820F-A008E3E908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0F36AF5" w14:textId="4C88BBBF" w:rsidR="00F93190" w:rsidRPr="00981863" w:rsidRDefault="00F93190" w:rsidP="00F93190">
      <w:pPr>
        <w:pStyle w:val="Legenda"/>
        <w:spacing w:line="360" w:lineRule="auto"/>
        <w:jc w:val="center"/>
        <w:rPr>
          <w:i w:val="0"/>
          <w:iCs w:val="0"/>
          <w:lang w:val="en-GB"/>
        </w:rPr>
      </w:pPr>
      <w:r w:rsidRPr="00981863">
        <w:rPr>
          <w:i w:val="0"/>
          <w:iCs w:val="0"/>
          <w:lang w:val="en-GB"/>
        </w:rPr>
        <w:t xml:space="preserve">Figure </w:t>
      </w:r>
      <w:r w:rsidRPr="00981863">
        <w:rPr>
          <w:i w:val="0"/>
          <w:iCs w:val="0"/>
          <w:lang w:val="en-GB"/>
        </w:rPr>
        <w:fldChar w:fldCharType="begin"/>
      </w:r>
      <w:r w:rsidRPr="00981863">
        <w:rPr>
          <w:i w:val="0"/>
          <w:iCs w:val="0"/>
          <w:lang w:val="en-GB"/>
        </w:rPr>
        <w:instrText xml:space="preserve"> SEQ Figure \* ARABIC </w:instrText>
      </w:r>
      <w:r w:rsidRPr="00981863">
        <w:rPr>
          <w:i w:val="0"/>
          <w:iCs w:val="0"/>
          <w:lang w:val="en-GB"/>
        </w:rPr>
        <w:fldChar w:fldCharType="separate"/>
      </w:r>
      <w:r w:rsidR="00F3536E">
        <w:rPr>
          <w:i w:val="0"/>
          <w:iCs w:val="0"/>
          <w:noProof/>
          <w:lang w:val="en-GB"/>
        </w:rPr>
        <w:t>2</w:t>
      </w:r>
      <w:r w:rsidRPr="00981863">
        <w:rPr>
          <w:i w:val="0"/>
          <w:iCs w:val="0"/>
          <w:lang w:val="en-GB"/>
        </w:rPr>
        <w:fldChar w:fldCharType="end"/>
      </w:r>
      <w:r w:rsidRPr="00981863">
        <w:rPr>
          <w:i w:val="0"/>
          <w:iCs w:val="0"/>
          <w:lang w:val="en-GB"/>
        </w:rPr>
        <w:t xml:space="preserve"> – International shipping emissions (dark) compared to annual CO</w:t>
      </w:r>
      <w:r w:rsidRPr="00981863">
        <w:rPr>
          <w:i w:val="0"/>
          <w:iCs w:val="0"/>
          <w:vertAlign w:val="subscript"/>
          <w:lang w:val="en-GB"/>
        </w:rPr>
        <w:t>2</w:t>
      </w:r>
      <w:r w:rsidRPr="00981863">
        <w:rPr>
          <w:i w:val="0"/>
          <w:iCs w:val="0"/>
          <w:lang w:val="en-GB"/>
        </w:rPr>
        <w:t xml:space="preserve"> removal through BECCS in 2070 (light). Red triangles indicate the proportions between these two values – C1000 scenarios</w:t>
      </w:r>
    </w:p>
    <w:p w14:paraId="155AE1C5" w14:textId="77777777" w:rsidR="00F93190" w:rsidRPr="00981863" w:rsidRDefault="00F93190" w:rsidP="00F93190">
      <w:pPr>
        <w:spacing w:line="360" w:lineRule="auto"/>
        <w:jc w:val="center"/>
        <w:rPr>
          <w:lang w:val="en-GB"/>
        </w:rPr>
      </w:pPr>
      <w:r w:rsidRPr="00981863">
        <w:rPr>
          <w:noProof/>
          <w:lang w:val="en-GB"/>
        </w:rPr>
        <w:lastRenderedPageBreak/>
        <w:drawing>
          <wp:inline distT="0" distB="0" distL="0" distR="0" wp14:anchorId="73B4F7D5" wp14:editId="0B1DD21B">
            <wp:extent cx="3076575" cy="2405063"/>
            <wp:effectExtent l="0" t="0" r="9525" b="14605"/>
            <wp:docPr id="7" name="Gráfico 7">
              <a:extLst xmlns:a="http://schemas.openxmlformats.org/drawingml/2006/main">
                <a:ext uri="{FF2B5EF4-FFF2-40B4-BE49-F238E27FC236}">
                  <a16:creationId xmlns:a16="http://schemas.microsoft.com/office/drawing/2014/main" id="{3DE15B00-A1B4-4678-A398-DD5297E62F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A93EED9" w14:textId="720917F0" w:rsidR="00F93190" w:rsidRPr="00981863" w:rsidRDefault="00F93190" w:rsidP="00F93190">
      <w:pPr>
        <w:pStyle w:val="Legenda"/>
        <w:spacing w:line="360" w:lineRule="auto"/>
        <w:jc w:val="center"/>
        <w:rPr>
          <w:i w:val="0"/>
          <w:iCs w:val="0"/>
          <w:lang w:val="en-GB"/>
        </w:rPr>
      </w:pPr>
      <w:r w:rsidRPr="00981863">
        <w:rPr>
          <w:i w:val="0"/>
          <w:iCs w:val="0"/>
          <w:lang w:val="en-GB"/>
        </w:rPr>
        <w:t xml:space="preserve">Figure </w:t>
      </w:r>
      <w:r w:rsidRPr="00981863">
        <w:rPr>
          <w:i w:val="0"/>
          <w:iCs w:val="0"/>
          <w:lang w:val="en-GB"/>
        </w:rPr>
        <w:fldChar w:fldCharType="begin"/>
      </w:r>
      <w:r w:rsidRPr="00981863">
        <w:rPr>
          <w:i w:val="0"/>
          <w:iCs w:val="0"/>
          <w:lang w:val="en-GB"/>
        </w:rPr>
        <w:instrText xml:space="preserve"> SEQ Figure \* ARABIC </w:instrText>
      </w:r>
      <w:r w:rsidRPr="00981863">
        <w:rPr>
          <w:i w:val="0"/>
          <w:iCs w:val="0"/>
          <w:lang w:val="en-GB"/>
        </w:rPr>
        <w:fldChar w:fldCharType="separate"/>
      </w:r>
      <w:r w:rsidR="00F3536E">
        <w:rPr>
          <w:i w:val="0"/>
          <w:iCs w:val="0"/>
          <w:noProof/>
          <w:lang w:val="en-GB"/>
        </w:rPr>
        <w:t>3</w:t>
      </w:r>
      <w:r w:rsidRPr="00981863">
        <w:rPr>
          <w:i w:val="0"/>
          <w:iCs w:val="0"/>
          <w:lang w:val="en-GB"/>
        </w:rPr>
        <w:fldChar w:fldCharType="end"/>
      </w:r>
      <w:r w:rsidRPr="00981863">
        <w:rPr>
          <w:i w:val="0"/>
          <w:iCs w:val="0"/>
          <w:lang w:val="en-GB"/>
        </w:rPr>
        <w:t xml:space="preserve"> – International shipping emissions (dark) compared to annual CO</w:t>
      </w:r>
      <w:r w:rsidRPr="00981863">
        <w:rPr>
          <w:i w:val="0"/>
          <w:iCs w:val="0"/>
          <w:vertAlign w:val="subscript"/>
          <w:lang w:val="en-GB"/>
        </w:rPr>
        <w:t>2</w:t>
      </w:r>
      <w:r w:rsidRPr="00981863">
        <w:rPr>
          <w:i w:val="0"/>
          <w:iCs w:val="0"/>
          <w:lang w:val="en-GB"/>
        </w:rPr>
        <w:t xml:space="preserve"> removal through BECCS in 2090 (light). Red triangles indicate the proportions between these two values – C1000 scenarios</w:t>
      </w:r>
    </w:p>
    <w:p w14:paraId="783EED95" w14:textId="77777777" w:rsidR="00F93190" w:rsidRPr="00981863" w:rsidRDefault="00F93190" w:rsidP="00F93190">
      <w:pPr>
        <w:spacing w:line="360" w:lineRule="auto"/>
        <w:jc w:val="center"/>
        <w:rPr>
          <w:lang w:val="en-GB"/>
        </w:rPr>
      </w:pPr>
      <w:r w:rsidRPr="00981863">
        <w:rPr>
          <w:noProof/>
          <w:lang w:val="en-GB"/>
        </w:rPr>
        <w:drawing>
          <wp:inline distT="0" distB="0" distL="0" distR="0" wp14:anchorId="5ED09604" wp14:editId="121218B9">
            <wp:extent cx="3076575" cy="2405063"/>
            <wp:effectExtent l="0" t="0" r="9525" b="14605"/>
            <wp:docPr id="9" name="Gráfico 9">
              <a:extLst xmlns:a="http://schemas.openxmlformats.org/drawingml/2006/main">
                <a:ext uri="{FF2B5EF4-FFF2-40B4-BE49-F238E27FC236}">
                  <a16:creationId xmlns:a16="http://schemas.microsoft.com/office/drawing/2014/main" id="{8A58B0DC-B79E-44FF-BCDB-4BA40B682D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12D611F" w14:textId="161A1EFA" w:rsidR="00F93190" w:rsidRPr="00981863" w:rsidRDefault="00F93190" w:rsidP="00F93190">
      <w:pPr>
        <w:pStyle w:val="Legenda"/>
        <w:spacing w:line="360" w:lineRule="auto"/>
        <w:jc w:val="center"/>
        <w:rPr>
          <w:i w:val="0"/>
          <w:iCs w:val="0"/>
          <w:lang w:val="en-GB"/>
        </w:rPr>
      </w:pPr>
      <w:r w:rsidRPr="00981863">
        <w:rPr>
          <w:i w:val="0"/>
          <w:iCs w:val="0"/>
          <w:lang w:val="en-GB"/>
        </w:rPr>
        <w:t xml:space="preserve">Figure </w:t>
      </w:r>
      <w:r w:rsidRPr="00981863">
        <w:rPr>
          <w:i w:val="0"/>
          <w:iCs w:val="0"/>
          <w:lang w:val="en-GB"/>
        </w:rPr>
        <w:fldChar w:fldCharType="begin"/>
      </w:r>
      <w:r w:rsidRPr="00981863">
        <w:rPr>
          <w:i w:val="0"/>
          <w:iCs w:val="0"/>
          <w:lang w:val="en-GB"/>
        </w:rPr>
        <w:instrText xml:space="preserve"> SEQ Figure \* ARABIC </w:instrText>
      </w:r>
      <w:r w:rsidRPr="00981863">
        <w:rPr>
          <w:i w:val="0"/>
          <w:iCs w:val="0"/>
          <w:lang w:val="en-GB"/>
        </w:rPr>
        <w:fldChar w:fldCharType="separate"/>
      </w:r>
      <w:r w:rsidR="00F3536E">
        <w:rPr>
          <w:i w:val="0"/>
          <w:iCs w:val="0"/>
          <w:noProof/>
          <w:lang w:val="en-GB"/>
        </w:rPr>
        <w:t>4</w:t>
      </w:r>
      <w:r w:rsidRPr="00981863">
        <w:rPr>
          <w:i w:val="0"/>
          <w:iCs w:val="0"/>
          <w:lang w:val="en-GB"/>
        </w:rPr>
        <w:fldChar w:fldCharType="end"/>
      </w:r>
      <w:r w:rsidRPr="00981863">
        <w:rPr>
          <w:i w:val="0"/>
          <w:iCs w:val="0"/>
          <w:lang w:val="en-GB"/>
        </w:rPr>
        <w:t xml:space="preserve"> – International shipping emissions (dark) compared to annual CO</w:t>
      </w:r>
      <w:r w:rsidRPr="00981863">
        <w:rPr>
          <w:i w:val="0"/>
          <w:iCs w:val="0"/>
          <w:vertAlign w:val="subscript"/>
          <w:lang w:val="en-GB"/>
        </w:rPr>
        <w:t>2</w:t>
      </w:r>
      <w:r w:rsidRPr="00981863">
        <w:rPr>
          <w:i w:val="0"/>
          <w:iCs w:val="0"/>
          <w:lang w:val="en-GB"/>
        </w:rPr>
        <w:t xml:space="preserve"> removal through BECCS in 2050 (light). Red triangles indicate the proportions between these two values – C600 scenarios</w:t>
      </w:r>
    </w:p>
    <w:p w14:paraId="64F39CA1" w14:textId="77777777" w:rsidR="00F93190" w:rsidRPr="00981863" w:rsidRDefault="00F93190" w:rsidP="00F93190">
      <w:pPr>
        <w:spacing w:line="360" w:lineRule="auto"/>
        <w:jc w:val="center"/>
        <w:rPr>
          <w:lang w:val="en-GB"/>
        </w:rPr>
      </w:pPr>
      <w:r w:rsidRPr="00981863">
        <w:rPr>
          <w:noProof/>
          <w:lang w:val="en-GB"/>
        </w:rPr>
        <w:drawing>
          <wp:inline distT="0" distB="0" distL="0" distR="0" wp14:anchorId="4B9BA456" wp14:editId="5B4B2C8D">
            <wp:extent cx="3076575" cy="2405063"/>
            <wp:effectExtent l="0" t="0" r="9525" b="14605"/>
            <wp:docPr id="10" name="Gráfico 10">
              <a:extLst xmlns:a="http://schemas.openxmlformats.org/drawingml/2006/main">
                <a:ext uri="{FF2B5EF4-FFF2-40B4-BE49-F238E27FC236}">
                  <a16:creationId xmlns:a16="http://schemas.microsoft.com/office/drawing/2014/main" id="{087DEC71-C29A-43A5-9540-1FEBB3C8FC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0CCB96E" w14:textId="6F641E0A" w:rsidR="00F93190" w:rsidRPr="00981863" w:rsidRDefault="00F93190" w:rsidP="00F93190">
      <w:pPr>
        <w:pStyle w:val="Legenda"/>
        <w:spacing w:line="360" w:lineRule="auto"/>
        <w:jc w:val="center"/>
        <w:rPr>
          <w:i w:val="0"/>
          <w:iCs w:val="0"/>
          <w:lang w:val="en-GB"/>
        </w:rPr>
      </w:pPr>
      <w:r w:rsidRPr="00981863">
        <w:rPr>
          <w:i w:val="0"/>
          <w:iCs w:val="0"/>
          <w:lang w:val="en-GB"/>
        </w:rPr>
        <w:lastRenderedPageBreak/>
        <w:t xml:space="preserve">Figure </w:t>
      </w:r>
      <w:r w:rsidRPr="00981863">
        <w:rPr>
          <w:i w:val="0"/>
          <w:iCs w:val="0"/>
          <w:lang w:val="en-GB"/>
        </w:rPr>
        <w:fldChar w:fldCharType="begin"/>
      </w:r>
      <w:r w:rsidRPr="00981863">
        <w:rPr>
          <w:i w:val="0"/>
          <w:iCs w:val="0"/>
          <w:lang w:val="en-GB"/>
        </w:rPr>
        <w:instrText xml:space="preserve"> SEQ Figure \* ARABIC </w:instrText>
      </w:r>
      <w:r w:rsidRPr="00981863">
        <w:rPr>
          <w:i w:val="0"/>
          <w:iCs w:val="0"/>
          <w:lang w:val="en-GB"/>
        </w:rPr>
        <w:fldChar w:fldCharType="separate"/>
      </w:r>
      <w:r w:rsidR="00F3536E">
        <w:rPr>
          <w:i w:val="0"/>
          <w:iCs w:val="0"/>
          <w:noProof/>
          <w:lang w:val="en-GB"/>
        </w:rPr>
        <w:t>5</w:t>
      </w:r>
      <w:r w:rsidRPr="00981863">
        <w:rPr>
          <w:i w:val="0"/>
          <w:iCs w:val="0"/>
          <w:lang w:val="en-GB"/>
        </w:rPr>
        <w:fldChar w:fldCharType="end"/>
      </w:r>
      <w:r w:rsidRPr="00981863">
        <w:rPr>
          <w:i w:val="0"/>
          <w:iCs w:val="0"/>
          <w:lang w:val="en-GB"/>
        </w:rPr>
        <w:t xml:space="preserve"> – International shipping emissions (dark) compared to annual CO</w:t>
      </w:r>
      <w:r w:rsidRPr="00981863">
        <w:rPr>
          <w:i w:val="0"/>
          <w:iCs w:val="0"/>
          <w:vertAlign w:val="subscript"/>
          <w:lang w:val="en-GB"/>
        </w:rPr>
        <w:t>2</w:t>
      </w:r>
      <w:r w:rsidRPr="00981863">
        <w:rPr>
          <w:i w:val="0"/>
          <w:iCs w:val="0"/>
          <w:lang w:val="en-GB"/>
        </w:rPr>
        <w:t xml:space="preserve"> removal through BECCS in 2070 (light). Red triangles indicate the proportions between these two values – C600 scenarios</w:t>
      </w:r>
    </w:p>
    <w:p w14:paraId="78F2B535" w14:textId="77777777" w:rsidR="00F93190" w:rsidRPr="00981863" w:rsidRDefault="00F93190" w:rsidP="00F93190">
      <w:pPr>
        <w:spacing w:line="360" w:lineRule="auto"/>
        <w:jc w:val="center"/>
        <w:rPr>
          <w:lang w:val="en-GB"/>
        </w:rPr>
      </w:pPr>
      <w:r w:rsidRPr="00981863">
        <w:rPr>
          <w:noProof/>
          <w:lang w:val="en-GB"/>
        </w:rPr>
        <w:drawing>
          <wp:inline distT="0" distB="0" distL="0" distR="0" wp14:anchorId="64D6D14A" wp14:editId="6DF8F1AA">
            <wp:extent cx="3076575" cy="2405063"/>
            <wp:effectExtent l="0" t="0" r="9525" b="14605"/>
            <wp:docPr id="11" name="Gráfico 11">
              <a:extLst xmlns:a="http://schemas.openxmlformats.org/drawingml/2006/main">
                <a:ext uri="{FF2B5EF4-FFF2-40B4-BE49-F238E27FC236}">
                  <a16:creationId xmlns:a16="http://schemas.microsoft.com/office/drawing/2014/main" id="{EC3A03D7-8D4D-4A7C-A1B6-36C61666C9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684D1C1" w14:textId="00B2ADD6" w:rsidR="00F93190" w:rsidRPr="00384CBA" w:rsidRDefault="00F93190" w:rsidP="00384CBA">
      <w:pPr>
        <w:pStyle w:val="Legenda"/>
        <w:spacing w:line="360" w:lineRule="auto"/>
        <w:jc w:val="center"/>
        <w:rPr>
          <w:i w:val="0"/>
          <w:iCs w:val="0"/>
          <w:lang w:val="en-GB"/>
        </w:rPr>
      </w:pPr>
      <w:r w:rsidRPr="00981863">
        <w:rPr>
          <w:i w:val="0"/>
          <w:iCs w:val="0"/>
          <w:lang w:val="en-GB"/>
        </w:rPr>
        <w:t xml:space="preserve">Figure </w:t>
      </w:r>
      <w:r w:rsidRPr="00981863">
        <w:rPr>
          <w:i w:val="0"/>
          <w:iCs w:val="0"/>
          <w:lang w:val="en-GB"/>
        </w:rPr>
        <w:fldChar w:fldCharType="begin"/>
      </w:r>
      <w:r w:rsidRPr="00981863">
        <w:rPr>
          <w:i w:val="0"/>
          <w:iCs w:val="0"/>
          <w:lang w:val="en-GB"/>
        </w:rPr>
        <w:instrText xml:space="preserve"> SEQ Figure \* ARABIC </w:instrText>
      </w:r>
      <w:r w:rsidRPr="00981863">
        <w:rPr>
          <w:i w:val="0"/>
          <w:iCs w:val="0"/>
          <w:lang w:val="en-GB"/>
        </w:rPr>
        <w:fldChar w:fldCharType="separate"/>
      </w:r>
      <w:r w:rsidR="00F3536E">
        <w:rPr>
          <w:i w:val="0"/>
          <w:iCs w:val="0"/>
          <w:noProof/>
          <w:lang w:val="en-GB"/>
        </w:rPr>
        <w:t>6</w:t>
      </w:r>
      <w:r w:rsidRPr="00981863">
        <w:rPr>
          <w:i w:val="0"/>
          <w:iCs w:val="0"/>
          <w:lang w:val="en-GB"/>
        </w:rPr>
        <w:fldChar w:fldCharType="end"/>
      </w:r>
      <w:r w:rsidRPr="00981863">
        <w:rPr>
          <w:i w:val="0"/>
          <w:iCs w:val="0"/>
          <w:lang w:val="en-GB"/>
        </w:rPr>
        <w:t xml:space="preserve"> – International shipping emissions (dark) compared to annual CO</w:t>
      </w:r>
      <w:r w:rsidRPr="00981863">
        <w:rPr>
          <w:i w:val="0"/>
          <w:iCs w:val="0"/>
          <w:vertAlign w:val="subscript"/>
          <w:lang w:val="en-GB"/>
        </w:rPr>
        <w:t>2</w:t>
      </w:r>
      <w:r w:rsidRPr="00981863">
        <w:rPr>
          <w:i w:val="0"/>
          <w:iCs w:val="0"/>
          <w:lang w:val="en-GB"/>
        </w:rPr>
        <w:t xml:space="preserve"> removal through BECCS in 2090 (light). Red triangles indicate the proportions between these two values – C600 scenarios</w:t>
      </w:r>
    </w:p>
    <w:p w14:paraId="621953DA" w14:textId="433F4252" w:rsidR="00384CBA" w:rsidRDefault="00384CBA" w:rsidP="00384CBA">
      <w:pPr>
        <w:pStyle w:val="HollandsSpoor"/>
        <w:numPr>
          <w:ilvl w:val="0"/>
          <w:numId w:val="6"/>
        </w:numPr>
        <w:spacing w:line="360" w:lineRule="auto"/>
        <w:jc w:val="both"/>
      </w:pPr>
      <w:r>
        <w:t>Fuel aggregation</w:t>
      </w:r>
    </w:p>
    <w:p w14:paraId="0D2D0E81" w14:textId="34F481E0" w:rsidR="00384CBA" w:rsidRPr="00981863" w:rsidRDefault="00384CBA" w:rsidP="00384CBA">
      <w:pPr>
        <w:spacing w:line="360" w:lineRule="auto"/>
        <w:jc w:val="both"/>
        <w:rPr>
          <w:lang w:val="en-GB"/>
        </w:rPr>
      </w:pPr>
      <w:r w:rsidRPr="00981863">
        <w:rPr>
          <w:lang w:val="en-GB"/>
        </w:rPr>
        <w:t>In recent years, international shipping demanded on average 9 EJ/yr of fossil energy, with 95% of this total coming from two petroleum products, Heavy Fuel Oil (HFO) and Marine Diesel Oil (MDO)</w:t>
      </w:r>
      <w:r w:rsidRPr="00981863">
        <w:rPr>
          <w:lang w:val="en-GB"/>
        </w:rPr>
        <w:fldChar w:fldCharType="begin" w:fldLock="1"/>
      </w:r>
      <w:r>
        <w:rPr>
          <w:lang w:val="en-GB"/>
        </w:rPr>
        <w:instrText>ADDIN CSL_CITATION {"citationItems":[{"id":"ITEM-1","itemData":{"author":[{"dropping-particle":"","family":"Faber","given":"Jasper","non-dropping-particle":"","parse-names":false,"suffix":""},{"dropping-particle":"","family":"Hanayama","given":"Shinchi","non-dropping-particle":"","parse-names":false,"suffix":""},{"dropping-particle":"","family":"Zhang","given":"Shuang","non-dropping-particle":"","parse-names":false,"suffix":""},{"dropping-particle":"","family":"Pereda","given":"P","non-dropping-particle":"","parse-names":false,"suffix":""},{"dropping-particle":"","family":"Comer","given":"Bryan","non-dropping-particle":"","parse-names":false,"suffix":""},{"dropping-particle":"","family":"Hauerhof","given":"E","non-dropping-particle":"","parse-names":false,"suffix":""},{"dropping-particle":"","family":"Loeff","given":"W S","non-dropping-particle":"van der","parse-names":false,"suffix":""},{"dropping-particle":"","family":"Smith","given":"Tristan","non-dropping-particle":"","parse-names":false,"suffix":""},{"dropping-particle":"","family":"Zhang","given":"Yan","non-dropping-particle":"","parse-names":false,"suffix":""},{"dropping-particle":"","family":"Kosaka","given":"Hiroyuko","non-dropping-particle":"","parse-names":false,"suffix":""}],"container-title":"International Maritime Organization","id":"ITEM-1","issued":{"date-parts":[["2021"]]},"number-of-pages":"524","publisher-place":"London, UK","title":"Fourth IMO GHG Report","type":"report"},"uris":["http://www.mendeley.com/documents/?uuid=119dfaaa-d29a-4ab1-8c2d-901ca13aa71e"]}],"mendeley":{"formattedCitation":"&lt;sup&gt;8&lt;/sup&gt;","plainTextFormattedCitation":"8","previouslyFormattedCitation":"&lt;sup&gt;8&lt;/sup&gt;"},"properties":{"noteIndex":0},"schema":"https://github.com/citation-style-language/schema/raw/master/csl-citation.json"}</w:instrText>
      </w:r>
      <w:r w:rsidRPr="00981863">
        <w:rPr>
          <w:lang w:val="en-GB"/>
        </w:rPr>
        <w:fldChar w:fldCharType="separate"/>
      </w:r>
      <w:r w:rsidRPr="00490D7D">
        <w:rPr>
          <w:noProof/>
          <w:vertAlign w:val="superscript"/>
          <w:lang w:val="en-GB"/>
        </w:rPr>
        <w:t>8</w:t>
      </w:r>
      <w:r w:rsidRPr="00981863">
        <w:rPr>
          <w:lang w:val="en-GB"/>
        </w:rPr>
        <w:fldChar w:fldCharType="end"/>
      </w:r>
      <w:r w:rsidRPr="00981863">
        <w:rPr>
          <w:lang w:val="en-GB"/>
        </w:rPr>
        <w:t xml:space="preserve">. In terms of gross tonnage, 95% of the existing fleet and 67% of the order book are composed by vessels based on conventional powertrains, i.e., compression ignition engines suited to HFO, MGO and similar fuels </w:t>
      </w:r>
      <w:r w:rsidRPr="00981863">
        <w:rPr>
          <w:lang w:val="en-GB"/>
        </w:rPr>
        <w:fldChar w:fldCharType="begin" w:fldLock="1"/>
      </w:r>
      <w:r w:rsidR="008A0114">
        <w:rPr>
          <w:lang w:val="en-GB"/>
        </w:rPr>
        <w:instrText>ADDIN CSL_CITATION {"citationItems":[{"id":"ITEM-1","itemData":{"author":[{"dropping-particle":"","family":"DNV GL","given":"","non-dropping-particle":"","parse-names":false,"suffix":""}],"id":"ITEM-1","issued":{"date-parts":[["2022"]]},"number-of-pages":"84","publisher-place":"Bærum, Norway","title":"Maritime Forecast to 2050","type":"report"},"uris":["http://www.mendeley.com/documents/?uuid=6cb54f9f-8a22-4b39-9b9c-2818847b36e3"]}],"mendeley":{"formattedCitation":"&lt;sup&gt;23&lt;/sup&gt;","plainTextFormattedCitation":"23","previouslyFormattedCitation":"&lt;sup&gt;23&lt;/sup&gt;"},"properties":{"noteIndex":0},"schema":"https://github.com/citation-style-language/schema/raw/master/csl-citation.json"}</w:instrText>
      </w:r>
      <w:r w:rsidRPr="00981863">
        <w:rPr>
          <w:lang w:val="en-GB"/>
        </w:rPr>
        <w:fldChar w:fldCharType="separate"/>
      </w:r>
      <w:r w:rsidRPr="00384CBA">
        <w:rPr>
          <w:noProof/>
          <w:vertAlign w:val="superscript"/>
          <w:lang w:val="en-GB"/>
        </w:rPr>
        <w:t>23</w:t>
      </w:r>
      <w:r w:rsidRPr="00981863">
        <w:rPr>
          <w:lang w:val="en-GB"/>
        </w:rPr>
        <w:fldChar w:fldCharType="end"/>
      </w:r>
      <w:r w:rsidRPr="00981863">
        <w:rPr>
          <w:lang w:val="en-GB"/>
        </w:rPr>
        <w:t>. Moreover, most oceangoing ships in operation are less than 15 years old, meaning that the world fleet will likely maintain its fuel technological standard until 2035, at the very least.</w:t>
      </w:r>
    </w:p>
    <w:p w14:paraId="149229BB" w14:textId="35FB5767" w:rsidR="00384CBA" w:rsidRPr="00981863" w:rsidRDefault="00384CBA" w:rsidP="00384CBA">
      <w:pPr>
        <w:spacing w:line="360" w:lineRule="auto"/>
        <w:jc w:val="both"/>
        <w:rPr>
          <w:lang w:val="en-GB"/>
        </w:rPr>
      </w:pPr>
      <w:r w:rsidRPr="00981863">
        <w:rPr>
          <w:lang w:val="en-GB"/>
        </w:rPr>
        <w:t xml:space="preserve">Over the last decade, LNG started to be regarded as the main alternative to conventional bunker fuels, especially because of its low impact when it comes to atmospheric pollution (e.g., SOx). Although HFO and MGO are still dominant, the dissemination of dual-fuel engines has been gradually increasing LNG’s share in the world fleet. As of today, more than 5% of the existing fleet and 30% of the order book correspond to vessels designed to use LNG. Nevertheless, the mitigation potential of natural gas is relatively poor, with a carbon intensity </w:t>
      </w:r>
      <w:r>
        <w:rPr>
          <w:lang w:val="en-GB"/>
        </w:rPr>
        <w:t xml:space="preserve">slightly </w:t>
      </w:r>
      <w:r w:rsidRPr="00981863">
        <w:rPr>
          <w:lang w:val="en-GB"/>
        </w:rPr>
        <w:t>lower than that of petroleum products</w:t>
      </w:r>
      <w:r>
        <w:rPr>
          <w:lang w:val="en-GB"/>
        </w:rPr>
        <w:fldChar w:fldCharType="begin" w:fldLock="1"/>
      </w:r>
      <w:r w:rsidR="008A0114">
        <w:rPr>
          <w:lang w:val="en-GB"/>
        </w:rPr>
        <w:instrText>ADDIN CSL_CITATION {"citationItems":[{"id":"ITEM-1","itemData":{"author":[{"dropping-particle":"","family":"Pavlenko","given":"Nikita","non-dropping-particle":"","parse-names":false,"suffix":""},{"dropping-particle":"","family":"Comer","given":"Bryan","non-dropping-particle":"","parse-names":false,"suffix":""},{"dropping-particle":"","family":"Zhou","given":"Yuanrong","non-dropping-particle":"","parse-names":false,"suffix":""},{"dropping-particle":"","family":"Clark","given":"Nigel","non-dropping-particle":"","parse-names":false,"suffix":""},{"dropping-particle":"","family":"Rutherford","given":"Dan","non-dropping-particle":"","parse-names":false,"suffix":""}],"container-title":"Swedish Environmental Protection Agency: Stockholm, Sweden","id":"ITEM-1","issued":{"date-parts":[["2020"]]},"title":"The climate implications of using LNG as a marine fuel","type":"article-journal"},"uris":["http://www.mendeley.com/documents/?uuid=ab7d217e-7aa3-4c6b-b297-ee0726c59b75"]}],"mendeley":{"formattedCitation":"&lt;sup&gt;24&lt;/sup&gt;","plainTextFormattedCitation":"24","previouslyFormattedCitation":"&lt;sup&gt;24&lt;/sup&gt;"},"properties":{"noteIndex":0},"schema":"https://github.com/citation-style-language/schema/raw/master/csl-citation.json"}</w:instrText>
      </w:r>
      <w:r>
        <w:rPr>
          <w:lang w:val="en-GB"/>
        </w:rPr>
        <w:fldChar w:fldCharType="separate"/>
      </w:r>
      <w:r w:rsidRPr="00384CBA">
        <w:rPr>
          <w:noProof/>
          <w:vertAlign w:val="superscript"/>
          <w:lang w:val="en-GB"/>
        </w:rPr>
        <w:t>24</w:t>
      </w:r>
      <w:r>
        <w:rPr>
          <w:lang w:val="en-GB"/>
        </w:rPr>
        <w:fldChar w:fldCharType="end"/>
      </w:r>
      <w:r w:rsidRPr="00981863">
        <w:rPr>
          <w:lang w:val="en-GB"/>
        </w:rPr>
        <w:t xml:space="preserve">. Furthermore, depending on engine types, methane slip can make LNG’s overall climate performance equal or worse than that of HFO and MGO </w:t>
      </w:r>
      <w:r w:rsidRPr="00981863">
        <w:rPr>
          <w:lang w:val="en-GB"/>
        </w:rPr>
        <w:fldChar w:fldCharType="begin" w:fldLock="1"/>
      </w:r>
      <w:r w:rsidR="008A0114">
        <w:rPr>
          <w:lang w:val="en-GB"/>
        </w:rPr>
        <w:instrText>ADDIN CSL_CITATION {"citationItems":[{"id":"ITEM-1","itemData":{"author":[{"dropping-particle":"","family":"Pavlenko","given":"Nikita","non-dropping-particle":"","parse-names":false,"suffix":""},{"dropping-particle":"","family":"Comer","given":"Bryan","non-dropping-particle":"","parse-names":false,"suffix":""},{"dropping-particle":"","family":"Zhou","given":"Yuanrong","non-dropping-particle":"","parse-names":false,"suffix":""},{"dropping-particle":"","family":"Clark","given":"Nigel","non-dropping-particle":"","parse-names":false,"suffix":""},{"dropping-particle":"","family":"Rutherford","given":"Dan","non-dropping-particle":"","parse-names":false,"suffix":""}],"container-title":"Swedish Environmental Protection Agency: Stockholm, Sweden","id":"ITEM-1","issued":{"date-parts":[["2020"]]},"title":"The climate implications of using LNG as a marine fuel","type":"article-journal"},"uris":["http://www.mendeley.com/documents/?uuid=ab7d217e-7aa3-4c6b-b297-ee0726c59b75"]}],"mendeley":{"formattedCitation":"&lt;sup&gt;24&lt;/sup&gt;","plainTextFormattedCitation":"24","previouslyFormattedCitation":"&lt;sup&gt;24&lt;/sup&gt;"},"properties":{"noteIndex":0},"schema":"https://github.com/citation-style-language/schema/raw/master/csl-citation.json"}</w:instrText>
      </w:r>
      <w:r w:rsidRPr="00981863">
        <w:rPr>
          <w:lang w:val="en-GB"/>
        </w:rPr>
        <w:fldChar w:fldCharType="separate"/>
      </w:r>
      <w:r w:rsidRPr="00384CBA">
        <w:rPr>
          <w:noProof/>
          <w:vertAlign w:val="superscript"/>
          <w:lang w:val="en-GB"/>
        </w:rPr>
        <w:t>24</w:t>
      </w:r>
      <w:r w:rsidRPr="00981863">
        <w:rPr>
          <w:lang w:val="en-GB"/>
        </w:rPr>
        <w:fldChar w:fldCharType="end"/>
      </w:r>
      <w:r w:rsidRPr="00981863">
        <w:rPr>
          <w:lang w:val="en-GB"/>
        </w:rPr>
        <w:t>.</w:t>
      </w:r>
    </w:p>
    <w:p w14:paraId="4657AD9F" w14:textId="6BC887A9" w:rsidR="00384CBA" w:rsidRPr="00981863" w:rsidRDefault="00384CBA" w:rsidP="00384CBA">
      <w:pPr>
        <w:spacing w:line="360" w:lineRule="auto"/>
        <w:jc w:val="both"/>
        <w:rPr>
          <w:lang w:val="en-GB"/>
        </w:rPr>
      </w:pPr>
      <w:r w:rsidRPr="00981863">
        <w:rPr>
          <w:lang w:val="en-GB"/>
        </w:rPr>
        <w:t xml:space="preserve">In scenarios projecting a deep decarbonization of shipping, there is typically a marine fuel switch towards low-carbon alternatives. However, across scenarios, these alternatives vary widely both in terms of primary resources and final energy carriers, making the role of low-carbon fuels relatively </w:t>
      </w:r>
      <w:r w:rsidRPr="00981863">
        <w:rPr>
          <w:lang w:val="en-GB"/>
        </w:rPr>
        <w:lastRenderedPageBreak/>
        <w:t>unclear. Since energy balances and low-carbon technologies lie at the heart of IAMs, we concentrate our analysis on this aspect, investigating how the marine fuel mix should evolve throughout the next decades to be compatible with carbon budgets of 600 and 1,000 GtCO</w:t>
      </w:r>
      <w:r w:rsidRPr="00981863">
        <w:rPr>
          <w:vertAlign w:val="subscript"/>
          <w:lang w:val="en-GB"/>
        </w:rPr>
        <w:t>2</w:t>
      </w:r>
      <w:r w:rsidRPr="00981863">
        <w:rPr>
          <w:lang w:val="en-GB"/>
        </w:rPr>
        <w:t>.</w:t>
      </w:r>
    </w:p>
    <w:p w14:paraId="2CAC7991" w14:textId="264A3E94" w:rsidR="00384CBA" w:rsidRDefault="00384CBA" w:rsidP="00384CBA">
      <w:pPr>
        <w:spacing w:line="360" w:lineRule="auto"/>
        <w:jc w:val="both"/>
        <w:rPr>
          <w:lang w:val="en-GB"/>
        </w:rPr>
      </w:pPr>
      <w:r w:rsidRPr="00981863">
        <w:rPr>
          <w:lang w:val="en-GB"/>
        </w:rPr>
        <w:t>Since the modelling of fuel conversion processes is not identical across the six IAMs, we use energy carrier categories to harmonize and compare our results (</w:t>
      </w:r>
      <w:r w:rsidRPr="00981863">
        <w:rPr>
          <w:lang w:val="en-GB"/>
        </w:rPr>
        <w:fldChar w:fldCharType="begin"/>
      </w:r>
      <w:r w:rsidRPr="00981863">
        <w:rPr>
          <w:lang w:val="en-GB"/>
        </w:rPr>
        <w:instrText xml:space="preserve"> REF _Ref113547586 \h  \* MERGEFORMAT </w:instrText>
      </w:r>
      <w:r w:rsidRPr="00981863">
        <w:rPr>
          <w:lang w:val="en-GB"/>
        </w:rPr>
      </w:r>
      <w:r w:rsidRPr="00981863">
        <w:rPr>
          <w:lang w:val="en-GB"/>
        </w:rPr>
        <w:fldChar w:fldCharType="separate"/>
      </w:r>
      <w:r w:rsidRPr="00981863">
        <w:rPr>
          <w:lang w:val="en-GB"/>
        </w:rPr>
        <w:t>Table 4</w:t>
      </w:r>
      <w:r w:rsidRPr="00981863">
        <w:rPr>
          <w:lang w:val="en-GB"/>
        </w:rPr>
        <w:fldChar w:fldCharType="end"/>
      </w:r>
      <w:r w:rsidRPr="00981863">
        <w:rPr>
          <w:lang w:val="en-GB"/>
        </w:rPr>
        <w:t xml:space="preserve">). These categories seek to group fuels according to common features, such as feedstock type, energy density and applicability. The </w:t>
      </w:r>
      <w:r w:rsidRPr="00981863">
        <w:rPr>
          <w:b/>
          <w:bCs/>
          <w:lang w:val="en-GB"/>
        </w:rPr>
        <w:t>Conv</w:t>
      </w:r>
      <w:r w:rsidRPr="00981863">
        <w:rPr>
          <w:lang w:val="en-GB"/>
        </w:rPr>
        <w:t xml:space="preserve"> category, for example, corresponds to conventional fuels based on petroleum, such as HFO and MDO. The </w:t>
      </w:r>
      <w:r w:rsidR="00525907">
        <w:rPr>
          <w:b/>
          <w:bCs/>
          <w:lang w:val="en-GB"/>
        </w:rPr>
        <w:t>Oilseed</w:t>
      </w:r>
      <w:r w:rsidRPr="00981863">
        <w:rPr>
          <w:lang w:val="en-GB"/>
        </w:rPr>
        <w:t xml:space="preserve"> category represents fuels based on vegetable oils obtained from the seed of plants such as palm, soybean, and sunflower, and eventually also from animal fats such as beef tallow. The </w:t>
      </w:r>
      <w:r w:rsidRPr="00981863">
        <w:rPr>
          <w:b/>
          <w:bCs/>
          <w:lang w:val="en-GB"/>
        </w:rPr>
        <w:t xml:space="preserve">D-synt bio </w:t>
      </w:r>
      <w:r w:rsidRPr="00981863">
        <w:rPr>
          <w:lang w:val="en-GB"/>
        </w:rPr>
        <w:t>and</w:t>
      </w:r>
      <w:r w:rsidRPr="00981863">
        <w:rPr>
          <w:b/>
          <w:bCs/>
          <w:lang w:val="en-GB"/>
        </w:rPr>
        <w:t xml:space="preserve"> D-synt other</w:t>
      </w:r>
      <w:r w:rsidRPr="00981863">
        <w:rPr>
          <w:lang w:val="en-GB"/>
        </w:rPr>
        <w:t xml:space="preserve"> categories include fully drop-in renewable fuels produced through advanced processes such as the Fischer-Tropsch synthesis that are chemically indistinguishable from HFO/MDO. While the former relates to biobased feedstocks, the latter includes every other type of resource, most notably renewable-based electricity. The three </w:t>
      </w:r>
      <w:r w:rsidRPr="00981863">
        <w:rPr>
          <w:b/>
          <w:bCs/>
          <w:lang w:val="en-GB"/>
        </w:rPr>
        <w:t>AG</w:t>
      </w:r>
      <w:r w:rsidRPr="00981863">
        <w:rPr>
          <w:lang w:val="en-GB"/>
        </w:rPr>
        <w:t xml:space="preserve"> categories correspond to groups of alcohols and gases (e.g., ethanol, methanol, and LNG), whose use in ships is typically made possible using dual-fuel engines. As in the case of drop-in fuels, they differ from each other by the type of primary source. Finally, the </w:t>
      </w:r>
      <w:r w:rsidRPr="00981863">
        <w:rPr>
          <w:b/>
          <w:bCs/>
          <w:lang w:val="en-GB"/>
        </w:rPr>
        <w:t>H</w:t>
      </w:r>
      <w:r w:rsidRPr="00981863">
        <w:rPr>
          <w:b/>
          <w:bCs/>
          <w:vertAlign w:val="subscript"/>
          <w:lang w:val="en-GB"/>
        </w:rPr>
        <w:t>2</w:t>
      </w:r>
      <w:r w:rsidRPr="00981863">
        <w:rPr>
          <w:b/>
          <w:bCs/>
          <w:lang w:val="en-GB"/>
        </w:rPr>
        <w:t>/NH</w:t>
      </w:r>
      <w:r w:rsidRPr="00981863">
        <w:rPr>
          <w:b/>
          <w:bCs/>
          <w:vertAlign w:val="subscript"/>
          <w:lang w:val="en-GB"/>
        </w:rPr>
        <w:t>3</w:t>
      </w:r>
      <w:r w:rsidRPr="00981863">
        <w:rPr>
          <w:lang w:val="en-GB"/>
        </w:rPr>
        <w:t xml:space="preserve"> category corresponds to hydrogen and ammonia, while the </w:t>
      </w:r>
      <w:r w:rsidRPr="00981863">
        <w:rPr>
          <w:b/>
          <w:bCs/>
          <w:lang w:val="en-GB"/>
        </w:rPr>
        <w:t>Elec</w:t>
      </w:r>
      <w:r w:rsidRPr="00981863">
        <w:rPr>
          <w:lang w:val="en-GB"/>
        </w:rPr>
        <w:t xml:space="preserve"> category refers to the direct use of electricity.</w:t>
      </w:r>
    </w:p>
    <w:tbl>
      <w:tblPr>
        <w:tblStyle w:val="Tabelacomgrade"/>
        <w:tblW w:w="7821" w:type="dxa"/>
        <w:jc w:val="center"/>
        <w:tblLook w:val="04A0" w:firstRow="1" w:lastRow="0" w:firstColumn="1" w:lastColumn="0" w:noHBand="0" w:noVBand="1"/>
      </w:tblPr>
      <w:tblGrid>
        <w:gridCol w:w="1726"/>
        <w:gridCol w:w="2525"/>
        <w:gridCol w:w="3570"/>
      </w:tblGrid>
      <w:tr w:rsidR="00525907" w:rsidRPr="00525907" w14:paraId="0C5C549C" w14:textId="77777777" w:rsidTr="00525907">
        <w:trPr>
          <w:trHeight w:val="284"/>
          <w:jc w:val="center"/>
        </w:trPr>
        <w:tc>
          <w:tcPr>
            <w:tcW w:w="1726" w:type="dxa"/>
            <w:vAlign w:val="center"/>
          </w:tcPr>
          <w:p w14:paraId="41B4F9A1" w14:textId="77777777" w:rsidR="00525907" w:rsidRPr="00525907" w:rsidRDefault="00525907" w:rsidP="003965C3">
            <w:pPr>
              <w:spacing w:line="360" w:lineRule="auto"/>
              <w:rPr>
                <w:b/>
                <w:bCs/>
                <w:sz w:val="16"/>
                <w:szCs w:val="16"/>
                <w:lang w:val="en-GB"/>
              </w:rPr>
            </w:pPr>
            <w:r w:rsidRPr="00525907">
              <w:rPr>
                <w:b/>
                <w:bCs/>
                <w:sz w:val="16"/>
                <w:szCs w:val="16"/>
                <w:lang w:val="en-GB"/>
              </w:rPr>
              <w:t>Group</w:t>
            </w:r>
          </w:p>
        </w:tc>
        <w:tc>
          <w:tcPr>
            <w:tcW w:w="2525" w:type="dxa"/>
            <w:vAlign w:val="center"/>
          </w:tcPr>
          <w:p w14:paraId="56D96AAE" w14:textId="77777777" w:rsidR="00525907" w:rsidRPr="00525907" w:rsidRDefault="00525907" w:rsidP="003965C3">
            <w:pPr>
              <w:spacing w:line="360" w:lineRule="auto"/>
              <w:rPr>
                <w:b/>
                <w:bCs/>
                <w:sz w:val="16"/>
                <w:szCs w:val="16"/>
                <w:lang w:val="en-GB"/>
              </w:rPr>
            </w:pPr>
            <w:r w:rsidRPr="00525907">
              <w:rPr>
                <w:b/>
                <w:bCs/>
                <w:sz w:val="16"/>
                <w:szCs w:val="16"/>
                <w:lang w:val="en-GB"/>
              </w:rPr>
              <w:t>Description</w:t>
            </w:r>
          </w:p>
        </w:tc>
        <w:tc>
          <w:tcPr>
            <w:tcW w:w="3570" w:type="dxa"/>
            <w:vAlign w:val="center"/>
          </w:tcPr>
          <w:p w14:paraId="6DDE8334" w14:textId="77777777" w:rsidR="00525907" w:rsidRPr="00525907" w:rsidRDefault="00525907" w:rsidP="003965C3">
            <w:pPr>
              <w:spacing w:line="360" w:lineRule="auto"/>
              <w:rPr>
                <w:b/>
                <w:bCs/>
                <w:sz w:val="16"/>
                <w:szCs w:val="16"/>
                <w:lang w:val="en-GB"/>
              </w:rPr>
            </w:pPr>
            <w:r w:rsidRPr="00525907">
              <w:rPr>
                <w:b/>
                <w:bCs/>
                <w:sz w:val="16"/>
                <w:szCs w:val="16"/>
                <w:lang w:val="en-GB"/>
              </w:rPr>
              <w:t>Examples</w:t>
            </w:r>
          </w:p>
        </w:tc>
      </w:tr>
      <w:tr w:rsidR="00525907" w:rsidRPr="00525907" w14:paraId="44D343B2" w14:textId="77777777" w:rsidTr="00525907">
        <w:trPr>
          <w:trHeight w:val="284"/>
          <w:jc w:val="center"/>
        </w:trPr>
        <w:tc>
          <w:tcPr>
            <w:tcW w:w="1726" w:type="dxa"/>
            <w:shd w:val="clear" w:color="auto" w:fill="BF8F00"/>
            <w:vAlign w:val="center"/>
          </w:tcPr>
          <w:p w14:paraId="4D269BBE" w14:textId="77777777" w:rsidR="00525907" w:rsidRPr="00525907" w:rsidRDefault="00525907" w:rsidP="003965C3">
            <w:pPr>
              <w:spacing w:line="360" w:lineRule="auto"/>
              <w:rPr>
                <w:rFonts w:ascii="Kigelia" w:hAnsi="Kigelia" w:cs="Kigelia"/>
                <w:b/>
                <w:bCs/>
                <w:sz w:val="19"/>
                <w:szCs w:val="19"/>
                <w:lang w:val="en-GB"/>
              </w:rPr>
            </w:pPr>
            <w:r w:rsidRPr="00525907">
              <w:rPr>
                <w:rFonts w:ascii="Kigelia" w:hAnsi="Kigelia" w:cs="Kigelia"/>
                <w:b/>
                <w:bCs/>
                <w:sz w:val="19"/>
                <w:szCs w:val="19"/>
                <w:lang w:val="en-GB"/>
              </w:rPr>
              <w:t>Conv</w:t>
            </w:r>
          </w:p>
        </w:tc>
        <w:tc>
          <w:tcPr>
            <w:tcW w:w="2525" w:type="dxa"/>
            <w:vAlign w:val="center"/>
          </w:tcPr>
          <w:p w14:paraId="5D31B544" w14:textId="77777777" w:rsidR="00525907" w:rsidRPr="00525907" w:rsidRDefault="00525907" w:rsidP="003965C3">
            <w:pPr>
              <w:spacing w:line="360" w:lineRule="auto"/>
              <w:rPr>
                <w:sz w:val="16"/>
                <w:szCs w:val="16"/>
                <w:lang w:val="en-GB"/>
              </w:rPr>
            </w:pPr>
            <w:r w:rsidRPr="00525907">
              <w:rPr>
                <w:sz w:val="16"/>
                <w:szCs w:val="16"/>
                <w:lang w:val="en-GB"/>
              </w:rPr>
              <w:t>Conventional marine fuels</w:t>
            </w:r>
          </w:p>
        </w:tc>
        <w:tc>
          <w:tcPr>
            <w:tcW w:w="3570" w:type="dxa"/>
            <w:vAlign w:val="center"/>
          </w:tcPr>
          <w:p w14:paraId="5703EB76" w14:textId="77777777" w:rsidR="00525907" w:rsidRPr="00525907" w:rsidRDefault="00525907" w:rsidP="003965C3">
            <w:pPr>
              <w:spacing w:line="360" w:lineRule="auto"/>
              <w:rPr>
                <w:sz w:val="16"/>
                <w:szCs w:val="16"/>
                <w:lang w:val="en-GB"/>
              </w:rPr>
            </w:pPr>
            <w:r w:rsidRPr="00525907">
              <w:rPr>
                <w:sz w:val="16"/>
                <w:szCs w:val="16"/>
                <w:lang w:val="en-GB"/>
              </w:rPr>
              <w:t>Heavy Fuel Oil (HFO)</w:t>
            </w:r>
          </w:p>
          <w:p w14:paraId="4C6CEE13" w14:textId="77777777" w:rsidR="00525907" w:rsidRPr="00525907" w:rsidRDefault="00525907" w:rsidP="003965C3">
            <w:pPr>
              <w:spacing w:line="360" w:lineRule="auto"/>
              <w:rPr>
                <w:sz w:val="16"/>
                <w:szCs w:val="16"/>
                <w:lang w:val="en-GB"/>
              </w:rPr>
            </w:pPr>
            <w:r w:rsidRPr="00525907">
              <w:rPr>
                <w:sz w:val="16"/>
                <w:szCs w:val="16"/>
                <w:lang w:val="en-GB"/>
              </w:rPr>
              <w:t>Marine Diesel Oil (MDO)</w:t>
            </w:r>
          </w:p>
          <w:p w14:paraId="09F63170" w14:textId="77777777" w:rsidR="00525907" w:rsidRPr="00525907" w:rsidRDefault="00525907" w:rsidP="003965C3">
            <w:pPr>
              <w:spacing w:line="360" w:lineRule="auto"/>
              <w:rPr>
                <w:sz w:val="16"/>
                <w:szCs w:val="16"/>
                <w:lang w:val="en-GB"/>
              </w:rPr>
            </w:pPr>
            <w:r w:rsidRPr="00525907">
              <w:rPr>
                <w:sz w:val="16"/>
                <w:szCs w:val="16"/>
                <w:lang w:val="en-GB"/>
              </w:rPr>
              <w:t>Marine Gas Oil (MGO)</w:t>
            </w:r>
          </w:p>
        </w:tc>
      </w:tr>
      <w:tr w:rsidR="00525907" w:rsidRPr="00525907" w14:paraId="71CE8212" w14:textId="77777777" w:rsidTr="00525907">
        <w:trPr>
          <w:trHeight w:val="284"/>
          <w:jc w:val="center"/>
        </w:trPr>
        <w:tc>
          <w:tcPr>
            <w:tcW w:w="1726" w:type="dxa"/>
            <w:shd w:val="clear" w:color="auto" w:fill="548235"/>
            <w:vAlign w:val="center"/>
          </w:tcPr>
          <w:p w14:paraId="77D8CB5E" w14:textId="77777777" w:rsidR="00525907" w:rsidRPr="00525907" w:rsidRDefault="00525907" w:rsidP="003965C3">
            <w:pPr>
              <w:spacing w:line="360" w:lineRule="auto"/>
              <w:rPr>
                <w:rFonts w:ascii="Kigelia" w:hAnsi="Kigelia" w:cs="Kigelia"/>
                <w:b/>
                <w:bCs/>
                <w:sz w:val="19"/>
                <w:szCs w:val="19"/>
                <w:lang w:val="en-GB"/>
              </w:rPr>
            </w:pPr>
            <w:r w:rsidRPr="00525907">
              <w:rPr>
                <w:rFonts w:ascii="Kigelia" w:hAnsi="Kigelia" w:cs="Kigelia"/>
                <w:b/>
                <w:bCs/>
                <w:sz w:val="19"/>
                <w:szCs w:val="19"/>
                <w:lang w:val="en-GB"/>
              </w:rPr>
              <w:t>Oilseed</w:t>
            </w:r>
          </w:p>
        </w:tc>
        <w:tc>
          <w:tcPr>
            <w:tcW w:w="2525" w:type="dxa"/>
            <w:vAlign w:val="center"/>
          </w:tcPr>
          <w:p w14:paraId="52FECED5" w14:textId="77777777" w:rsidR="00525907" w:rsidRPr="00525907" w:rsidRDefault="00525907" w:rsidP="003965C3">
            <w:pPr>
              <w:spacing w:line="360" w:lineRule="auto"/>
              <w:rPr>
                <w:sz w:val="16"/>
                <w:szCs w:val="16"/>
                <w:lang w:val="en-GB"/>
              </w:rPr>
            </w:pPr>
            <w:r w:rsidRPr="00525907">
              <w:rPr>
                <w:sz w:val="16"/>
                <w:szCs w:val="16"/>
                <w:lang w:val="en-GB"/>
              </w:rPr>
              <w:t>Animal fats- and oilseed-based fuels</w:t>
            </w:r>
          </w:p>
        </w:tc>
        <w:tc>
          <w:tcPr>
            <w:tcW w:w="3570" w:type="dxa"/>
            <w:vAlign w:val="center"/>
          </w:tcPr>
          <w:p w14:paraId="14519A9F" w14:textId="77777777" w:rsidR="00525907" w:rsidRPr="00525907" w:rsidRDefault="00525907" w:rsidP="003965C3">
            <w:pPr>
              <w:spacing w:line="360" w:lineRule="auto"/>
              <w:rPr>
                <w:sz w:val="16"/>
                <w:szCs w:val="16"/>
                <w:lang w:val="en-GB"/>
              </w:rPr>
            </w:pPr>
            <w:r w:rsidRPr="00525907">
              <w:rPr>
                <w:sz w:val="16"/>
                <w:szCs w:val="16"/>
                <w:lang w:val="en-GB"/>
              </w:rPr>
              <w:t>Biodiesel</w:t>
            </w:r>
          </w:p>
          <w:p w14:paraId="19A5860E" w14:textId="77777777" w:rsidR="00525907" w:rsidRPr="00525907" w:rsidRDefault="00525907" w:rsidP="003965C3">
            <w:pPr>
              <w:spacing w:line="360" w:lineRule="auto"/>
              <w:rPr>
                <w:sz w:val="16"/>
                <w:szCs w:val="16"/>
                <w:lang w:val="en-GB"/>
              </w:rPr>
            </w:pPr>
            <w:r w:rsidRPr="00525907">
              <w:rPr>
                <w:sz w:val="16"/>
                <w:szCs w:val="16"/>
                <w:lang w:val="en-GB"/>
              </w:rPr>
              <w:t>Hydrotreated Vegetable Oil (HVO)</w:t>
            </w:r>
          </w:p>
          <w:p w14:paraId="7E1474B7" w14:textId="77777777" w:rsidR="00525907" w:rsidRPr="00525907" w:rsidRDefault="00525907" w:rsidP="003965C3">
            <w:pPr>
              <w:spacing w:line="360" w:lineRule="auto"/>
              <w:rPr>
                <w:sz w:val="16"/>
                <w:szCs w:val="16"/>
                <w:lang w:val="en-GB"/>
              </w:rPr>
            </w:pPr>
            <w:r w:rsidRPr="00525907">
              <w:rPr>
                <w:sz w:val="16"/>
                <w:szCs w:val="16"/>
                <w:lang w:val="en-GB"/>
              </w:rPr>
              <w:t>Straight Vegetable Oil (SVO)</w:t>
            </w:r>
          </w:p>
        </w:tc>
      </w:tr>
      <w:tr w:rsidR="00525907" w:rsidRPr="00525907" w14:paraId="0F31C477" w14:textId="77777777" w:rsidTr="00525907">
        <w:trPr>
          <w:trHeight w:val="284"/>
          <w:jc w:val="center"/>
        </w:trPr>
        <w:tc>
          <w:tcPr>
            <w:tcW w:w="1726" w:type="dxa"/>
            <w:shd w:val="clear" w:color="auto" w:fill="92D050"/>
            <w:vAlign w:val="center"/>
          </w:tcPr>
          <w:p w14:paraId="1A60D478" w14:textId="77777777" w:rsidR="00525907" w:rsidRPr="00525907" w:rsidRDefault="00525907" w:rsidP="003965C3">
            <w:pPr>
              <w:spacing w:line="360" w:lineRule="auto"/>
              <w:rPr>
                <w:rFonts w:ascii="Kigelia" w:hAnsi="Kigelia" w:cs="Kigelia"/>
                <w:b/>
                <w:bCs/>
                <w:sz w:val="19"/>
                <w:szCs w:val="19"/>
                <w:lang w:val="en-GB"/>
              </w:rPr>
            </w:pPr>
            <w:r w:rsidRPr="00525907">
              <w:rPr>
                <w:rFonts w:ascii="Kigelia" w:hAnsi="Kigelia" w:cs="Kigelia"/>
                <w:b/>
                <w:bCs/>
                <w:sz w:val="19"/>
                <w:szCs w:val="19"/>
                <w:lang w:val="en-GB"/>
              </w:rPr>
              <w:t>D-synt bio</w:t>
            </w:r>
          </w:p>
        </w:tc>
        <w:tc>
          <w:tcPr>
            <w:tcW w:w="2525" w:type="dxa"/>
            <w:vAlign w:val="center"/>
          </w:tcPr>
          <w:p w14:paraId="0FC3B0AD" w14:textId="77777777" w:rsidR="00525907" w:rsidRPr="00525907" w:rsidRDefault="00525907" w:rsidP="003965C3">
            <w:pPr>
              <w:spacing w:line="360" w:lineRule="auto"/>
              <w:rPr>
                <w:sz w:val="16"/>
                <w:szCs w:val="16"/>
                <w:lang w:val="en-GB"/>
              </w:rPr>
            </w:pPr>
            <w:r w:rsidRPr="00525907">
              <w:rPr>
                <w:sz w:val="16"/>
                <w:szCs w:val="16"/>
                <w:lang w:val="en-GB"/>
              </w:rPr>
              <w:t>Synthetic drop-in biofuels</w:t>
            </w:r>
          </w:p>
        </w:tc>
        <w:tc>
          <w:tcPr>
            <w:tcW w:w="3570" w:type="dxa"/>
            <w:vAlign w:val="center"/>
          </w:tcPr>
          <w:p w14:paraId="615D8F59" w14:textId="77777777" w:rsidR="00525907" w:rsidRPr="00525907" w:rsidRDefault="00525907" w:rsidP="003965C3">
            <w:pPr>
              <w:spacing w:line="360" w:lineRule="auto"/>
              <w:rPr>
                <w:sz w:val="16"/>
                <w:szCs w:val="16"/>
                <w:lang w:val="en-GB"/>
              </w:rPr>
            </w:pPr>
            <w:r w:rsidRPr="00525907">
              <w:rPr>
                <w:sz w:val="16"/>
                <w:szCs w:val="16"/>
                <w:lang w:val="en-GB"/>
              </w:rPr>
              <w:t>Biomass-to-Liquids diesel (BtL-diesel)</w:t>
            </w:r>
          </w:p>
          <w:p w14:paraId="5D513381" w14:textId="77777777" w:rsidR="00525907" w:rsidRPr="00525907" w:rsidRDefault="00525907" w:rsidP="003965C3">
            <w:pPr>
              <w:spacing w:line="360" w:lineRule="auto"/>
              <w:rPr>
                <w:sz w:val="16"/>
                <w:szCs w:val="16"/>
                <w:lang w:val="en-GB"/>
              </w:rPr>
            </w:pPr>
            <w:r w:rsidRPr="00525907">
              <w:rPr>
                <w:sz w:val="16"/>
                <w:szCs w:val="16"/>
                <w:lang w:val="en-GB"/>
              </w:rPr>
              <w:t>Biomass-to-Liquids heavy (BtL-heavy)</w:t>
            </w:r>
          </w:p>
        </w:tc>
      </w:tr>
      <w:tr w:rsidR="00525907" w:rsidRPr="00525907" w14:paraId="5E4D5182" w14:textId="77777777" w:rsidTr="00525907">
        <w:trPr>
          <w:trHeight w:val="284"/>
          <w:jc w:val="center"/>
        </w:trPr>
        <w:tc>
          <w:tcPr>
            <w:tcW w:w="1726" w:type="dxa"/>
            <w:shd w:val="clear" w:color="auto" w:fill="C6E0B4"/>
            <w:vAlign w:val="center"/>
          </w:tcPr>
          <w:p w14:paraId="034AD297" w14:textId="77777777" w:rsidR="00525907" w:rsidRPr="00525907" w:rsidRDefault="00525907" w:rsidP="003965C3">
            <w:pPr>
              <w:spacing w:line="360" w:lineRule="auto"/>
              <w:rPr>
                <w:rFonts w:ascii="Kigelia" w:hAnsi="Kigelia" w:cs="Kigelia"/>
                <w:b/>
                <w:bCs/>
                <w:sz w:val="19"/>
                <w:szCs w:val="19"/>
                <w:lang w:val="en-GB"/>
              </w:rPr>
            </w:pPr>
            <w:r w:rsidRPr="00525907">
              <w:rPr>
                <w:rFonts w:ascii="Kigelia" w:hAnsi="Kigelia" w:cs="Kigelia"/>
                <w:b/>
                <w:bCs/>
                <w:sz w:val="19"/>
                <w:szCs w:val="19"/>
                <w:lang w:val="en-GB"/>
              </w:rPr>
              <w:t>D-synt other</w:t>
            </w:r>
          </w:p>
        </w:tc>
        <w:tc>
          <w:tcPr>
            <w:tcW w:w="2525" w:type="dxa"/>
            <w:vAlign w:val="center"/>
          </w:tcPr>
          <w:p w14:paraId="687D97A9" w14:textId="77777777" w:rsidR="00525907" w:rsidRPr="00525907" w:rsidRDefault="00525907" w:rsidP="003965C3">
            <w:pPr>
              <w:spacing w:line="360" w:lineRule="auto"/>
              <w:rPr>
                <w:sz w:val="16"/>
                <w:szCs w:val="16"/>
                <w:lang w:val="en-GB"/>
              </w:rPr>
            </w:pPr>
            <w:r w:rsidRPr="00525907">
              <w:rPr>
                <w:sz w:val="16"/>
                <w:szCs w:val="16"/>
                <w:lang w:val="en-GB"/>
              </w:rPr>
              <w:t>Other drop-in synthetic fuels</w:t>
            </w:r>
          </w:p>
        </w:tc>
        <w:tc>
          <w:tcPr>
            <w:tcW w:w="3570" w:type="dxa"/>
            <w:vAlign w:val="center"/>
          </w:tcPr>
          <w:p w14:paraId="35302010" w14:textId="77777777" w:rsidR="00525907" w:rsidRPr="00525907" w:rsidRDefault="00525907" w:rsidP="003965C3">
            <w:pPr>
              <w:spacing w:line="360" w:lineRule="auto"/>
              <w:rPr>
                <w:sz w:val="16"/>
                <w:szCs w:val="16"/>
                <w:lang w:val="en-GB"/>
              </w:rPr>
            </w:pPr>
            <w:r w:rsidRPr="00525907">
              <w:rPr>
                <w:sz w:val="16"/>
                <w:szCs w:val="16"/>
                <w:lang w:val="en-GB"/>
              </w:rPr>
              <w:t>Power-to-Liquids diesel (e-diesel)</w:t>
            </w:r>
          </w:p>
          <w:p w14:paraId="124AE559" w14:textId="77777777" w:rsidR="00525907" w:rsidRPr="00525907" w:rsidRDefault="00525907" w:rsidP="003965C3">
            <w:pPr>
              <w:spacing w:line="360" w:lineRule="auto"/>
              <w:rPr>
                <w:sz w:val="16"/>
                <w:szCs w:val="16"/>
                <w:lang w:val="en-GB"/>
              </w:rPr>
            </w:pPr>
            <w:r w:rsidRPr="00525907">
              <w:rPr>
                <w:sz w:val="16"/>
                <w:szCs w:val="16"/>
                <w:lang w:val="en-GB"/>
              </w:rPr>
              <w:t>Power-to-Liquids heavy (e-heavy)</w:t>
            </w:r>
          </w:p>
        </w:tc>
      </w:tr>
      <w:tr w:rsidR="00525907" w:rsidRPr="00525907" w14:paraId="50406543" w14:textId="77777777" w:rsidTr="00525907">
        <w:trPr>
          <w:trHeight w:val="284"/>
          <w:jc w:val="center"/>
        </w:trPr>
        <w:tc>
          <w:tcPr>
            <w:tcW w:w="1726" w:type="dxa"/>
            <w:shd w:val="clear" w:color="auto" w:fill="C9C9C9"/>
            <w:vAlign w:val="center"/>
          </w:tcPr>
          <w:p w14:paraId="573CE1AF" w14:textId="77777777" w:rsidR="00525907" w:rsidRPr="00525907" w:rsidRDefault="00525907" w:rsidP="003965C3">
            <w:pPr>
              <w:spacing w:line="360" w:lineRule="auto"/>
              <w:rPr>
                <w:rFonts w:ascii="Kigelia" w:hAnsi="Kigelia" w:cs="Kigelia"/>
                <w:b/>
                <w:bCs/>
                <w:sz w:val="19"/>
                <w:szCs w:val="19"/>
                <w:lang w:val="en-GB"/>
              </w:rPr>
            </w:pPr>
            <w:r w:rsidRPr="00525907">
              <w:rPr>
                <w:rFonts w:ascii="Kigelia" w:hAnsi="Kigelia" w:cs="Kigelia"/>
                <w:b/>
                <w:bCs/>
                <w:sz w:val="19"/>
                <w:szCs w:val="19"/>
                <w:lang w:val="en-GB"/>
              </w:rPr>
              <w:t>AG-fos</w:t>
            </w:r>
          </w:p>
        </w:tc>
        <w:tc>
          <w:tcPr>
            <w:tcW w:w="2525" w:type="dxa"/>
            <w:vAlign w:val="center"/>
          </w:tcPr>
          <w:p w14:paraId="55AAE145" w14:textId="77777777" w:rsidR="00525907" w:rsidRPr="00525907" w:rsidRDefault="00525907" w:rsidP="003965C3">
            <w:pPr>
              <w:spacing w:line="360" w:lineRule="auto"/>
              <w:rPr>
                <w:sz w:val="16"/>
                <w:szCs w:val="16"/>
                <w:lang w:val="en-GB"/>
              </w:rPr>
            </w:pPr>
            <w:r w:rsidRPr="00525907">
              <w:rPr>
                <w:sz w:val="16"/>
                <w:szCs w:val="16"/>
                <w:lang w:val="en-GB"/>
              </w:rPr>
              <w:t>Fossil alcohol and gases</w:t>
            </w:r>
          </w:p>
        </w:tc>
        <w:tc>
          <w:tcPr>
            <w:tcW w:w="3570" w:type="dxa"/>
            <w:vAlign w:val="center"/>
          </w:tcPr>
          <w:p w14:paraId="17910716" w14:textId="7DBAAC0B" w:rsidR="00525907" w:rsidRPr="00525907" w:rsidRDefault="00525907" w:rsidP="003965C3">
            <w:pPr>
              <w:spacing w:line="360" w:lineRule="auto"/>
              <w:rPr>
                <w:sz w:val="16"/>
                <w:szCs w:val="16"/>
                <w:lang w:val="en-GB"/>
              </w:rPr>
            </w:pPr>
            <w:r w:rsidRPr="00525907">
              <w:rPr>
                <w:sz w:val="16"/>
                <w:szCs w:val="16"/>
                <w:lang w:val="en-GB"/>
              </w:rPr>
              <w:t xml:space="preserve">Fossil </w:t>
            </w:r>
            <w:r w:rsidR="000B644D">
              <w:rPr>
                <w:sz w:val="16"/>
                <w:szCs w:val="16"/>
                <w:lang w:val="en-GB"/>
              </w:rPr>
              <w:t>Liquified Natural Gas (</w:t>
            </w:r>
            <w:r w:rsidRPr="00525907">
              <w:rPr>
                <w:sz w:val="16"/>
                <w:szCs w:val="16"/>
                <w:lang w:val="en-GB"/>
              </w:rPr>
              <w:t>LNG</w:t>
            </w:r>
            <w:r w:rsidR="000B644D">
              <w:rPr>
                <w:sz w:val="16"/>
                <w:szCs w:val="16"/>
                <w:lang w:val="en-GB"/>
              </w:rPr>
              <w:t>)</w:t>
            </w:r>
          </w:p>
          <w:p w14:paraId="31C98380" w14:textId="0157AD39" w:rsidR="00525907" w:rsidRPr="00525907" w:rsidRDefault="00525907" w:rsidP="003965C3">
            <w:pPr>
              <w:spacing w:line="360" w:lineRule="auto"/>
              <w:rPr>
                <w:sz w:val="16"/>
                <w:szCs w:val="16"/>
                <w:lang w:val="en-GB"/>
              </w:rPr>
            </w:pPr>
            <w:r w:rsidRPr="00525907">
              <w:rPr>
                <w:sz w:val="16"/>
                <w:szCs w:val="16"/>
                <w:lang w:val="en-GB"/>
              </w:rPr>
              <w:t xml:space="preserve">Fossil </w:t>
            </w:r>
            <w:r w:rsidR="000B644D" w:rsidRPr="000B644D">
              <w:rPr>
                <w:sz w:val="16"/>
                <w:szCs w:val="16"/>
                <w:lang w:val="en-GB"/>
              </w:rPr>
              <w:t xml:space="preserve">Liquefied </w:t>
            </w:r>
            <w:r w:rsidR="00D21322">
              <w:rPr>
                <w:sz w:val="16"/>
                <w:szCs w:val="16"/>
                <w:lang w:val="en-GB"/>
              </w:rPr>
              <w:t>P</w:t>
            </w:r>
            <w:r w:rsidR="000B644D" w:rsidRPr="000B644D">
              <w:rPr>
                <w:sz w:val="16"/>
                <w:szCs w:val="16"/>
                <w:lang w:val="en-GB"/>
              </w:rPr>
              <w:t xml:space="preserve">etroleum </w:t>
            </w:r>
            <w:r w:rsidR="00D21322">
              <w:rPr>
                <w:sz w:val="16"/>
                <w:szCs w:val="16"/>
                <w:lang w:val="en-GB"/>
              </w:rPr>
              <w:t>G</w:t>
            </w:r>
            <w:r w:rsidR="000B644D" w:rsidRPr="000B644D">
              <w:rPr>
                <w:sz w:val="16"/>
                <w:szCs w:val="16"/>
                <w:lang w:val="en-GB"/>
              </w:rPr>
              <w:t xml:space="preserve">as </w:t>
            </w:r>
            <w:r w:rsidR="000B644D">
              <w:rPr>
                <w:sz w:val="16"/>
                <w:szCs w:val="16"/>
                <w:lang w:val="en-GB"/>
              </w:rPr>
              <w:t>(</w:t>
            </w:r>
            <w:r w:rsidRPr="00525907">
              <w:rPr>
                <w:sz w:val="16"/>
                <w:szCs w:val="16"/>
                <w:lang w:val="en-GB"/>
              </w:rPr>
              <w:t>LPG</w:t>
            </w:r>
            <w:r w:rsidR="000B644D">
              <w:rPr>
                <w:sz w:val="16"/>
                <w:szCs w:val="16"/>
                <w:lang w:val="en-GB"/>
              </w:rPr>
              <w:t>)</w:t>
            </w:r>
          </w:p>
          <w:p w14:paraId="1AC69B4C" w14:textId="77777777" w:rsidR="00525907" w:rsidRPr="00525907" w:rsidRDefault="00525907" w:rsidP="003965C3">
            <w:pPr>
              <w:spacing w:line="360" w:lineRule="auto"/>
              <w:rPr>
                <w:sz w:val="16"/>
                <w:szCs w:val="16"/>
                <w:lang w:val="en-GB"/>
              </w:rPr>
            </w:pPr>
            <w:r w:rsidRPr="00525907">
              <w:rPr>
                <w:sz w:val="16"/>
                <w:szCs w:val="16"/>
                <w:lang w:val="en-GB"/>
              </w:rPr>
              <w:t>Fossil methanol</w:t>
            </w:r>
          </w:p>
        </w:tc>
      </w:tr>
      <w:tr w:rsidR="00525907" w:rsidRPr="00525907" w14:paraId="1C989EB3" w14:textId="77777777" w:rsidTr="00525907">
        <w:trPr>
          <w:trHeight w:val="284"/>
          <w:jc w:val="center"/>
        </w:trPr>
        <w:tc>
          <w:tcPr>
            <w:tcW w:w="1726" w:type="dxa"/>
            <w:shd w:val="clear" w:color="auto" w:fill="EDEDED"/>
            <w:vAlign w:val="center"/>
          </w:tcPr>
          <w:p w14:paraId="51798D16" w14:textId="77777777" w:rsidR="00525907" w:rsidRPr="00525907" w:rsidRDefault="00525907" w:rsidP="003965C3">
            <w:pPr>
              <w:spacing w:line="360" w:lineRule="auto"/>
              <w:rPr>
                <w:rFonts w:ascii="Kigelia" w:hAnsi="Kigelia" w:cs="Kigelia"/>
                <w:b/>
                <w:bCs/>
                <w:sz w:val="19"/>
                <w:szCs w:val="19"/>
                <w:lang w:val="en-GB"/>
              </w:rPr>
            </w:pPr>
            <w:r w:rsidRPr="00525907">
              <w:rPr>
                <w:rFonts w:ascii="Kigelia" w:hAnsi="Kigelia" w:cs="Kigelia"/>
                <w:b/>
                <w:bCs/>
                <w:sz w:val="19"/>
                <w:szCs w:val="19"/>
                <w:lang w:val="en-GB"/>
              </w:rPr>
              <w:t>AG-bio</w:t>
            </w:r>
          </w:p>
        </w:tc>
        <w:tc>
          <w:tcPr>
            <w:tcW w:w="2525" w:type="dxa"/>
            <w:vAlign w:val="center"/>
          </w:tcPr>
          <w:p w14:paraId="3F26655A" w14:textId="77777777" w:rsidR="00525907" w:rsidRPr="00525907" w:rsidRDefault="00525907" w:rsidP="003965C3">
            <w:pPr>
              <w:spacing w:line="360" w:lineRule="auto"/>
              <w:rPr>
                <w:sz w:val="16"/>
                <w:szCs w:val="16"/>
                <w:lang w:val="en-GB"/>
              </w:rPr>
            </w:pPr>
            <w:r w:rsidRPr="00525907">
              <w:rPr>
                <w:sz w:val="16"/>
                <w:szCs w:val="16"/>
                <w:lang w:val="en-GB"/>
              </w:rPr>
              <w:t>Bio-alcohols and biogases</w:t>
            </w:r>
          </w:p>
        </w:tc>
        <w:tc>
          <w:tcPr>
            <w:tcW w:w="3570" w:type="dxa"/>
            <w:vAlign w:val="center"/>
          </w:tcPr>
          <w:p w14:paraId="3F0AF7CD" w14:textId="77777777" w:rsidR="00525907" w:rsidRPr="00525907" w:rsidRDefault="00525907" w:rsidP="003965C3">
            <w:pPr>
              <w:spacing w:line="360" w:lineRule="auto"/>
              <w:rPr>
                <w:sz w:val="16"/>
                <w:szCs w:val="16"/>
                <w:lang w:val="en-GB"/>
              </w:rPr>
            </w:pPr>
            <w:r w:rsidRPr="00525907">
              <w:rPr>
                <w:sz w:val="16"/>
                <w:szCs w:val="16"/>
                <w:lang w:val="en-GB"/>
              </w:rPr>
              <w:t>Bio-LNG</w:t>
            </w:r>
          </w:p>
          <w:p w14:paraId="22D13F9A" w14:textId="77777777" w:rsidR="00525907" w:rsidRPr="00525907" w:rsidRDefault="00525907" w:rsidP="003965C3">
            <w:pPr>
              <w:spacing w:line="360" w:lineRule="auto"/>
              <w:rPr>
                <w:sz w:val="16"/>
                <w:szCs w:val="16"/>
                <w:lang w:val="en-GB"/>
              </w:rPr>
            </w:pPr>
            <w:r w:rsidRPr="00525907">
              <w:rPr>
                <w:sz w:val="16"/>
                <w:szCs w:val="16"/>
                <w:lang w:val="en-GB"/>
              </w:rPr>
              <w:t>Biomethanol</w:t>
            </w:r>
          </w:p>
          <w:p w14:paraId="5081BF66" w14:textId="77777777" w:rsidR="00525907" w:rsidRPr="00525907" w:rsidRDefault="00525907" w:rsidP="003965C3">
            <w:pPr>
              <w:spacing w:line="360" w:lineRule="auto"/>
              <w:rPr>
                <w:sz w:val="16"/>
                <w:szCs w:val="16"/>
                <w:lang w:val="en-GB"/>
              </w:rPr>
            </w:pPr>
            <w:r w:rsidRPr="00525907">
              <w:rPr>
                <w:sz w:val="16"/>
                <w:szCs w:val="16"/>
                <w:lang w:val="en-GB"/>
              </w:rPr>
              <w:t>Ethanol</w:t>
            </w:r>
          </w:p>
        </w:tc>
      </w:tr>
      <w:tr w:rsidR="00525907" w:rsidRPr="00525907" w14:paraId="134F9EBD" w14:textId="77777777" w:rsidTr="00525907">
        <w:trPr>
          <w:trHeight w:val="284"/>
          <w:jc w:val="center"/>
        </w:trPr>
        <w:tc>
          <w:tcPr>
            <w:tcW w:w="1726" w:type="dxa"/>
            <w:shd w:val="clear" w:color="auto" w:fill="BDD7EE"/>
            <w:vAlign w:val="center"/>
          </w:tcPr>
          <w:p w14:paraId="260CE90F" w14:textId="77777777" w:rsidR="00525907" w:rsidRPr="00525907" w:rsidRDefault="00525907" w:rsidP="003965C3">
            <w:pPr>
              <w:spacing w:line="360" w:lineRule="auto"/>
              <w:rPr>
                <w:rFonts w:ascii="Kigelia" w:hAnsi="Kigelia" w:cs="Kigelia"/>
                <w:b/>
                <w:bCs/>
                <w:sz w:val="19"/>
                <w:szCs w:val="19"/>
                <w:lang w:val="en-GB"/>
              </w:rPr>
            </w:pPr>
            <w:r w:rsidRPr="00525907">
              <w:rPr>
                <w:rFonts w:ascii="Kigelia" w:hAnsi="Kigelia" w:cs="Kigelia"/>
                <w:b/>
                <w:bCs/>
                <w:sz w:val="19"/>
                <w:szCs w:val="19"/>
                <w:lang w:val="en-GB"/>
              </w:rPr>
              <w:t>AG-synt</w:t>
            </w:r>
          </w:p>
        </w:tc>
        <w:tc>
          <w:tcPr>
            <w:tcW w:w="2525" w:type="dxa"/>
            <w:vAlign w:val="center"/>
          </w:tcPr>
          <w:p w14:paraId="5855A87C" w14:textId="77777777" w:rsidR="00525907" w:rsidRPr="00525907" w:rsidRDefault="00525907" w:rsidP="003965C3">
            <w:pPr>
              <w:spacing w:line="360" w:lineRule="auto"/>
              <w:rPr>
                <w:sz w:val="16"/>
                <w:szCs w:val="16"/>
                <w:lang w:val="en-GB"/>
              </w:rPr>
            </w:pPr>
            <w:r w:rsidRPr="00525907">
              <w:rPr>
                <w:sz w:val="16"/>
                <w:szCs w:val="16"/>
                <w:lang w:val="en-GB"/>
              </w:rPr>
              <w:t>Synthetic alcohols and gases</w:t>
            </w:r>
          </w:p>
        </w:tc>
        <w:tc>
          <w:tcPr>
            <w:tcW w:w="3570" w:type="dxa"/>
            <w:vAlign w:val="center"/>
          </w:tcPr>
          <w:p w14:paraId="692D7430" w14:textId="77777777" w:rsidR="00525907" w:rsidRPr="00525907" w:rsidRDefault="00525907" w:rsidP="003965C3">
            <w:pPr>
              <w:spacing w:line="360" w:lineRule="auto"/>
              <w:rPr>
                <w:sz w:val="16"/>
                <w:szCs w:val="16"/>
                <w:lang w:val="en-GB"/>
              </w:rPr>
            </w:pPr>
            <w:r w:rsidRPr="00525907">
              <w:rPr>
                <w:sz w:val="16"/>
                <w:szCs w:val="16"/>
                <w:lang w:val="en-GB"/>
              </w:rPr>
              <w:t>Power-to-Gas LNG (e-LNG)</w:t>
            </w:r>
          </w:p>
          <w:p w14:paraId="0FCF38CC" w14:textId="77777777" w:rsidR="00525907" w:rsidRPr="00525907" w:rsidRDefault="00525907" w:rsidP="003965C3">
            <w:pPr>
              <w:spacing w:line="360" w:lineRule="auto"/>
              <w:rPr>
                <w:sz w:val="16"/>
                <w:szCs w:val="16"/>
                <w:lang w:val="en-GB"/>
              </w:rPr>
            </w:pPr>
            <w:r w:rsidRPr="00525907">
              <w:rPr>
                <w:sz w:val="16"/>
                <w:szCs w:val="16"/>
                <w:lang w:val="en-GB"/>
              </w:rPr>
              <w:t>Power-to-Gas LPG (e-LPG)</w:t>
            </w:r>
          </w:p>
          <w:p w14:paraId="1BC2980B" w14:textId="77777777" w:rsidR="00525907" w:rsidRPr="00525907" w:rsidRDefault="00525907" w:rsidP="003965C3">
            <w:pPr>
              <w:spacing w:line="360" w:lineRule="auto"/>
              <w:rPr>
                <w:sz w:val="16"/>
                <w:szCs w:val="16"/>
                <w:lang w:val="en-GB"/>
              </w:rPr>
            </w:pPr>
            <w:r w:rsidRPr="00525907">
              <w:rPr>
                <w:sz w:val="16"/>
                <w:szCs w:val="16"/>
                <w:lang w:val="en-GB"/>
              </w:rPr>
              <w:t>Power-to-Liquids methanol (e-methanol)</w:t>
            </w:r>
          </w:p>
        </w:tc>
      </w:tr>
      <w:tr w:rsidR="00525907" w:rsidRPr="00525907" w14:paraId="3159943F" w14:textId="77777777" w:rsidTr="00525907">
        <w:trPr>
          <w:trHeight w:val="284"/>
          <w:jc w:val="center"/>
        </w:trPr>
        <w:tc>
          <w:tcPr>
            <w:tcW w:w="1726" w:type="dxa"/>
            <w:shd w:val="clear" w:color="auto" w:fill="FFC000"/>
            <w:vAlign w:val="center"/>
          </w:tcPr>
          <w:p w14:paraId="708969BC" w14:textId="77777777" w:rsidR="00525907" w:rsidRPr="00525907" w:rsidRDefault="00525907" w:rsidP="003965C3">
            <w:pPr>
              <w:spacing w:line="360" w:lineRule="auto"/>
              <w:rPr>
                <w:rFonts w:ascii="Kigelia" w:hAnsi="Kigelia" w:cs="Kigelia"/>
                <w:b/>
                <w:bCs/>
                <w:sz w:val="19"/>
                <w:szCs w:val="19"/>
                <w:lang w:val="en-GB"/>
              </w:rPr>
            </w:pPr>
            <w:r w:rsidRPr="00525907">
              <w:rPr>
                <w:rFonts w:ascii="Kigelia" w:hAnsi="Kigelia" w:cs="Kigelia"/>
                <w:b/>
                <w:bCs/>
                <w:sz w:val="19"/>
                <w:szCs w:val="19"/>
                <w:lang w:val="en-GB"/>
              </w:rPr>
              <w:t>H</w:t>
            </w:r>
            <w:r w:rsidRPr="00525907">
              <w:rPr>
                <w:rFonts w:ascii="Kigelia" w:hAnsi="Kigelia" w:cs="Kigelia"/>
                <w:b/>
                <w:bCs/>
                <w:sz w:val="19"/>
                <w:szCs w:val="19"/>
                <w:vertAlign w:val="subscript"/>
                <w:lang w:val="en-GB"/>
              </w:rPr>
              <w:t>2</w:t>
            </w:r>
            <w:r w:rsidRPr="00525907">
              <w:rPr>
                <w:rFonts w:ascii="Kigelia" w:hAnsi="Kigelia" w:cs="Kigelia"/>
                <w:b/>
                <w:bCs/>
                <w:sz w:val="19"/>
                <w:szCs w:val="19"/>
                <w:lang w:val="en-GB"/>
              </w:rPr>
              <w:t>/NH</w:t>
            </w:r>
            <w:r w:rsidRPr="00525907">
              <w:rPr>
                <w:rFonts w:ascii="Kigelia" w:hAnsi="Kigelia" w:cs="Kigelia"/>
                <w:b/>
                <w:bCs/>
                <w:sz w:val="19"/>
                <w:szCs w:val="19"/>
                <w:vertAlign w:val="subscript"/>
                <w:lang w:val="en-GB"/>
              </w:rPr>
              <w:t>3</w:t>
            </w:r>
          </w:p>
        </w:tc>
        <w:tc>
          <w:tcPr>
            <w:tcW w:w="2525" w:type="dxa"/>
            <w:vAlign w:val="center"/>
          </w:tcPr>
          <w:p w14:paraId="62AA5086" w14:textId="77777777" w:rsidR="00525907" w:rsidRPr="00525907" w:rsidRDefault="00525907" w:rsidP="003965C3">
            <w:pPr>
              <w:spacing w:line="360" w:lineRule="auto"/>
              <w:rPr>
                <w:sz w:val="16"/>
                <w:szCs w:val="16"/>
                <w:lang w:val="en-GB"/>
              </w:rPr>
            </w:pPr>
            <w:r w:rsidRPr="00525907">
              <w:rPr>
                <w:sz w:val="16"/>
                <w:szCs w:val="16"/>
                <w:lang w:val="en-GB"/>
              </w:rPr>
              <w:t>Hydrogen and ammonia</w:t>
            </w:r>
          </w:p>
        </w:tc>
        <w:tc>
          <w:tcPr>
            <w:tcW w:w="3570" w:type="dxa"/>
            <w:vAlign w:val="center"/>
          </w:tcPr>
          <w:p w14:paraId="3AE00F01" w14:textId="77777777" w:rsidR="00525907" w:rsidRPr="00525907" w:rsidRDefault="00525907" w:rsidP="003965C3">
            <w:pPr>
              <w:spacing w:line="360" w:lineRule="auto"/>
              <w:rPr>
                <w:sz w:val="16"/>
                <w:szCs w:val="16"/>
                <w:lang w:val="en-GB"/>
              </w:rPr>
            </w:pPr>
            <w:r w:rsidRPr="00525907">
              <w:rPr>
                <w:sz w:val="16"/>
                <w:szCs w:val="16"/>
                <w:lang w:val="en-GB"/>
              </w:rPr>
              <w:t>Hydrogen</w:t>
            </w:r>
          </w:p>
          <w:p w14:paraId="40AC6989" w14:textId="77777777" w:rsidR="00525907" w:rsidRPr="00525907" w:rsidRDefault="00525907" w:rsidP="003965C3">
            <w:pPr>
              <w:spacing w:line="360" w:lineRule="auto"/>
              <w:rPr>
                <w:sz w:val="16"/>
                <w:szCs w:val="16"/>
                <w:lang w:val="en-GB"/>
              </w:rPr>
            </w:pPr>
            <w:r w:rsidRPr="00525907">
              <w:rPr>
                <w:sz w:val="16"/>
                <w:szCs w:val="16"/>
                <w:lang w:val="en-GB"/>
              </w:rPr>
              <w:t>Ammonia</w:t>
            </w:r>
          </w:p>
        </w:tc>
      </w:tr>
      <w:tr w:rsidR="00525907" w:rsidRPr="00525907" w14:paraId="676D1536" w14:textId="77777777" w:rsidTr="00525907">
        <w:trPr>
          <w:trHeight w:val="284"/>
          <w:jc w:val="center"/>
        </w:trPr>
        <w:tc>
          <w:tcPr>
            <w:tcW w:w="1726" w:type="dxa"/>
            <w:shd w:val="clear" w:color="auto" w:fill="FFE699"/>
            <w:vAlign w:val="center"/>
          </w:tcPr>
          <w:p w14:paraId="549908CE" w14:textId="77777777" w:rsidR="00525907" w:rsidRPr="00525907" w:rsidRDefault="00525907" w:rsidP="003965C3">
            <w:pPr>
              <w:spacing w:line="360" w:lineRule="auto"/>
              <w:rPr>
                <w:rFonts w:ascii="Kigelia" w:hAnsi="Kigelia" w:cs="Kigelia"/>
                <w:b/>
                <w:bCs/>
                <w:sz w:val="19"/>
                <w:szCs w:val="19"/>
                <w:lang w:val="en-GB"/>
              </w:rPr>
            </w:pPr>
            <w:r w:rsidRPr="00525907">
              <w:rPr>
                <w:rFonts w:ascii="Kigelia" w:hAnsi="Kigelia" w:cs="Kigelia"/>
                <w:b/>
                <w:bCs/>
                <w:sz w:val="19"/>
                <w:szCs w:val="19"/>
                <w:lang w:val="en-GB"/>
              </w:rPr>
              <w:lastRenderedPageBreak/>
              <w:t>Elec</w:t>
            </w:r>
          </w:p>
        </w:tc>
        <w:tc>
          <w:tcPr>
            <w:tcW w:w="2525" w:type="dxa"/>
            <w:vAlign w:val="center"/>
          </w:tcPr>
          <w:p w14:paraId="0DF3B176" w14:textId="77777777" w:rsidR="00525907" w:rsidRPr="00525907" w:rsidRDefault="00525907" w:rsidP="003965C3">
            <w:pPr>
              <w:spacing w:line="360" w:lineRule="auto"/>
              <w:rPr>
                <w:sz w:val="16"/>
                <w:szCs w:val="16"/>
                <w:lang w:val="en-GB"/>
              </w:rPr>
            </w:pPr>
            <w:r w:rsidRPr="00525907">
              <w:rPr>
                <w:sz w:val="16"/>
                <w:szCs w:val="16"/>
                <w:lang w:val="en-GB"/>
              </w:rPr>
              <w:t>Electricity</w:t>
            </w:r>
          </w:p>
        </w:tc>
        <w:tc>
          <w:tcPr>
            <w:tcW w:w="3570" w:type="dxa"/>
            <w:vAlign w:val="center"/>
          </w:tcPr>
          <w:p w14:paraId="58EBC18D" w14:textId="77777777" w:rsidR="00525907" w:rsidRPr="00525907" w:rsidRDefault="00525907" w:rsidP="003965C3">
            <w:pPr>
              <w:spacing w:line="360" w:lineRule="auto"/>
              <w:rPr>
                <w:sz w:val="16"/>
                <w:szCs w:val="16"/>
                <w:lang w:val="en-GB"/>
              </w:rPr>
            </w:pPr>
            <w:r w:rsidRPr="00525907">
              <w:rPr>
                <w:sz w:val="16"/>
                <w:szCs w:val="16"/>
                <w:lang w:val="en-GB"/>
              </w:rPr>
              <w:t>Electricity</w:t>
            </w:r>
          </w:p>
        </w:tc>
      </w:tr>
    </w:tbl>
    <w:p w14:paraId="05950A33" w14:textId="77777777" w:rsidR="00525907" w:rsidRPr="00981863" w:rsidRDefault="00525907" w:rsidP="00384CBA">
      <w:pPr>
        <w:spacing w:line="360" w:lineRule="auto"/>
        <w:jc w:val="both"/>
        <w:rPr>
          <w:lang w:val="en-GB"/>
        </w:rPr>
      </w:pPr>
    </w:p>
    <w:p w14:paraId="7393EE62" w14:textId="77777777" w:rsidR="00384CBA" w:rsidRDefault="00384CBA" w:rsidP="00384CBA">
      <w:pPr>
        <w:pStyle w:val="HollandsSpoor"/>
        <w:numPr>
          <w:ilvl w:val="0"/>
          <w:numId w:val="0"/>
        </w:numPr>
        <w:spacing w:line="360" w:lineRule="auto"/>
        <w:ind w:left="360" w:hanging="360"/>
        <w:jc w:val="both"/>
      </w:pPr>
    </w:p>
    <w:p w14:paraId="785EA628" w14:textId="77777777" w:rsidR="00384CBA" w:rsidRPr="00981863" w:rsidRDefault="00384CBA" w:rsidP="007C2055">
      <w:pPr>
        <w:spacing w:line="360" w:lineRule="auto"/>
        <w:jc w:val="both"/>
        <w:rPr>
          <w:rFonts w:cstheme="minorHAnsi"/>
          <w:color w:val="000000" w:themeColor="text1"/>
          <w:shd w:val="clear" w:color="auto" w:fill="FFFFFF"/>
          <w:lang w:val="en-GB"/>
        </w:rPr>
      </w:pPr>
    </w:p>
    <w:p w14:paraId="4FFD0FEA" w14:textId="7723D0B1" w:rsidR="00566292" w:rsidRDefault="008F40BC" w:rsidP="00566292">
      <w:pPr>
        <w:pStyle w:val="HollandsSpoor"/>
        <w:numPr>
          <w:ilvl w:val="0"/>
          <w:numId w:val="6"/>
        </w:numPr>
        <w:spacing w:line="360" w:lineRule="auto"/>
        <w:jc w:val="both"/>
      </w:pPr>
      <w:r>
        <w:t xml:space="preserve">Detailed results for Europe </w:t>
      </w:r>
    </w:p>
    <w:p w14:paraId="6E671D43" w14:textId="741519E4" w:rsidR="00801D9F" w:rsidRDefault="00801D9F" w:rsidP="00801D9F">
      <w:pPr>
        <w:pStyle w:val="HollandsSpoor2"/>
        <w:numPr>
          <w:ilvl w:val="1"/>
          <w:numId w:val="6"/>
        </w:numPr>
        <w:spacing w:line="360" w:lineRule="auto"/>
        <w:jc w:val="both"/>
      </w:pPr>
      <w:r>
        <w:t xml:space="preserve"> PRIMES-Maritime</w:t>
      </w:r>
    </w:p>
    <w:p w14:paraId="2E21EEF5" w14:textId="77777777" w:rsidR="00801D9F" w:rsidRPr="00801D9F" w:rsidRDefault="00801D9F" w:rsidP="00801D9F">
      <w:pPr>
        <w:pStyle w:val="pf0"/>
        <w:spacing w:line="360" w:lineRule="auto"/>
        <w:jc w:val="both"/>
        <w:rPr>
          <w:rStyle w:val="fontstyle01"/>
          <w:rFonts w:eastAsiaTheme="minorHAnsi"/>
          <w:sz w:val="22"/>
          <w:szCs w:val="22"/>
          <w:lang w:val="en-GB"/>
        </w:rPr>
      </w:pPr>
      <w:r w:rsidRPr="00801D9F">
        <w:rPr>
          <w:rStyle w:val="fontstyle01"/>
          <w:rFonts w:eastAsiaTheme="minorHAnsi"/>
          <w:sz w:val="22"/>
          <w:szCs w:val="22"/>
          <w:lang w:val="en-GB"/>
        </w:rPr>
        <w:t xml:space="preserve">The aim of the PRIMES-Maritime model is to perform long-term energy and emission projections, until 2050, for each EU MS separately. The coverage of the model includes the European intra-EU maritime sector as well as the extra-EU maritime trade. PRIMES-Maritime focuses only on the EU MS and the extra-EU trade coming in and out of the EU. The model consists of a modular structure: </w:t>
      </w:r>
    </w:p>
    <w:p w14:paraId="66D8FFCC" w14:textId="77777777" w:rsidR="00801D9F" w:rsidRPr="00801D9F" w:rsidRDefault="00801D9F" w:rsidP="00801D9F">
      <w:pPr>
        <w:pStyle w:val="pf0"/>
        <w:numPr>
          <w:ilvl w:val="0"/>
          <w:numId w:val="3"/>
        </w:numPr>
        <w:spacing w:line="360" w:lineRule="auto"/>
        <w:jc w:val="both"/>
        <w:rPr>
          <w:rStyle w:val="fontstyle01"/>
          <w:rFonts w:eastAsiaTheme="minorHAnsi"/>
          <w:sz w:val="22"/>
          <w:szCs w:val="22"/>
          <w:lang w:val="en-GB"/>
        </w:rPr>
      </w:pPr>
      <w:r w:rsidRPr="00801D9F">
        <w:rPr>
          <w:rStyle w:val="fontstyle01"/>
          <w:rFonts w:eastAsiaTheme="minorHAnsi"/>
          <w:sz w:val="22"/>
          <w:szCs w:val="22"/>
          <w:lang w:val="en-GB"/>
        </w:rPr>
        <w:t xml:space="preserve">The </w:t>
      </w:r>
      <w:r w:rsidRPr="00801D9F">
        <w:rPr>
          <w:rStyle w:val="fontstyle01"/>
          <w:rFonts w:eastAsiaTheme="minorHAnsi"/>
          <w:b/>
          <w:bCs/>
          <w:sz w:val="22"/>
          <w:szCs w:val="22"/>
          <w:lang w:val="en-GB"/>
        </w:rPr>
        <w:t>demand module</w:t>
      </w:r>
      <w:r w:rsidRPr="00801D9F">
        <w:rPr>
          <w:rStyle w:val="fontstyle01"/>
          <w:rFonts w:eastAsiaTheme="minorHAnsi"/>
          <w:sz w:val="22"/>
          <w:szCs w:val="22"/>
          <w:lang w:val="en-GB"/>
        </w:rPr>
        <w:t xml:space="preserve"> projects maritime activity for each EU MS by type of cargo and by corresponding partner. Econometrical functions relate future demand for maritime transport services with economic drivers including GDP, energy demand (oil, coal, LNG), international fuel prices, and bilateral trade by type of product. </w:t>
      </w:r>
    </w:p>
    <w:p w14:paraId="2DDA2A4C" w14:textId="0CD8D81E" w:rsidR="00801D9F" w:rsidRPr="00801D9F" w:rsidRDefault="00801D9F" w:rsidP="00801D9F">
      <w:pPr>
        <w:pStyle w:val="pf0"/>
        <w:numPr>
          <w:ilvl w:val="0"/>
          <w:numId w:val="3"/>
        </w:numPr>
        <w:spacing w:line="360" w:lineRule="auto"/>
        <w:jc w:val="both"/>
        <w:rPr>
          <w:rStyle w:val="fontstyle01"/>
          <w:rFonts w:eastAsiaTheme="minorHAnsi"/>
          <w:sz w:val="22"/>
          <w:szCs w:val="22"/>
          <w:lang w:val="en-GB"/>
        </w:rPr>
      </w:pPr>
      <w:r w:rsidRPr="00801D9F">
        <w:rPr>
          <w:rStyle w:val="fontstyle01"/>
          <w:rFonts w:eastAsiaTheme="minorHAnsi"/>
          <w:sz w:val="22"/>
          <w:szCs w:val="22"/>
          <w:lang w:val="en-GB"/>
        </w:rPr>
        <w:t xml:space="preserve">The </w:t>
      </w:r>
      <w:r w:rsidRPr="00801D9F">
        <w:rPr>
          <w:rStyle w:val="fontstyle01"/>
          <w:rFonts w:eastAsiaTheme="minorHAnsi"/>
          <w:b/>
          <w:bCs/>
          <w:sz w:val="22"/>
          <w:szCs w:val="22"/>
          <w:lang w:val="en-GB"/>
        </w:rPr>
        <w:t>supply module</w:t>
      </w:r>
      <w:r w:rsidRPr="00801D9F">
        <w:rPr>
          <w:rStyle w:val="fontstyle01"/>
          <w:rFonts w:eastAsiaTheme="minorHAnsi"/>
          <w:sz w:val="22"/>
          <w:szCs w:val="22"/>
          <w:lang w:val="en-GB"/>
        </w:rPr>
        <w:t xml:space="preserve"> simulates a virtual operator controlling the EU fleet, which performs the requested maritime transport services and allocates the vessels to activities in the various markets (the EU MS and the extra-EU area that trades with the EU) where different regulatory regimes may apply (</w:t>
      </w:r>
      <w:r w:rsidR="008A0114" w:rsidRPr="00801D9F">
        <w:rPr>
          <w:rStyle w:val="fontstyle01"/>
          <w:rFonts w:eastAsiaTheme="minorHAnsi"/>
          <w:sz w:val="22"/>
          <w:szCs w:val="22"/>
          <w:lang w:val="en-GB"/>
        </w:rPr>
        <w:t>e.g.,</w:t>
      </w:r>
      <w:r w:rsidRPr="00801D9F">
        <w:rPr>
          <w:rStyle w:val="fontstyle01"/>
          <w:rFonts w:eastAsiaTheme="minorHAnsi"/>
          <w:sz w:val="22"/>
          <w:szCs w:val="22"/>
          <w:lang w:val="en-GB"/>
        </w:rPr>
        <w:t xml:space="preserve"> ECA zones). </w:t>
      </w:r>
    </w:p>
    <w:p w14:paraId="259582BF" w14:textId="77777777" w:rsidR="00801D9F" w:rsidRPr="00801D9F" w:rsidRDefault="00801D9F" w:rsidP="00801D9F">
      <w:pPr>
        <w:pStyle w:val="pf0"/>
        <w:spacing w:line="360" w:lineRule="auto"/>
        <w:jc w:val="both"/>
        <w:rPr>
          <w:rStyle w:val="fontstyle01"/>
          <w:rFonts w:eastAsiaTheme="minorHAnsi"/>
          <w:sz w:val="22"/>
          <w:szCs w:val="22"/>
          <w:lang w:val="en-GB"/>
        </w:rPr>
      </w:pPr>
      <w:r w:rsidRPr="00801D9F">
        <w:rPr>
          <w:rStyle w:val="fontstyle01"/>
          <w:rFonts w:eastAsiaTheme="minorHAnsi"/>
          <w:sz w:val="22"/>
          <w:szCs w:val="22"/>
          <w:lang w:val="en-GB"/>
        </w:rPr>
        <w:t>The policy input includes emissions (CO</w:t>
      </w:r>
      <w:r w:rsidRPr="00801D9F">
        <w:rPr>
          <w:rStyle w:val="fontstyle01"/>
          <w:rFonts w:eastAsiaTheme="minorHAnsi"/>
          <w:sz w:val="22"/>
          <w:szCs w:val="22"/>
          <w:vertAlign w:val="subscript"/>
          <w:lang w:val="en-GB"/>
        </w:rPr>
        <w:t>2</w:t>
      </w:r>
      <w:r w:rsidRPr="00801D9F">
        <w:rPr>
          <w:rStyle w:val="fontstyle01"/>
          <w:rFonts w:eastAsiaTheme="minorHAnsi"/>
          <w:sz w:val="22"/>
          <w:szCs w:val="22"/>
          <w:lang w:val="en-GB"/>
        </w:rPr>
        <w:t>, air pollution) and energy efficiency standards (EEDI for new vessels, SEEMP), fuel standards and potential fuel mandates. The fleet of vessels disaggregates into several categories depending on cargo types.</w:t>
      </w:r>
    </w:p>
    <w:p w14:paraId="73C5AAC2" w14:textId="77777777" w:rsidR="00801D9F" w:rsidRDefault="00801D9F" w:rsidP="00801D9F">
      <w:pPr>
        <w:pStyle w:val="pf0"/>
        <w:spacing w:line="360" w:lineRule="auto"/>
        <w:jc w:val="both"/>
        <w:rPr>
          <w:rStyle w:val="fontstyle01"/>
          <w:rFonts w:eastAsiaTheme="minorHAnsi"/>
          <w:sz w:val="22"/>
          <w:szCs w:val="22"/>
          <w:lang w:val="en-GB"/>
        </w:rPr>
      </w:pPr>
      <w:r w:rsidRPr="00801D9F">
        <w:rPr>
          <w:rStyle w:val="fontstyle01"/>
          <w:rFonts w:eastAsiaTheme="minorHAnsi"/>
          <w:sz w:val="22"/>
          <w:szCs w:val="22"/>
          <w:lang w:val="en-GB"/>
        </w:rPr>
        <w:t>The model is dynamic solving for the balance between supply and demand, considering vessel vintages and fleet renewal requirements with a stock-flow relationship. Capital turnover is explicit in the model influencing the pace of fuel substitution. Choice of fuel mix for new vessels is based on technoeconomic assumptions applying discrete choice modelling. The model projects bunkers consumption across fuel types and derived WtT and TtW GHG emissions, including methane slippage emissions from combustion. Energy consumption is based on specific fuel consumption functions, which use cost-efficiency curves to summarize efficiency possibilities.</w:t>
      </w:r>
    </w:p>
    <w:p w14:paraId="027028D2" w14:textId="37F05C6B" w:rsidR="00801D9F" w:rsidRDefault="00801D9F" w:rsidP="00801D9F">
      <w:pPr>
        <w:pStyle w:val="HollandsSpoor2"/>
        <w:numPr>
          <w:ilvl w:val="1"/>
          <w:numId w:val="6"/>
        </w:numPr>
        <w:spacing w:line="360" w:lineRule="auto"/>
        <w:jc w:val="both"/>
      </w:pPr>
      <w:r>
        <w:lastRenderedPageBreak/>
        <w:t xml:space="preserve"> EU region results</w:t>
      </w:r>
    </w:p>
    <w:p w14:paraId="640A83D3" w14:textId="77777777" w:rsidR="00801D9F" w:rsidRPr="00801D9F" w:rsidRDefault="00801D9F" w:rsidP="00801D9F">
      <w:pPr>
        <w:pStyle w:val="pf0"/>
        <w:spacing w:line="360" w:lineRule="auto"/>
        <w:jc w:val="both"/>
        <w:rPr>
          <w:sz w:val="22"/>
          <w:szCs w:val="22"/>
        </w:rPr>
      </w:pPr>
    </w:p>
    <w:p w14:paraId="176012D2" w14:textId="2B04CD65" w:rsidR="008F40BC" w:rsidRPr="00801D9F" w:rsidRDefault="008F40BC" w:rsidP="008F40BC">
      <w:pPr>
        <w:spacing w:line="360" w:lineRule="auto"/>
        <w:jc w:val="both"/>
        <w:rPr>
          <w:lang w:val="en-GB"/>
        </w:rPr>
      </w:pPr>
      <w:r w:rsidRPr="00801D9F">
        <w:rPr>
          <w:bCs/>
          <w:lang w:val="en-GB"/>
        </w:rPr>
        <w:t xml:space="preserve">This </w:t>
      </w:r>
      <w:r w:rsidR="00801D9F">
        <w:rPr>
          <w:bCs/>
          <w:lang w:val="en-GB"/>
        </w:rPr>
        <w:t>sub</w:t>
      </w:r>
      <w:r w:rsidRPr="00801D9F">
        <w:rPr>
          <w:bCs/>
          <w:lang w:val="en-GB"/>
        </w:rPr>
        <w:t>section presents results for the EU region based on the bottom-up model PRIMES-Maritime. The model projects energy and ship-generated emissions until 2050, covering intra-European and extra-European maritime shipping activity. While regional in scope, the modelling results can shed light onto the fuel and technology portfolio required to decarbonize the European maritime sector</w:t>
      </w:r>
      <w:r w:rsidR="00C65E61">
        <w:rPr>
          <w:bCs/>
          <w:lang w:val="en-GB"/>
        </w:rPr>
        <w:fldChar w:fldCharType="begin" w:fldLock="1"/>
      </w:r>
      <w:r w:rsidR="00C65E61">
        <w:rPr>
          <w:bCs/>
          <w:lang w:val="en-GB"/>
        </w:rPr>
        <w:instrText>ADDIN CSL_CITATION {"citationItems":[{"id":"ITEM-1","itemData":{"URL":"www.e3.modelling.com","author":[{"dropping-particle":"","family":"E3-Modelling","given":"","non-dropping-particle":"","parse-names":false,"suffix":""}],"id":"ITEM-1","issued":{"date-parts":[["2018"]]},"title":"PRIMES model version 2018 - Detailed model description","type":"webpage"},"uris":["http://www.mendeley.com/documents/?uuid=f763f99f-3bb3-4b9f-af26-ceaf0ac39b79"]}],"mendeley":{"formattedCitation":"&lt;sup&gt;25&lt;/sup&gt;","plainTextFormattedCitation":"25","previouslyFormattedCitation":"&lt;sup&gt;25&lt;/sup&gt;"},"properties":{"noteIndex":0},"schema":"https://github.com/citation-style-language/schema/raw/master/csl-citation.json"}</w:instrText>
      </w:r>
      <w:r w:rsidR="00C65E61">
        <w:rPr>
          <w:bCs/>
          <w:lang w:val="en-GB"/>
        </w:rPr>
        <w:fldChar w:fldCharType="separate"/>
      </w:r>
      <w:r w:rsidR="00C65E61" w:rsidRPr="00C65E61">
        <w:rPr>
          <w:bCs/>
          <w:noProof/>
          <w:vertAlign w:val="superscript"/>
          <w:lang w:val="en-GB"/>
        </w:rPr>
        <w:t>25</w:t>
      </w:r>
      <w:r w:rsidR="00C65E61">
        <w:rPr>
          <w:bCs/>
          <w:lang w:val="en-GB"/>
        </w:rPr>
        <w:fldChar w:fldCharType="end"/>
      </w:r>
      <w:r w:rsidRPr="00801D9F">
        <w:rPr>
          <w:bCs/>
          <w:lang w:val="en-GB"/>
        </w:rPr>
        <w:t>.</w:t>
      </w:r>
    </w:p>
    <w:p w14:paraId="5BBEBCF5" w14:textId="77777777" w:rsidR="008F40BC" w:rsidRPr="00981863" w:rsidRDefault="008F40BC" w:rsidP="008F40BC">
      <w:pPr>
        <w:spacing w:line="360" w:lineRule="auto"/>
        <w:jc w:val="both"/>
        <w:rPr>
          <w:lang w:val="en-GB"/>
        </w:rPr>
      </w:pPr>
      <w:r w:rsidRPr="00981863">
        <w:rPr>
          <w:lang w:val="en-GB"/>
        </w:rPr>
        <w:t>Three scenarios are quantified with PRIMES-Maritime and are aligned with the scenario narratives of the global IAMs presented in the article, namely:</w:t>
      </w:r>
    </w:p>
    <w:p w14:paraId="3F63E576" w14:textId="52B761AC" w:rsidR="008F40BC" w:rsidRPr="00981863" w:rsidRDefault="008F40BC" w:rsidP="008F40BC">
      <w:pPr>
        <w:pStyle w:val="PargrafodaLista"/>
        <w:numPr>
          <w:ilvl w:val="0"/>
          <w:numId w:val="2"/>
        </w:numPr>
        <w:spacing w:after="0" w:line="360" w:lineRule="auto"/>
        <w:jc w:val="both"/>
        <w:rPr>
          <w:lang w:val="en-GB" w:eastAsia="nl-BE"/>
        </w:rPr>
      </w:pPr>
      <w:r w:rsidRPr="00981863">
        <w:rPr>
          <w:b/>
          <w:bCs/>
          <w:lang w:val="en-GB"/>
        </w:rPr>
        <w:t>NDCi</w:t>
      </w:r>
      <w:r w:rsidRPr="00981863">
        <w:rPr>
          <w:bCs/>
          <w:lang w:val="en-GB"/>
        </w:rPr>
        <w:t>:</w:t>
      </w:r>
      <w:r w:rsidRPr="00981863">
        <w:rPr>
          <w:b/>
          <w:bCs/>
          <w:lang w:val="en-GB"/>
        </w:rPr>
        <w:t xml:space="preserve"> </w:t>
      </w:r>
      <w:r w:rsidRPr="00981863">
        <w:rPr>
          <w:bCs/>
          <w:lang w:val="en-GB"/>
        </w:rPr>
        <w:t>represents a “no policy change” scenario largely aligned with the EU Reference scenario 2020</w:t>
      </w:r>
      <w:r w:rsidR="00C65E61">
        <w:rPr>
          <w:bCs/>
          <w:lang w:val="en-GB"/>
        </w:rPr>
        <w:fldChar w:fldCharType="begin" w:fldLock="1"/>
      </w:r>
      <w:r w:rsidR="00D144AC">
        <w:rPr>
          <w:bCs/>
          <w:lang w:val="en-GB"/>
        </w:rPr>
        <w:instrText>ADDIN CSL_CITATION {"citationItems":[{"id":"ITEM-1","itemData":{"URL":"europa.eu","author":[{"dropping-particle":"","family":"European Commission","given":"","non-dropping-particle":"","parse-names":false,"suffix":""}],"id":"ITEM-1","issued":{"date-parts":[["2020"]]},"title":"EU Reference Scenario 2020","type":"webpage"},"uris":["http://www.mendeley.com/documents/?uuid=df636131-f8e6-4cca-bc56-ad2f466435cc"]}],"mendeley":{"formattedCitation":"&lt;sup&gt;26&lt;/sup&gt;","plainTextFormattedCitation":"26","previouslyFormattedCitation":"&lt;sup&gt;26&lt;/sup&gt;"},"properties":{"noteIndex":0},"schema":"https://github.com/citation-style-language/schema/raw/master/csl-citation.json"}</w:instrText>
      </w:r>
      <w:r w:rsidR="00C65E61">
        <w:rPr>
          <w:bCs/>
          <w:lang w:val="en-GB"/>
        </w:rPr>
        <w:fldChar w:fldCharType="separate"/>
      </w:r>
      <w:r w:rsidR="00C65E61" w:rsidRPr="00C65E61">
        <w:rPr>
          <w:bCs/>
          <w:noProof/>
          <w:vertAlign w:val="superscript"/>
          <w:lang w:val="en-GB"/>
        </w:rPr>
        <w:t>26</w:t>
      </w:r>
      <w:r w:rsidR="00C65E61">
        <w:rPr>
          <w:bCs/>
          <w:lang w:val="en-GB"/>
        </w:rPr>
        <w:fldChar w:fldCharType="end"/>
      </w:r>
      <w:r w:rsidRPr="00981863">
        <w:rPr>
          <w:bCs/>
          <w:lang w:val="en-GB"/>
        </w:rPr>
        <w:t>, reflecting EU and national policies adopted by the end of 2019</w:t>
      </w:r>
    </w:p>
    <w:p w14:paraId="7666AD44" w14:textId="00D31E86" w:rsidR="008F40BC" w:rsidRPr="00981863" w:rsidRDefault="008F40BC" w:rsidP="008F40BC">
      <w:pPr>
        <w:pStyle w:val="PargrafodaLista"/>
        <w:numPr>
          <w:ilvl w:val="0"/>
          <w:numId w:val="2"/>
        </w:numPr>
        <w:spacing w:after="0" w:line="360" w:lineRule="auto"/>
        <w:jc w:val="both"/>
        <w:rPr>
          <w:lang w:val="en-GB" w:eastAsia="nl-BE"/>
        </w:rPr>
      </w:pPr>
      <w:r w:rsidRPr="00981863">
        <w:rPr>
          <w:b/>
          <w:bCs/>
          <w:lang w:val="en-GB"/>
        </w:rPr>
        <w:t>NDCi_1000</w:t>
      </w:r>
      <w:r w:rsidRPr="00981863">
        <w:rPr>
          <w:bCs/>
          <w:lang w:val="en-GB"/>
        </w:rPr>
        <w:t>:</w:t>
      </w:r>
      <w:r w:rsidRPr="00981863">
        <w:rPr>
          <w:b/>
          <w:bCs/>
          <w:lang w:val="en-GB"/>
        </w:rPr>
        <w:t xml:space="preserve"> </w:t>
      </w:r>
      <w:r w:rsidRPr="00981863">
        <w:rPr>
          <w:lang w:val="en-GB" w:eastAsia="nl-BE"/>
        </w:rPr>
        <w:t>aligned with an ambitious emission reduction trajectory in which policies are in place (e.g., technology neutral GHG emissions reduction target for the bunker fuel mix, carbon price), and is closely aligned with the region’s ambition to achieve net zero emissions by mid-century</w:t>
      </w:r>
      <w:r w:rsidR="00D144AC">
        <w:rPr>
          <w:lang w:val="en-GB" w:eastAsia="nl-BE"/>
        </w:rPr>
        <w:fldChar w:fldCharType="begin" w:fldLock="1"/>
      </w:r>
      <w:r w:rsidR="00D144AC">
        <w:rPr>
          <w:lang w:val="en-GB" w:eastAsia="nl-BE"/>
        </w:rPr>
        <w:instrText>ADDIN CSL_CITATION {"citationItems":[{"id":"ITEM-1","itemData":{"author":[{"dropping-particle":"","family":"European Commission","given":"","non-dropping-particle":"","parse-names":false,"suffix":""}],"id":"ITEM-1","issued":{"date-parts":[["2019"]]},"title":"The European Green Deal","type":"webpage"},"uris":["http://www.mendeley.com/documents/?uuid=c3dd4bb8-ec38-4e4c-9f17-04825a4f8991"]}],"mendeley":{"formattedCitation":"&lt;sup&gt;27&lt;/sup&gt;","plainTextFormattedCitation":"27"},"properties":{"noteIndex":0},"schema":"https://github.com/citation-style-language/schema/raw/master/csl-citation.json"}</w:instrText>
      </w:r>
      <w:r w:rsidR="00D144AC">
        <w:rPr>
          <w:lang w:val="en-GB" w:eastAsia="nl-BE"/>
        </w:rPr>
        <w:fldChar w:fldCharType="separate"/>
      </w:r>
      <w:r w:rsidR="00D144AC" w:rsidRPr="00D144AC">
        <w:rPr>
          <w:noProof/>
          <w:vertAlign w:val="superscript"/>
          <w:lang w:val="en-GB" w:eastAsia="nl-BE"/>
        </w:rPr>
        <w:t>27</w:t>
      </w:r>
      <w:r w:rsidR="00D144AC">
        <w:rPr>
          <w:lang w:val="en-GB" w:eastAsia="nl-BE"/>
        </w:rPr>
        <w:fldChar w:fldCharType="end"/>
      </w:r>
    </w:p>
    <w:p w14:paraId="5C11FBE4" w14:textId="77777777" w:rsidR="008F40BC" w:rsidRPr="00981863" w:rsidRDefault="008F40BC" w:rsidP="008F40BC">
      <w:pPr>
        <w:pStyle w:val="PargrafodaLista"/>
        <w:numPr>
          <w:ilvl w:val="0"/>
          <w:numId w:val="2"/>
        </w:numPr>
        <w:spacing w:after="0" w:line="360" w:lineRule="auto"/>
        <w:jc w:val="both"/>
        <w:rPr>
          <w:lang w:val="en-GB" w:eastAsia="nl-BE"/>
        </w:rPr>
      </w:pPr>
      <w:r w:rsidRPr="00981863">
        <w:rPr>
          <w:b/>
          <w:bCs/>
          <w:lang w:val="en-GB"/>
        </w:rPr>
        <w:t>NDCi_600</w:t>
      </w:r>
      <w:r w:rsidRPr="00981863">
        <w:rPr>
          <w:bCs/>
          <w:lang w:val="en-GB"/>
        </w:rPr>
        <w:t>: which includes a more ambitious GHG emissions reduction trajectory compared to NDCi_1000, such that the international maritime sector complies with more stringent carbon budgets in the period to 2050</w:t>
      </w:r>
    </w:p>
    <w:p w14:paraId="38F95323" w14:textId="3C0C898B" w:rsidR="008F40BC" w:rsidRPr="00981863" w:rsidRDefault="008F40BC" w:rsidP="008F40BC">
      <w:pPr>
        <w:spacing w:after="0" w:line="360" w:lineRule="auto"/>
        <w:jc w:val="both"/>
        <w:rPr>
          <w:lang w:val="en-GB" w:eastAsia="nl-BE"/>
        </w:rPr>
      </w:pPr>
      <w:r w:rsidRPr="00981863">
        <w:rPr>
          <w:lang w:val="en-GB" w:eastAsia="nl-BE"/>
        </w:rPr>
        <w:t>The results show a reduction in energy demand, owing primarily due to the adoption of more efficient technologies and partly due to a reduction in activity of about 2% lower in the decarbonization scenarios compared to NDCi in 2050. The reduction in energy demand in the decarbonization scenarios compared to the no policy change scenario is already noticeable in 2025, when alternative and more costly fuels penetrate the bunker fuel mix, and the difference increases over the time horizon (i.e., about 14% in 2050) (</w:t>
      </w:r>
      <w:r w:rsidRPr="00981863">
        <w:rPr>
          <w:lang w:val="en-GB" w:eastAsia="nl-BE"/>
        </w:rPr>
        <w:fldChar w:fldCharType="begin"/>
      </w:r>
      <w:r w:rsidRPr="00981863">
        <w:rPr>
          <w:lang w:val="en-GB" w:eastAsia="nl-BE"/>
        </w:rPr>
        <w:instrText xml:space="preserve"> REF _Ref125137577 \h  \* MERGEFORMAT </w:instrText>
      </w:r>
      <w:r w:rsidRPr="00981863">
        <w:rPr>
          <w:lang w:val="en-GB" w:eastAsia="nl-BE"/>
        </w:rPr>
      </w:r>
      <w:r w:rsidRPr="00981863">
        <w:rPr>
          <w:lang w:val="en-GB" w:eastAsia="nl-BE"/>
        </w:rPr>
        <w:fldChar w:fldCharType="separate"/>
      </w:r>
      <w:r w:rsidR="00F3536E" w:rsidRPr="00981863">
        <w:rPr>
          <w:lang w:val="en-GB" w:eastAsia="nl-BE"/>
        </w:rPr>
        <w:t xml:space="preserve">Figure </w:t>
      </w:r>
      <w:r w:rsidR="00F3536E" w:rsidRPr="00F3536E">
        <w:rPr>
          <w:lang w:val="en-GB" w:eastAsia="nl-BE"/>
        </w:rPr>
        <w:t>7</w:t>
      </w:r>
      <w:r w:rsidRPr="00981863">
        <w:rPr>
          <w:lang w:val="en-GB" w:eastAsia="nl-BE"/>
        </w:rPr>
        <w:fldChar w:fldCharType="end"/>
      </w:r>
      <w:r w:rsidRPr="00981863">
        <w:rPr>
          <w:lang w:val="en-GB" w:eastAsia="nl-BE"/>
        </w:rPr>
        <w:t xml:space="preserve">). </w:t>
      </w:r>
    </w:p>
    <w:p w14:paraId="4FF7427A" w14:textId="77777777" w:rsidR="008F40BC" w:rsidRPr="00981863" w:rsidRDefault="008F40BC" w:rsidP="008F40BC">
      <w:pPr>
        <w:spacing w:after="0" w:line="360" w:lineRule="auto"/>
        <w:jc w:val="center"/>
        <w:rPr>
          <w:lang w:val="en-GB" w:eastAsia="nl-BE"/>
        </w:rPr>
      </w:pPr>
      <w:r w:rsidRPr="00981863">
        <w:rPr>
          <w:noProof/>
          <w:lang w:val="en-GB" w:eastAsia="nl-BE"/>
        </w:rPr>
        <w:lastRenderedPageBreak/>
        <w:drawing>
          <wp:inline distT="0" distB="0" distL="0" distR="0" wp14:anchorId="04F723C2" wp14:editId="18238CB1">
            <wp:extent cx="4471553" cy="27051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75275" cy="2707352"/>
                    </a:xfrm>
                    <a:prstGeom prst="rect">
                      <a:avLst/>
                    </a:prstGeom>
                    <a:noFill/>
                    <a:ln>
                      <a:noFill/>
                    </a:ln>
                  </pic:spPr>
                </pic:pic>
              </a:graphicData>
            </a:graphic>
          </wp:inline>
        </w:drawing>
      </w:r>
    </w:p>
    <w:p w14:paraId="5BBE1736" w14:textId="34E89F45" w:rsidR="008F40BC" w:rsidRPr="00981863" w:rsidRDefault="008F40BC" w:rsidP="008F40BC">
      <w:pPr>
        <w:pStyle w:val="Legenda"/>
        <w:spacing w:line="360" w:lineRule="auto"/>
        <w:jc w:val="center"/>
        <w:rPr>
          <w:i w:val="0"/>
          <w:iCs w:val="0"/>
          <w:lang w:val="en-GB"/>
        </w:rPr>
      </w:pPr>
      <w:bookmarkStart w:id="5" w:name="_Ref125137577"/>
      <w:r w:rsidRPr="00981863">
        <w:rPr>
          <w:i w:val="0"/>
          <w:iCs w:val="0"/>
          <w:lang w:val="en-GB"/>
        </w:rPr>
        <w:t xml:space="preserve">Figure </w:t>
      </w:r>
      <w:r w:rsidRPr="00981863">
        <w:rPr>
          <w:i w:val="0"/>
          <w:iCs w:val="0"/>
          <w:lang w:val="en-GB"/>
        </w:rPr>
        <w:fldChar w:fldCharType="begin"/>
      </w:r>
      <w:r w:rsidRPr="00981863">
        <w:rPr>
          <w:i w:val="0"/>
          <w:iCs w:val="0"/>
          <w:lang w:val="en-GB"/>
        </w:rPr>
        <w:instrText xml:space="preserve"> SEQ Figure \* ARABIC </w:instrText>
      </w:r>
      <w:r w:rsidRPr="00981863">
        <w:rPr>
          <w:i w:val="0"/>
          <w:iCs w:val="0"/>
          <w:lang w:val="en-GB"/>
        </w:rPr>
        <w:fldChar w:fldCharType="separate"/>
      </w:r>
      <w:r w:rsidR="00F3536E">
        <w:rPr>
          <w:i w:val="0"/>
          <w:iCs w:val="0"/>
          <w:noProof/>
          <w:lang w:val="en-GB"/>
        </w:rPr>
        <w:t>7</w:t>
      </w:r>
      <w:r w:rsidRPr="00981863">
        <w:rPr>
          <w:i w:val="0"/>
          <w:iCs w:val="0"/>
          <w:lang w:val="en-GB"/>
        </w:rPr>
        <w:fldChar w:fldCharType="end"/>
      </w:r>
      <w:bookmarkEnd w:id="5"/>
      <w:r w:rsidRPr="00981863">
        <w:rPr>
          <w:i w:val="0"/>
          <w:iCs w:val="0"/>
          <w:lang w:val="en-GB"/>
        </w:rPr>
        <w:t xml:space="preserve"> – Energy demand in the EU international maritime sector</w:t>
      </w:r>
    </w:p>
    <w:p w14:paraId="268D6B1B" w14:textId="4234618A" w:rsidR="008F40BC" w:rsidRPr="00981863" w:rsidRDefault="008F40BC" w:rsidP="008F40BC">
      <w:pPr>
        <w:spacing w:line="360" w:lineRule="auto"/>
        <w:jc w:val="both"/>
        <w:rPr>
          <w:lang w:val="en-GB"/>
        </w:rPr>
      </w:pPr>
      <w:r w:rsidRPr="00981863">
        <w:rPr>
          <w:lang w:val="en-GB"/>
        </w:rPr>
        <w:t>In 2050, the composition of bunker fuels differs drastically between the scenarios. In the NDCi, fossil fuels maintain their high share, as they comprise 99% of the fuel mix (80% conventional liquid and 19% gaseous fuels). In the decarbonization scenario NDCi_1000, biofuels make up about 46% of the mix, in their majority as drop-in liquid fuels, synthetic fuels contribute about 33% and electricity makes up the reminder 2% of the alternative fuel mix. In NDCi_600 the more stringent carbon budget leads to an additional uptake of synthetic fuels mainly to the detriment of fossil fuels, but also to biomethane and H2 and NH3 (</w:t>
      </w:r>
      <w:r w:rsidRPr="00981863">
        <w:rPr>
          <w:lang w:val="en-GB"/>
        </w:rPr>
        <w:fldChar w:fldCharType="begin"/>
      </w:r>
      <w:r w:rsidRPr="00981863">
        <w:rPr>
          <w:lang w:val="en-GB"/>
        </w:rPr>
        <w:instrText xml:space="preserve"> REF _Ref128572729 \h  \* MERGEFORMAT </w:instrText>
      </w:r>
      <w:r w:rsidRPr="00981863">
        <w:rPr>
          <w:lang w:val="en-GB"/>
        </w:rPr>
      </w:r>
      <w:r w:rsidRPr="00981863">
        <w:rPr>
          <w:lang w:val="en-GB"/>
        </w:rPr>
        <w:fldChar w:fldCharType="separate"/>
      </w:r>
      <w:r w:rsidR="00F3536E" w:rsidRPr="00981863">
        <w:rPr>
          <w:lang w:val="en-GB"/>
        </w:rPr>
        <w:t xml:space="preserve">Figure </w:t>
      </w:r>
      <w:r w:rsidR="00F3536E" w:rsidRPr="00F3536E">
        <w:rPr>
          <w:lang w:val="en-GB"/>
        </w:rPr>
        <w:t>8</w:t>
      </w:r>
      <w:r w:rsidRPr="00981863">
        <w:rPr>
          <w:lang w:val="en-GB"/>
        </w:rPr>
        <w:fldChar w:fldCharType="end"/>
      </w:r>
      <w:r w:rsidRPr="00981863">
        <w:rPr>
          <w:lang w:val="en-GB"/>
        </w:rPr>
        <w:t>). Consumption of alternative fuels is about 12% higher in NDCi_600 compared to NDCi_1000.</w:t>
      </w:r>
    </w:p>
    <w:p w14:paraId="1A52A149" w14:textId="77777777" w:rsidR="008F40BC" w:rsidRPr="00981863" w:rsidRDefault="008F40BC" w:rsidP="008F40BC">
      <w:pPr>
        <w:spacing w:line="360" w:lineRule="auto"/>
        <w:jc w:val="center"/>
        <w:rPr>
          <w:lang w:val="en-GB"/>
        </w:rPr>
      </w:pPr>
      <w:r w:rsidRPr="00981863">
        <w:rPr>
          <w:noProof/>
          <w:lang w:val="en-GB" w:eastAsia="nl-BE"/>
        </w:rPr>
        <w:drawing>
          <wp:inline distT="0" distB="0" distL="0" distR="0" wp14:anchorId="26D91328" wp14:editId="70C0A97D">
            <wp:extent cx="4367958" cy="263618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72709" cy="2639054"/>
                    </a:xfrm>
                    <a:prstGeom prst="rect">
                      <a:avLst/>
                    </a:prstGeom>
                    <a:noFill/>
                    <a:ln>
                      <a:noFill/>
                    </a:ln>
                  </pic:spPr>
                </pic:pic>
              </a:graphicData>
            </a:graphic>
          </wp:inline>
        </w:drawing>
      </w:r>
    </w:p>
    <w:p w14:paraId="6F022304" w14:textId="77754AFE" w:rsidR="008F40BC" w:rsidRPr="00981863" w:rsidRDefault="008F40BC" w:rsidP="008F40BC">
      <w:pPr>
        <w:pStyle w:val="Legenda"/>
        <w:spacing w:line="360" w:lineRule="auto"/>
        <w:jc w:val="center"/>
        <w:rPr>
          <w:i w:val="0"/>
          <w:iCs w:val="0"/>
          <w:lang w:val="en-GB"/>
        </w:rPr>
      </w:pPr>
      <w:bookmarkStart w:id="6" w:name="_Ref128572729"/>
      <w:r w:rsidRPr="00981863">
        <w:rPr>
          <w:i w:val="0"/>
          <w:iCs w:val="0"/>
          <w:lang w:val="en-GB"/>
        </w:rPr>
        <w:t xml:space="preserve">Figure </w:t>
      </w:r>
      <w:r w:rsidRPr="00981863">
        <w:rPr>
          <w:i w:val="0"/>
          <w:iCs w:val="0"/>
          <w:lang w:val="en-GB"/>
        </w:rPr>
        <w:fldChar w:fldCharType="begin"/>
      </w:r>
      <w:r w:rsidRPr="00981863">
        <w:rPr>
          <w:i w:val="0"/>
          <w:iCs w:val="0"/>
          <w:lang w:val="en-GB"/>
        </w:rPr>
        <w:instrText xml:space="preserve"> SEQ Figure \* ARABIC </w:instrText>
      </w:r>
      <w:r w:rsidRPr="00981863">
        <w:rPr>
          <w:i w:val="0"/>
          <w:iCs w:val="0"/>
          <w:lang w:val="en-GB"/>
        </w:rPr>
        <w:fldChar w:fldCharType="separate"/>
      </w:r>
      <w:r w:rsidR="00F3536E">
        <w:rPr>
          <w:i w:val="0"/>
          <w:iCs w:val="0"/>
          <w:noProof/>
          <w:lang w:val="en-GB"/>
        </w:rPr>
        <w:t>8</w:t>
      </w:r>
      <w:r w:rsidRPr="00981863">
        <w:rPr>
          <w:i w:val="0"/>
          <w:iCs w:val="0"/>
          <w:lang w:val="en-GB"/>
        </w:rPr>
        <w:fldChar w:fldCharType="end"/>
      </w:r>
      <w:bookmarkEnd w:id="6"/>
      <w:r w:rsidRPr="00981863">
        <w:rPr>
          <w:i w:val="0"/>
          <w:iCs w:val="0"/>
          <w:lang w:val="en-GB"/>
        </w:rPr>
        <w:t xml:space="preserve"> – EU international maritime bunker fuel composition in 2050</w:t>
      </w:r>
    </w:p>
    <w:p w14:paraId="400644D1" w14:textId="5C0CC7D0" w:rsidR="008F40BC" w:rsidRPr="00981863" w:rsidRDefault="008F40BC" w:rsidP="008F40BC">
      <w:pPr>
        <w:spacing w:line="360" w:lineRule="auto"/>
        <w:jc w:val="both"/>
        <w:rPr>
          <w:lang w:val="en-GB" w:eastAsia="nl-BE"/>
        </w:rPr>
      </w:pPr>
      <w:r w:rsidRPr="00981863">
        <w:rPr>
          <w:lang w:val="en-GB"/>
        </w:rPr>
        <w:t xml:space="preserve">The projections show that in NDCi, without efforts to decarbonize the EU maritime sector, emissions may reach 0.17 </w:t>
      </w:r>
      <w:r w:rsidRPr="00981863">
        <w:rPr>
          <w:lang w:val="en-GB" w:eastAsia="nl-BE"/>
        </w:rPr>
        <w:t>GtCO</w:t>
      </w:r>
      <w:r w:rsidRPr="00981863">
        <w:rPr>
          <w:vertAlign w:val="subscript"/>
          <w:lang w:val="en-GB" w:eastAsia="nl-BE"/>
        </w:rPr>
        <w:t>2</w:t>
      </w:r>
      <w:r w:rsidRPr="00981863">
        <w:rPr>
          <w:lang w:val="en-GB" w:eastAsia="nl-BE"/>
        </w:rPr>
        <w:t xml:space="preserve"> in 2050, growing by 0.7% annually. Cumulative emissions may reach almost 4 </w:t>
      </w:r>
      <w:r w:rsidRPr="00981863">
        <w:rPr>
          <w:lang w:val="en-GB" w:eastAsia="nl-BE"/>
        </w:rPr>
        <w:lastRenderedPageBreak/>
        <w:t>GtCO</w:t>
      </w:r>
      <w:r w:rsidRPr="00981863">
        <w:rPr>
          <w:vertAlign w:val="subscript"/>
          <w:lang w:val="en-GB" w:eastAsia="nl-BE"/>
        </w:rPr>
        <w:t xml:space="preserve">2 </w:t>
      </w:r>
      <w:r w:rsidRPr="00981863">
        <w:rPr>
          <w:lang w:val="en-GB" w:eastAsia="nl-BE"/>
        </w:rPr>
        <w:t xml:space="preserve">in the period 2021-2050. With long-term decarbonization efforts, the emissions peak in 2025 and decline by 6% annually in NDCi_1000 or 10% annually in NDCi_600 </w:t>
      </w:r>
      <w:proofErr w:type="gramStart"/>
      <w:r w:rsidRPr="00981863">
        <w:rPr>
          <w:lang w:val="en-GB" w:eastAsia="nl-BE"/>
        </w:rPr>
        <w:t>so as to</w:t>
      </w:r>
      <w:proofErr w:type="gramEnd"/>
      <w:r w:rsidRPr="00981863">
        <w:rPr>
          <w:lang w:val="en-GB" w:eastAsia="nl-BE"/>
        </w:rPr>
        <w:t xml:space="preserve"> reach 0.03 GtCO</w:t>
      </w:r>
      <w:r w:rsidRPr="00981863">
        <w:rPr>
          <w:vertAlign w:val="subscript"/>
          <w:lang w:val="en-GB" w:eastAsia="nl-BE"/>
        </w:rPr>
        <w:t xml:space="preserve">2 </w:t>
      </w:r>
      <w:r w:rsidRPr="00981863">
        <w:rPr>
          <w:lang w:val="en-GB" w:eastAsia="nl-BE"/>
        </w:rPr>
        <w:t>and 0.01 GtCO</w:t>
      </w:r>
      <w:r w:rsidRPr="00981863">
        <w:rPr>
          <w:vertAlign w:val="subscript"/>
          <w:lang w:val="en-GB" w:eastAsia="nl-BE"/>
        </w:rPr>
        <w:t>2</w:t>
      </w:r>
      <w:r w:rsidRPr="00981863">
        <w:rPr>
          <w:lang w:val="en-GB" w:eastAsia="nl-BE"/>
        </w:rPr>
        <w:t xml:space="preserve"> in 2050, respectively. The difference on cumulative emissions between the decarbonization scenarios is comparably small as NDCi_600 leads to lower cumulative emissions by 7% (or 0.16 GtCO</w:t>
      </w:r>
      <w:r w:rsidRPr="00981863">
        <w:rPr>
          <w:vertAlign w:val="subscript"/>
          <w:lang w:val="en-GB" w:eastAsia="nl-BE"/>
        </w:rPr>
        <w:t>2</w:t>
      </w:r>
      <w:r w:rsidRPr="00981863">
        <w:rPr>
          <w:lang w:val="en-GB" w:eastAsia="nl-BE"/>
        </w:rPr>
        <w:t xml:space="preserve"> in 2021-2050) compared to NDCi_1000. Compared to NDCi, cumulative emissions are notably lower (i.e., between 38 and 42%), driven by the early adoption of measures that lead to the decarbonization of the bunker fuel mix (</w:t>
      </w:r>
      <w:r w:rsidRPr="00981863">
        <w:rPr>
          <w:lang w:val="en-GB" w:eastAsia="nl-BE"/>
        </w:rPr>
        <w:fldChar w:fldCharType="begin"/>
      </w:r>
      <w:r w:rsidRPr="00981863">
        <w:rPr>
          <w:lang w:val="en-GB" w:eastAsia="nl-BE"/>
        </w:rPr>
        <w:instrText xml:space="preserve"> REF _Ref128573118 \h  \* MERGEFORMAT </w:instrText>
      </w:r>
      <w:r w:rsidRPr="00981863">
        <w:rPr>
          <w:lang w:val="en-GB" w:eastAsia="nl-BE"/>
        </w:rPr>
      </w:r>
      <w:r w:rsidRPr="00981863">
        <w:rPr>
          <w:lang w:val="en-GB" w:eastAsia="nl-BE"/>
        </w:rPr>
        <w:fldChar w:fldCharType="separate"/>
      </w:r>
      <w:r w:rsidR="00F3536E" w:rsidRPr="00981863">
        <w:rPr>
          <w:lang w:val="en-GB" w:eastAsia="nl-BE"/>
        </w:rPr>
        <w:t xml:space="preserve">Figure </w:t>
      </w:r>
      <w:r w:rsidR="00F3536E" w:rsidRPr="00F3536E">
        <w:rPr>
          <w:lang w:val="en-GB" w:eastAsia="nl-BE"/>
        </w:rPr>
        <w:t>9</w:t>
      </w:r>
      <w:r w:rsidRPr="00981863">
        <w:rPr>
          <w:lang w:val="en-GB" w:eastAsia="nl-BE"/>
        </w:rPr>
        <w:fldChar w:fldCharType="end"/>
      </w:r>
      <w:r w:rsidRPr="00981863">
        <w:rPr>
          <w:lang w:val="en-GB" w:eastAsia="nl-BE"/>
        </w:rPr>
        <w:t>).</w:t>
      </w:r>
    </w:p>
    <w:p w14:paraId="4B8AE336" w14:textId="77777777" w:rsidR="008F40BC" w:rsidRPr="00981863" w:rsidRDefault="008F40BC" w:rsidP="008F40BC">
      <w:pPr>
        <w:spacing w:line="360" w:lineRule="auto"/>
        <w:jc w:val="center"/>
        <w:rPr>
          <w:lang w:val="en-GB"/>
        </w:rPr>
      </w:pPr>
      <w:r w:rsidRPr="00981863">
        <w:rPr>
          <w:noProof/>
          <w:lang w:val="en-GB" w:eastAsia="nl-BE"/>
        </w:rPr>
        <w:drawing>
          <wp:inline distT="0" distB="0" distL="0" distR="0" wp14:anchorId="2A3316F3" wp14:editId="0504298B">
            <wp:extent cx="4067175" cy="24425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79437" cy="2449883"/>
                    </a:xfrm>
                    <a:prstGeom prst="rect">
                      <a:avLst/>
                    </a:prstGeom>
                    <a:noFill/>
                    <a:ln>
                      <a:noFill/>
                    </a:ln>
                  </pic:spPr>
                </pic:pic>
              </a:graphicData>
            </a:graphic>
          </wp:inline>
        </w:drawing>
      </w:r>
    </w:p>
    <w:p w14:paraId="2A3B6DED" w14:textId="77777777" w:rsidR="008F40BC" w:rsidRPr="00981863" w:rsidRDefault="008F40BC" w:rsidP="008F40BC">
      <w:pPr>
        <w:spacing w:line="360" w:lineRule="auto"/>
        <w:jc w:val="center"/>
        <w:rPr>
          <w:lang w:val="en-GB"/>
        </w:rPr>
      </w:pPr>
      <w:r w:rsidRPr="00981863">
        <w:rPr>
          <w:noProof/>
          <w:lang w:val="en-GB" w:eastAsia="nl-BE"/>
        </w:rPr>
        <w:drawing>
          <wp:inline distT="0" distB="0" distL="0" distR="0" wp14:anchorId="0BBA74FE" wp14:editId="0B26F04B">
            <wp:extent cx="4008677" cy="24193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18996" cy="2425578"/>
                    </a:xfrm>
                    <a:prstGeom prst="rect">
                      <a:avLst/>
                    </a:prstGeom>
                    <a:noFill/>
                    <a:ln>
                      <a:noFill/>
                    </a:ln>
                  </pic:spPr>
                </pic:pic>
              </a:graphicData>
            </a:graphic>
          </wp:inline>
        </w:drawing>
      </w:r>
    </w:p>
    <w:p w14:paraId="44F4F8BC" w14:textId="3B302087" w:rsidR="008F40BC" w:rsidRPr="00981863" w:rsidRDefault="008F40BC" w:rsidP="008F40BC">
      <w:pPr>
        <w:pStyle w:val="Legenda"/>
        <w:spacing w:line="360" w:lineRule="auto"/>
        <w:jc w:val="center"/>
        <w:rPr>
          <w:i w:val="0"/>
          <w:iCs w:val="0"/>
          <w:lang w:val="en-GB"/>
        </w:rPr>
      </w:pPr>
      <w:bookmarkStart w:id="7" w:name="_Ref128573118"/>
      <w:r w:rsidRPr="00981863">
        <w:rPr>
          <w:i w:val="0"/>
          <w:iCs w:val="0"/>
          <w:lang w:val="en-GB"/>
        </w:rPr>
        <w:t xml:space="preserve">Figure </w:t>
      </w:r>
      <w:r w:rsidRPr="00981863">
        <w:rPr>
          <w:i w:val="0"/>
          <w:iCs w:val="0"/>
          <w:lang w:val="en-GB"/>
        </w:rPr>
        <w:fldChar w:fldCharType="begin"/>
      </w:r>
      <w:r w:rsidRPr="00981863">
        <w:rPr>
          <w:i w:val="0"/>
          <w:iCs w:val="0"/>
          <w:lang w:val="en-GB"/>
        </w:rPr>
        <w:instrText xml:space="preserve"> SEQ Figure \* ARABIC </w:instrText>
      </w:r>
      <w:r w:rsidRPr="00981863">
        <w:rPr>
          <w:i w:val="0"/>
          <w:iCs w:val="0"/>
          <w:lang w:val="en-GB"/>
        </w:rPr>
        <w:fldChar w:fldCharType="separate"/>
      </w:r>
      <w:r w:rsidR="00F3536E">
        <w:rPr>
          <w:i w:val="0"/>
          <w:iCs w:val="0"/>
          <w:noProof/>
          <w:lang w:val="en-GB"/>
        </w:rPr>
        <w:t>9</w:t>
      </w:r>
      <w:r w:rsidRPr="00981863">
        <w:rPr>
          <w:i w:val="0"/>
          <w:iCs w:val="0"/>
          <w:lang w:val="en-GB"/>
        </w:rPr>
        <w:fldChar w:fldCharType="end"/>
      </w:r>
      <w:bookmarkEnd w:id="7"/>
      <w:r w:rsidRPr="00981863">
        <w:rPr>
          <w:i w:val="0"/>
          <w:iCs w:val="0"/>
          <w:lang w:val="en-GB"/>
        </w:rPr>
        <w:t xml:space="preserve"> – CO</w:t>
      </w:r>
      <w:r w:rsidRPr="00981863">
        <w:rPr>
          <w:i w:val="0"/>
          <w:iCs w:val="0"/>
          <w:vertAlign w:val="subscript"/>
          <w:lang w:val="en-GB"/>
        </w:rPr>
        <w:t>2</w:t>
      </w:r>
      <w:r w:rsidRPr="00981863">
        <w:rPr>
          <w:i w:val="0"/>
          <w:iCs w:val="0"/>
          <w:lang w:val="en-GB"/>
        </w:rPr>
        <w:t xml:space="preserve"> emissions trajectory and cumulative CO</w:t>
      </w:r>
      <w:r w:rsidRPr="00981863">
        <w:rPr>
          <w:i w:val="0"/>
          <w:iCs w:val="0"/>
          <w:vertAlign w:val="subscript"/>
          <w:lang w:val="en-GB"/>
        </w:rPr>
        <w:t>2</w:t>
      </w:r>
      <w:r w:rsidRPr="00981863">
        <w:rPr>
          <w:i w:val="0"/>
          <w:iCs w:val="0"/>
          <w:lang w:val="en-GB"/>
        </w:rPr>
        <w:t xml:space="preserve"> emissions across scenarios</w:t>
      </w:r>
    </w:p>
    <w:p w14:paraId="005DFAB7" w14:textId="77777777" w:rsidR="007C2055" w:rsidRDefault="007C2055" w:rsidP="007C2055">
      <w:pPr>
        <w:pStyle w:val="HollandsSpoor"/>
        <w:numPr>
          <w:ilvl w:val="0"/>
          <w:numId w:val="0"/>
        </w:numPr>
        <w:spacing w:line="360" w:lineRule="auto"/>
        <w:ind w:left="360" w:hanging="360"/>
        <w:jc w:val="both"/>
      </w:pPr>
    </w:p>
    <w:p w14:paraId="57E6EBE0" w14:textId="77777777" w:rsidR="008A0114" w:rsidRDefault="008A0114" w:rsidP="007C2055">
      <w:pPr>
        <w:pStyle w:val="HollandsSpoor"/>
        <w:numPr>
          <w:ilvl w:val="0"/>
          <w:numId w:val="0"/>
        </w:numPr>
        <w:spacing w:line="360" w:lineRule="auto"/>
        <w:ind w:left="360" w:hanging="360"/>
        <w:jc w:val="both"/>
      </w:pPr>
    </w:p>
    <w:p w14:paraId="35959B27" w14:textId="77777777" w:rsidR="008A0114" w:rsidRDefault="008A0114" w:rsidP="007C2055">
      <w:pPr>
        <w:pStyle w:val="HollandsSpoor"/>
        <w:numPr>
          <w:ilvl w:val="0"/>
          <w:numId w:val="0"/>
        </w:numPr>
        <w:spacing w:line="360" w:lineRule="auto"/>
        <w:ind w:left="360" w:hanging="360"/>
        <w:jc w:val="both"/>
      </w:pPr>
    </w:p>
    <w:p w14:paraId="52FA4C8F" w14:textId="4707A462" w:rsidR="008A0114" w:rsidRPr="008A0114" w:rsidRDefault="008A0114" w:rsidP="007C2055">
      <w:pPr>
        <w:pStyle w:val="HollandsSpoor"/>
        <w:numPr>
          <w:ilvl w:val="0"/>
          <w:numId w:val="0"/>
        </w:numPr>
        <w:spacing w:line="360" w:lineRule="auto"/>
        <w:ind w:left="360" w:hanging="360"/>
        <w:jc w:val="both"/>
        <w:rPr>
          <w:sz w:val="22"/>
        </w:rPr>
      </w:pPr>
      <w:r>
        <w:lastRenderedPageBreak/>
        <w:t>References</w:t>
      </w:r>
    </w:p>
    <w:p w14:paraId="23A903C3" w14:textId="1EF9C7BB" w:rsidR="00D144AC" w:rsidRPr="00D144AC" w:rsidRDefault="008A0114" w:rsidP="00D144AC">
      <w:pPr>
        <w:widowControl w:val="0"/>
        <w:autoSpaceDE w:val="0"/>
        <w:autoSpaceDN w:val="0"/>
        <w:adjustRightInd w:val="0"/>
        <w:spacing w:line="360" w:lineRule="auto"/>
        <w:ind w:left="640" w:hanging="640"/>
        <w:rPr>
          <w:rFonts w:ascii="Calibri Light" w:hAnsi="Calibri Light" w:cs="Calibri Light"/>
          <w:noProof/>
          <w:szCs w:val="24"/>
        </w:rPr>
      </w:pPr>
      <w:r w:rsidRPr="008A0114">
        <w:fldChar w:fldCharType="begin" w:fldLock="1"/>
      </w:r>
      <w:r w:rsidRPr="008A0114">
        <w:instrText xml:space="preserve">ADDIN Mendeley Bibliography CSL_BIBLIOGRAPHY </w:instrText>
      </w:r>
      <w:r w:rsidRPr="008A0114">
        <w:fldChar w:fldCharType="separate"/>
      </w:r>
      <w:r w:rsidR="00D144AC" w:rsidRPr="00D144AC">
        <w:rPr>
          <w:rFonts w:ascii="Calibri Light" w:hAnsi="Calibri Light" w:cs="Calibri Light"/>
          <w:noProof/>
          <w:szCs w:val="24"/>
        </w:rPr>
        <w:t>1.</w:t>
      </w:r>
      <w:r w:rsidR="00D144AC" w:rsidRPr="00D144AC">
        <w:rPr>
          <w:rFonts w:ascii="Calibri Light" w:hAnsi="Calibri Light" w:cs="Calibri Light"/>
          <w:noProof/>
          <w:szCs w:val="24"/>
        </w:rPr>
        <w:tab/>
        <w:t xml:space="preserve">van Beek, L., Hajer, M., Pelzer, P., van Vuuren, D. &amp; Cassen, C. Anticipating futures through models: the rise of Integrated Assessment Modelling in the climate science-policy interface since 1970. </w:t>
      </w:r>
      <w:r w:rsidR="00D144AC" w:rsidRPr="00D144AC">
        <w:rPr>
          <w:rFonts w:ascii="Calibri Light" w:hAnsi="Calibri Light" w:cs="Calibri Light"/>
          <w:i/>
          <w:iCs/>
          <w:noProof/>
          <w:szCs w:val="24"/>
        </w:rPr>
        <w:t>Glob. Environ. Chang.</w:t>
      </w:r>
      <w:r w:rsidR="00D144AC" w:rsidRPr="00D144AC">
        <w:rPr>
          <w:rFonts w:ascii="Calibri Light" w:hAnsi="Calibri Light" w:cs="Calibri Light"/>
          <w:noProof/>
          <w:szCs w:val="24"/>
        </w:rPr>
        <w:t xml:space="preserve"> </w:t>
      </w:r>
      <w:r w:rsidR="00D144AC" w:rsidRPr="00D144AC">
        <w:rPr>
          <w:rFonts w:ascii="Calibri Light" w:hAnsi="Calibri Light" w:cs="Calibri Light"/>
          <w:b/>
          <w:bCs/>
          <w:noProof/>
          <w:szCs w:val="24"/>
        </w:rPr>
        <w:t>65</w:t>
      </w:r>
      <w:r w:rsidR="00D144AC" w:rsidRPr="00D144AC">
        <w:rPr>
          <w:rFonts w:ascii="Calibri Light" w:hAnsi="Calibri Light" w:cs="Calibri Light"/>
          <w:noProof/>
          <w:szCs w:val="24"/>
        </w:rPr>
        <w:t>, 102191 (2020).</w:t>
      </w:r>
    </w:p>
    <w:p w14:paraId="26022197" w14:textId="77777777" w:rsidR="00D144AC" w:rsidRPr="00D144AC" w:rsidRDefault="00D144AC" w:rsidP="00D144AC">
      <w:pPr>
        <w:widowControl w:val="0"/>
        <w:autoSpaceDE w:val="0"/>
        <w:autoSpaceDN w:val="0"/>
        <w:adjustRightInd w:val="0"/>
        <w:spacing w:line="360" w:lineRule="auto"/>
        <w:ind w:left="640" w:hanging="640"/>
        <w:rPr>
          <w:rFonts w:ascii="Calibri Light" w:hAnsi="Calibri Light" w:cs="Calibri Light"/>
          <w:noProof/>
          <w:szCs w:val="24"/>
        </w:rPr>
      </w:pPr>
      <w:r w:rsidRPr="00D144AC">
        <w:rPr>
          <w:rFonts w:ascii="Calibri Light" w:hAnsi="Calibri Light" w:cs="Calibri Light"/>
          <w:noProof/>
          <w:szCs w:val="24"/>
        </w:rPr>
        <w:t>2.</w:t>
      </w:r>
      <w:r w:rsidRPr="00D144AC">
        <w:rPr>
          <w:rFonts w:ascii="Calibri Light" w:hAnsi="Calibri Light" w:cs="Calibri Light"/>
          <w:noProof/>
          <w:szCs w:val="24"/>
        </w:rPr>
        <w:tab/>
        <w:t>IAMC. Model Documentation - COFFEE-TEA. https://www.iamcdocumentation.eu/index.php/Model_Documentation_-_COFFEE-TEA (2019).</w:t>
      </w:r>
    </w:p>
    <w:p w14:paraId="3ACF57DA" w14:textId="77777777" w:rsidR="00D144AC" w:rsidRPr="00D144AC" w:rsidRDefault="00D144AC" w:rsidP="00D144AC">
      <w:pPr>
        <w:widowControl w:val="0"/>
        <w:autoSpaceDE w:val="0"/>
        <w:autoSpaceDN w:val="0"/>
        <w:adjustRightInd w:val="0"/>
        <w:spacing w:line="360" w:lineRule="auto"/>
        <w:ind w:left="640" w:hanging="640"/>
        <w:rPr>
          <w:rFonts w:ascii="Calibri Light" w:hAnsi="Calibri Light" w:cs="Calibri Light"/>
          <w:noProof/>
          <w:szCs w:val="24"/>
        </w:rPr>
      </w:pPr>
      <w:r w:rsidRPr="00D144AC">
        <w:rPr>
          <w:rFonts w:ascii="Calibri Light" w:hAnsi="Calibri Light" w:cs="Calibri Light"/>
          <w:noProof/>
          <w:szCs w:val="24"/>
        </w:rPr>
        <w:t>3.</w:t>
      </w:r>
      <w:r w:rsidRPr="00D144AC">
        <w:rPr>
          <w:rFonts w:ascii="Calibri Light" w:hAnsi="Calibri Light" w:cs="Calibri Light"/>
          <w:noProof/>
          <w:szCs w:val="24"/>
        </w:rPr>
        <w:tab/>
        <w:t xml:space="preserve">Rochedo, P. R. R. </w:t>
      </w:r>
      <w:r w:rsidRPr="00D144AC">
        <w:rPr>
          <w:rFonts w:ascii="Calibri Light" w:hAnsi="Calibri Light" w:cs="Calibri Light"/>
          <w:i/>
          <w:iCs/>
          <w:noProof/>
          <w:szCs w:val="24"/>
        </w:rPr>
        <w:t>et al.</w:t>
      </w:r>
      <w:r w:rsidRPr="00D144AC">
        <w:rPr>
          <w:rFonts w:ascii="Calibri Light" w:hAnsi="Calibri Light" w:cs="Calibri Light"/>
          <w:noProof/>
          <w:szCs w:val="24"/>
        </w:rPr>
        <w:t xml:space="preserve"> Is Green Recovery Enough? Analysing the Impacts of Post-COVID-19 Economic Packages. </w:t>
      </w:r>
      <w:r w:rsidRPr="00D144AC">
        <w:rPr>
          <w:rFonts w:ascii="Calibri Light" w:hAnsi="Calibri Light" w:cs="Calibri Light"/>
          <w:i/>
          <w:iCs/>
          <w:noProof/>
          <w:szCs w:val="24"/>
        </w:rPr>
        <w:t>Energies</w:t>
      </w:r>
      <w:r w:rsidRPr="00D144AC">
        <w:rPr>
          <w:rFonts w:ascii="Calibri Light" w:hAnsi="Calibri Light" w:cs="Calibri Light"/>
          <w:noProof/>
          <w:szCs w:val="24"/>
        </w:rPr>
        <w:t xml:space="preserve"> vol. 14 (2021).</w:t>
      </w:r>
    </w:p>
    <w:p w14:paraId="3F6A104D" w14:textId="77777777" w:rsidR="00D144AC" w:rsidRPr="00D144AC" w:rsidRDefault="00D144AC" w:rsidP="00D144AC">
      <w:pPr>
        <w:widowControl w:val="0"/>
        <w:autoSpaceDE w:val="0"/>
        <w:autoSpaceDN w:val="0"/>
        <w:adjustRightInd w:val="0"/>
        <w:spacing w:line="360" w:lineRule="auto"/>
        <w:ind w:left="640" w:hanging="640"/>
        <w:rPr>
          <w:rFonts w:ascii="Calibri Light" w:hAnsi="Calibri Light" w:cs="Calibri Light"/>
          <w:noProof/>
          <w:szCs w:val="24"/>
        </w:rPr>
      </w:pPr>
      <w:r w:rsidRPr="00D144AC">
        <w:rPr>
          <w:rFonts w:ascii="Calibri Light" w:hAnsi="Calibri Light" w:cs="Calibri Light"/>
          <w:noProof/>
          <w:szCs w:val="24"/>
        </w:rPr>
        <w:t>4.</w:t>
      </w:r>
      <w:r w:rsidRPr="00D144AC">
        <w:rPr>
          <w:rFonts w:ascii="Calibri Light" w:hAnsi="Calibri Light" w:cs="Calibri Light"/>
          <w:noProof/>
          <w:szCs w:val="24"/>
        </w:rPr>
        <w:tab/>
        <w:t xml:space="preserve">Draeger, R. </w:t>
      </w:r>
      <w:r w:rsidRPr="00D144AC">
        <w:rPr>
          <w:rFonts w:ascii="Calibri Light" w:hAnsi="Calibri Light" w:cs="Calibri Light"/>
          <w:i/>
          <w:iCs/>
          <w:noProof/>
          <w:szCs w:val="24"/>
        </w:rPr>
        <w:t>et al.</w:t>
      </w:r>
      <w:r w:rsidRPr="00D144AC">
        <w:rPr>
          <w:rFonts w:ascii="Calibri Light" w:hAnsi="Calibri Light" w:cs="Calibri Light"/>
          <w:noProof/>
          <w:szCs w:val="24"/>
        </w:rPr>
        <w:t xml:space="preserve"> Stranded crude oil resources and just transition: Why do crude oil quality, climate ambitions and land-use emissions matter. </w:t>
      </w:r>
      <w:r w:rsidRPr="00D144AC">
        <w:rPr>
          <w:rFonts w:ascii="Calibri Light" w:hAnsi="Calibri Light" w:cs="Calibri Light"/>
          <w:i/>
          <w:iCs/>
          <w:noProof/>
          <w:szCs w:val="24"/>
        </w:rPr>
        <w:t>Energy</w:t>
      </w:r>
      <w:r w:rsidRPr="00D144AC">
        <w:rPr>
          <w:rFonts w:ascii="Calibri Light" w:hAnsi="Calibri Light" w:cs="Calibri Light"/>
          <w:noProof/>
          <w:szCs w:val="24"/>
        </w:rPr>
        <w:t xml:space="preserve"> </w:t>
      </w:r>
      <w:r w:rsidRPr="00D144AC">
        <w:rPr>
          <w:rFonts w:ascii="Calibri Light" w:hAnsi="Calibri Light" w:cs="Calibri Light"/>
          <w:b/>
          <w:bCs/>
          <w:noProof/>
          <w:szCs w:val="24"/>
        </w:rPr>
        <w:t>255</w:t>
      </w:r>
      <w:r w:rsidRPr="00D144AC">
        <w:rPr>
          <w:rFonts w:ascii="Calibri Light" w:hAnsi="Calibri Light" w:cs="Calibri Light"/>
          <w:noProof/>
          <w:szCs w:val="24"/>
        </w:rPr>
        <w:t>, 124451 (2022).</w:t>
      </w:r>
    </w:p>
    <w:p w14:paraId="63002619" w14:textId="77777777" w:rsidR="00D144AC" w:rsidRPr="00D144AC" w:rsidRDefault="00D144AC" w:rsidP="00D144AC">
      <w:pPr>
        <w:widowControl w:val="0"/>
        <w:autoSpaceDE w:val="0"/>
        <w:autoSpaceDN w:val="0"/>
        <w:adjustRightInd w:val="0"/>
        <w:spacing w:line="360" w:lineRule="auto"/>
        <w:ind w:left="640" w:hanging="640"/>
        <w:rPr>
          <w:rFonts w:ascii="Calibri Light" w:hAnsi="Calibri Light" w:cs="Calibri Light"/>
          <w:noProof/>
          <w:szCs w:val="24"/>
        </w:rPr>
      </w:pPr>
      <w:r w:rsidRPr="00D144AC">
        <w:rPr>
          <w:rFonts w:ascii="Calibri Light" w:hAnsi="Calibri Light" w:cs="Calibri Light"/>
          <w:noProof/>
          <w:szCs w:val="24"/>
        </w:rPr>
        <w:t>5.</w:t>
      </w:r>
      <w:r w:rsidRPr="00D144AC">
        <w:rPr>
          <w:rFonts w:ascii="Calibri Light" w:hAnsi="Calibri Light" w:cs="Calibri Light"/>
          <w:noProof/>
          <w:szCs w:val="24"/>
        </w:rPr>
        <w:tab/>
        <w:t xml:space="preserve">Rochedo, P. R. R. Development of a Global Integrated Energy Model to Evaluate the Brazilian Role in Climate Change Mitigation Scenarios. </w:t>
      </w:r>
      <w:r w:rsidRPr="00D144AC">
        <w:rPr>
          <w:rFonts w:ascii="Calibri Light" w:hAnsi="Calibri Light" w:cs="Calibri Light"/>
          <w:i/>
          <w:iCs/>
          <w:noProof/>
          <w:szCs w:val="24"/>
        </w:rPr>
        <w:t>Journal of Chemical Information and Modeling</w:t>
      </w:r>
      <w:r w:rsidRPr="00D144AC">
        <w:rPr>
          <w:rFonts w:ascii="Calibri Light" w:hAnsi="Calibri Light" w:cs="Calibri Light"/>
          <w:noProof/>
          <w:szCs w:val="24"/>
        </w:rPr>
        <w:t xml:space="preserve"> (2016). doi:10.1017/CBO9781107415324.004.</w:t>
      </w:r>
    </w:p>
    <w:p w14:paraId="17C27BE7" w14:textId="77777777" w:rsidR="00D144AC" w:rsidRPr="00D144AC" w:rsidRDefault="00D144AC" w:rsidP="00D144AC">
      <w:pPr>
        <w:widowControl w:val="0"/>
        <w:autoSpaceDE w:val="0"/>
        <w:autoSpaceDN w:val="0"/>
        <w:adjustRightInd w:val="0"/>
        <w:spacing w:line="360" w:lineRule="auto"/>
        <w:ind w:left="640" w:hanging="640"/>
        <w:rPr>
          <w:rFonts w:ascii="Calibri Light" w:hAnsi="Calibri Light" w:cs="Calibri Light"/>
          <w:noProof/>
          <w:szCs w:val="24"/>
        </w:rPr>
      </w:pPr>
      <w:r w:rsidRPr="00D144AC">
        <w:rPr>
          <w:rFonts w:ascii="Calibri Light" w:hAnsi="Calibri Light" w:cs="Calibri Light"/>
          <w:noProof/>
          <w:szCs w:val="24"/>
        </w:rPr>
        <w:t>6.</w:t>
      </w:r>
      <w:r w:rsidRPr="00D144AC">
        <w:rPr>
          <w:rFonts w:ascii="Calibri Light" w:hAnsi="Calibri Light" w:cs="Calibri Light"/>
          <w:noProof/>
          <w:szCs w:val="24"/>
        </w:rPr>
        <w:tab/>
        <w:t xml:space="preserve">Byers, E. </w:t>
      </w:r>
      <w:r w:rsidRPr="00D144AC">
        <w:rPr>
          <w:rFonts w:ascii="Calibri Light" w:hAnsi="Calibri Light" w:cs="Calibri Light"/>
          <w:i/>
          <w:iCs/>
          <w:noProof/>
          <w:szCs w:val="24"/>
        </w:rPr>
        <w:t>et al.</w:t>
      </w:r>
      <w:r w:rsidRPr="00D144AC">
        <w:rPr>
          <w:rFonts w:ascii="Calibri Light" w:hAnsi="Calibri Light" w:cs="Calibri Light"/>
          <w:noProof/>
          <w:szCs w:val="24"/>
        </w:rPr>
        <w:t xml:space="preserve"> AR6 Scenarios Database. (2022) doi:10.5281/zenodo.5886912.</w:t>
      </w:r>
    </w:p>
    <w:p w14:paraId="1B181933" w14:textId="77777777" w:rsidR="00D144AC" w:rsidRPr="00D144AC" w:rsidRDefault="00D144AC" w:rsidP="00D144AC">
      <w:pPr>
        <w:widowControl w:val="0"/>
        <w:autoSpaceDE w:val="0"/>
        <w:autoSpaceDN w:val="0"/>
        <w:adjustRightInd w:val="0"/>
        <w:spacing w:line="360" w:lineRule="auto"/>
        <w:ind w:left="640" w:hanging="640"/>
        <w:rPr>
          <w:rFonts w:ascii="Calibri Light" w:hAnsi="Calibri Light" w:cs="Calibri Light"/>
          <w:noProof/>
          <w:szCs w:val="24"/>
        </w:rPr>
      </w:pPr>
      <w:r w:rsidRPr="00D144AC">
        <w:rPr>
          <w:rFonts w:ascii="Calibri Light" w:hAnsi="Calibri Light" w:cs="Calibri Light"/>
          <w:noProof/>
          <w:szCs w:val="24"/>
        </w:rPr>
        <w:t>7.</w:t>
      </w:r>
      <w:r w:rsidRPr="00D144AC">
        <w:rPr>
          <w:rFonts w:ascii="Calibri Light" w:hAnsi="Calibri Light" w:cs="Calibri Light"/>
          <w:noProof/>
          <w:szCs w:val="24"/>
        </w:rPr>
        <w:tab/>
        <w:t xml:space="preserve">UNCTAD. </w:t>
      </w:r>
      <w:r w:rsidRPr="00D144AC">
        <w:rPr>
          <w:rFonts w:ascii="Calibri Light" w:hAnsi="Calibri Light" w:cs="Calibri Light"/>
          <w:i/>
          <w:iCs/>
          <w:noProof/>
          <w:szCs w:val="24"/>
        </w:rPr>
        <w:t>Handbook of Statistics 2022</w:t>
      </w:r>
      <w:r w:rsidRPr="00D144AC">
        <w:rPr>
          <w:rFonts w:ascii="Calibri Light" w:hAnsi="Calibri Light" w:cs="Calibri Light"/>
          <w:noProof/>
          <w:szCs w:val="24"/>
        </w:rPr>
        <w:t>. https://unctadstat.unctad.org/EN/Index.html (2022).</w:t>
      </w:r>
    </w:p>
    <w:p w14:paraId="068B698F" w14:textId="77777777" w:rsidR="00D144AC" w:rsidRPr="00D144AC" w:rsidRDefault="00D144AC" w:rsidP="00D144AC">
      <w:pPr>
        <w:widowControl w:val="0"/>
        <w:autoSpaceDE w:val="0"/>
        <w:autoSpaceDN w:val="0"/>
        <w:adjustRightInd w:val="0"/>
        <w:spacing w:line="360" w:lineRule="auto"/>
        <w:ind w:left="640" w:hanging="640"/>
        <w:rPr>
          <w:rFonts w:ascii="Calibri Light" w:hAnsi="Calibri Light" w:cs="Calibri Light"/>
          <w:noProof/>
          <w:szCs w:val="24"/>
        </w:rPr>
      </w:pPr>
      <w:r w:rsidRPr="00D144AC">
        <w:rPr>
          <w:rFonts w:ascii="Calibri Light" w:hAnsi="Calibri Light" w:cs="Calibri Light"/>
          <w:noProof/>
          <w:szCs w:val="24"/>
        </w:rPr>
        <w:t>8.</w:t>
      </w:r>
      <w:r w:rsidRPr="00D144AC">
        <w:rPr>
          <w:rFonts w:ascii="Calibri Light" w:hAnsi="Calibri Light" w:cs="Calibri Light"/>
          <w:noProof/>
          <w:szCs w:val="24"/>
        </w:rPr>
        <w:tab/>
        <w:t xml:space="preserve">Faber, J. </w:t>
      </w:r>
      <w:r w:rsidRPr="00D144AC">
        <w:rPr>
          <w:rFonts w:ascii="Calibri Light" w:hAnsi="Calibri Light" w:cs="Calibri Light"/>
          <w:i/>
          <w:iCs/>
          <w:noProof/>
          <w:szCs w:val="24"/>
        </w:rPr>
        <w:t>et al.</w:t>
      </w:r>
      <w:r w:rsidRPr="00D144AC">
        <w:rPr>
          <w:rFonts w:ascii="Calibri Light" w:hAnsi="Calibri Light" w:cs="Calibri Light"/>
          <w:noProof/>
          <w:szCs w:val="24"/>
        </w:rPr>
        <w:t xml:space="preserve"> </w:t>
      </w:r>
      <w:r w:rsidRPr="00D144AC">
        <w:rPr>
          <w:rFonts w:ascii="Calibri Light" w:hAnsi="Calibri Light" w:cs="Calibri Light"/>
          <w:i/>
          <w:iCs/>
          <w:noProof/>
          <w:szCs w:val="24"/>
        </w:rPr>
        <w:t>Fourth IMO GHG Report</w:t>
      </w:r>
      <w:r w:rsidRPr="00D144AC">
        <w:rPr>
          <w:rFonts w:ascii="Calibri Light" w:hAnsi="Calibri Light" w:cs="Calibri Light"/>
          <w:noProof/>
          <w:szCs w:val="24"/>
        </w:rPr>
        <w:t xml:space="preserve">. </w:t>
      </w:r>
      <w:r w:rsidRPr="00D144AC">
        <w:rPr>
          <w:rFonts w:ascii="Calibri Light" w:hAnsi="Calibri Light" w:cs="Calibri Light"/>
          <w:i/>
          <w:iCs/>
          <w:noProof/>
          <w:szCs w:val="24"/>
        </w:rPr>
        <w:t>International Maritime Organization</w:t>
      </w:r>
      <w:r w:rsidRPr="00D144AC">
        <w:rPr>
          <w:rFonts w:ascii="Calibri Light" w:hAnsi="Calibri Light" w:cs="Calibri Light"/>
          <w:noProof/>
          <w:szCs w:val="24"/>
        </w:rPr>
        <w:t xml:space="preserve"> (2021).</w:t>
      </w:r>
    </w:p>
    <w:p w14:paraId="2D5D56FC" w14:textId="77777777" w:rsidR="00D144AC" w:rsidRPr="00D144AC" w:rsidRDefault="00D144AC" w:rsidP="00D144AC">
      <w:pPr>
        <w:widowControl w:val="0"/>
        <w:autoSpaceDE w:val="0"/>
        <w:autoSpaceDN w:val="0"/>
        <w:adjustRightInd w:val="0"/>
        <w:spacing w:line="360" w:lineRule="auto"/>
        <w:ind w:left="640" w:hanging="640"/>
        <w:rPr>
          <w:rFonts w:ascii="Calibri Light" w:hAnsi="Calibri Light" w:cs="Calibri Light"/>
          <w:noProof/>
          <w:szCs w:val="24"/>
        </w:rPr>
      </w:pPr>
      <w:r w:rsidRPr="00D144AC">
        <w:rPr>
          <w:rFonts w:ascii="Calibri Light" w:hAnsi="Calibri Light" w:cs="Calibri Light"/>
          <w:noProof/>
          <w:szCs w:val="24"/>
        </w:rPr>
        <w:t>9.</w:t>
      </w:r>
      <w:r w:rsidRPr="00D144AC">
        <w:rPr>
          <w:rFonts w:ascii="Calibri Light" w:hAnsi="Calibri Light" w:cs="Calibri Light"/>
          <w:noProof/>
          <w:szCs w:val="24"/>
        </w:rPr>
        <w:tab/>
        <w:t xml:space="preserve">Waisman, H., Guivarch, C., Grazi, F. &amp; Hourcade, J. C. The Imaclim-R model: infrastructures, technical inertia and the costs of low carbon futures under imperfect foresight. </w:t>
      </w:r>
      <w:r w:rsidRPr="00D144AC">
        <w:rPr>
          <w:rFonts w:ascii="Calibri Light" w:hAnsi="Calibri Light" w:cs="Calibri Light"/>
          <w:i/>
          <w:iCs/>
          <w:noProof/>
          <w:szCs w:val="24"/>
        </w:rPr>
        <w:t>Clim. Change</w:t>
      </w:r>
      <w:r w:rsidRPr="00D144AC">
        <w:rPr>
          <w:rFonts w:ascii="Calibri Light" w:hAnsi="Calibri Light" w:cs="Calibri Light"/>
          <w:noProof/>
          <w:szCs w:val="24"/>
        </w:rPr>
        <w:t xml:space="preserve"> </w:t>
      </w:r>
      <w:r w:rsidRPr="00D144AC">
        <w:rPr>
          <w:rFonts w:ascii="Calibri Light" w:hAnsi="Calibri Light" w:cs="Calibri Light"/>
          <w:b/>
          <w:bCs/>
          <w:noProof/>
          <w:szCs w:val="24"/>
        </w:rPr>
        <w:t>114</w:t>
      </w:r>
      <w:r w:rsidRPr="00D144AC">
        <w:rPr>
          <w:rFonts w:ascii="Calibri Light" w:hAnsi="Calibri Light" w:cs="Calibri Light"/>
          <w:noProof/>
          <w:szCs w:val="24"/>
        </w:rPr>
        <w:t>, 101–120 (2012).</w:t>
      </w:r>
    </w:p>
    <w:p w14:paraId="70DED8B0" w14:textId="77777777" w:rsidR="00D144AC" w:rsidRPr="00D144AC" w:rsidRDefault="00D144AC" w:rsidP="00D144AC">
      <w:pPr>
        <w:widowControl w:val="0"/>
        <w:autoSpaceDE w:val="0"/>
        <w:autoSpaceDN w:val="0"/>
        <w:adjustRightInd w:val="0"/>
        <w:spacing w:line="360" w:lineRule="auto"/>
        <w:ind w:left="640" w:hanging="640"/>
        <w:rPr>
          <w:rFonts w:ascii="Calibri Light" w:hAnsi="Calibri Light" w:cs="Calibri Light"/>
          <w:noProof/>
          <w:szCs w:val="24"/>
        </w:rPr>
      </w:pPr>
      <w:r w:rsidRPr="00D144AC">
        <w:rPr>
          <w:rFonts w:ascii="Calibri Light" w:hAnsi="Calibri Light" w:cs="Calibri Light"/>
          <w:noProof/>
          <w:szCs w:val="24"/>
        </w:rPr>
        <w:t>10.</w:t>
      </w:r>
      <w:r w:rsidRPr="00D144AC">
        <w:rPr>
          <w:rFonts w:ascii="Calibri Light" w:hAnsi="Calibri Light" w:cs="Calibri Light"/>
          <w:noProof/>
          <w:szCs w:val="24"/>
        </w:rPr>
        <w:tab/>
        <w:t xml:space="preserve">Méjean, A., Guivarch, C., Lefèvre, J. &amp; Hamdi-Cherif, M. The transition in energy demand sectors to limit global warming to 1.5 °C. </w:t>
      </w:r>
      <w:r w:rsidRPr="00D144AC">
        <w:rPr>
          <w:rFonts w:ascii="Calibri Light" w:hAnsi="Calibri Light" w:cs="Calibri Light"/>
          <w:i/>
          <w:iCs/>
          <w:noProof/>
          <w:szCs w:val="24"/>
        </w:rPr>
        <w:t>Energy Effic.</w:t>
      </w:r>
      <w:r w:rsidRPr="00D144AC">
        <w:rPr>
          <w:rFonts w:ascii="Calibri Light" w:hAnsi="Calibri Light" w:cs="Calibri Light"/>
          <w:noProof/>
          <w:szCs w:val="24"/>
        </w:rPr>
        <w:t xml:space="preserve"> </w:t>
      </w:r>
      <w:r w:rsidRPr="00D144AC">
        <w:rPr>
          <w:rFonts w:ascii="Calibri Light" w:hAnsi="Calibri Light" w:cs="Calibri Light"/>
          <w:b/>
          <w:bCs/>
          <w:noProof/>
          <w:szCs w:val="24"/>
        </w:rPr>
        <w:t>12</w:t>
      </w:r>
      <w:r w:rsidRPr="00D144AC">
        <w:rPr>
          <w:rFonts w:ascii="Calibri Light" w:hAnsi="Calibri Light" w:cs="Calibri Light"/>
          <w:noProof/>
          <w:szCs w:val="24"/>
        </w:rPr>
        <w:t>, 441–462 (2019).</w:t>
      </w:r>
    </w:p>
    <w:p w14:paraId="302BBB4B" w14:textId="77777777" w:rsidR="00D144AC" w:rsidRPr="00D144AC" w:rsidRDefault="00D144AC" w:rsidP="00D144AC">
      <w:pPr>
        <w:widowControl w:val="0"/>
        <w:autoSpaceDE w:val="0"/>
        <w:autoSpaceDN w:val="0"/>
        <w:adjustRightInd w:val="0"/>
        <w:spacing w:line="360" w:lineRule="auto"/>
        <w:ind w:left="640" w:hanging="640"/>
        <w:rPr>
          <w:rFonts w:ascii="Calibri Light" w:hAnsi="Calibri Light" w:cs="Calibri Light"/>
          <w:noProof/>
          <w:szCs w:val="24"/>
        </w:rPr>
      </w:pPr>
      <w:r w:rsidRPr="00D144AC">
        <w:rPr>
          <w:rFonts w:ascii="Calibri Light" w:hAnsi="Calibri Light" w:cs="Calibri Light"/>
          <w:noProof/>
          <w:szCs w:val="24"/>
        </w:rPr>
        <w:t>11.</w:t>
      </w:r>
      <w:r w:rsidRPr="00D144AC">
        <w:rPr>
          <w:rFonts w:ascii="Calibri Light" w:hAnsi="Calibri Light" w:cs="Calibri Light"/>
          <w:noProof/>
          <w:szCs w:val="24"/>
        </w:rPr>
        <w:tab/>
        <w:t>IAMC. Model Documentation - IMAGE. https://www.iamcdocumentation.eu/index.php/Model_Documentation_-_IMAGE (2023).</w:t>
      </w:r>
    </w:p>
    <w:p w14:paraId="18BD00B1" w14:textId="77777777" w:rsidR="00D144AC" w:rsidRPr="00D144AC" w:rsidRDefault="00D144AC" w:rsidP="00D144AC">
      <w:pPr>
        <w:widowControl w:val="0"/>
        <w:autoSpaceDE w:val="0"/>
        <w:autoSpaceDN w:val="0"/>
        <w:adjustRightInd w:val="0"/>
        <w:spacing w:line="360" w:lineRule="auto"/>
        <w:ind w:left="640" w:hanging="640"/>
        <w:rPr>
          <w:rFonts w:ascii="Calibri Light" w:hAnsi="Calibri Light" w:cs="Calibri Light"/>
          <w:noProof/>
          <w:szCs w:val="24"/>
        </w:rPr>
      </w:pPr>
      <w:r w:rsidRPr="00D144AC">
        <w:rPr>
          <w:rFonts w:ascii="Calibri Light" w:hAnsi="Calibri Light" w:cs="Calibri Light"/>
          <w:noProof/>
          <w:szCs w:val="24"/>
        </w:rPr>
        <w:t>12.</w:t>
      </w:r>
      <w:r w:rsidRPr="00D144AC">
        <w:rPr>
          <w:rFonts w:ascii="Calibri Light" w:hAnsi="Calibri Light" w:cs="Calibri Light"/>
          <w:noProof/>
          <w:szCs w:val="24"/>
        </w:rPr>
        <w:tab/>
        <w:t xml:space="preserve">Edelenbosch, O. Y. </w:t>
      </w:r>
      <w:r w:rsidRPr="00D144AC">
        <w:rPr>
          <w:rFonts w:ascii="Calibri Light" w:hAnsi="Calibri Light" w:cs="Calibri Light"/>
          <w:i/>
          <w:iCs/>
          <w:noProof/>
          <w:szCs w:val="24"/>
        </w:rPr>
        <w:t>et al.</w:t>
      </w:r>
      <w:r w:rsidRPr="00D144AC">
        <w:rPr>
          <w:rFonts w:ascii="Calibri Light" w:hAnsi="Calibri Light" w:cs="Calibri Light"/>
          <w:noProof/>
          <w:szCs w:val="24"/>
        </w:rPr>
        <w:t xml:space="preserve"> </w:t>
      </w:r>
      <w:r w:rsidRPr="00D144AC">
        <w:rPr>
          <w:rFonts w:ascii="Calibri Light" w:hAnsi="Calibri Light" w:cs="Calibri Light"/>
          <w:i/>
          <w:iCs/>
          <w:noProof/>
          <w:szCs w:val="24"/>
        </w:rPr>
        <w:t>Mitigating greenhouse gas emissions in hard-to-abate sectors</w:t>
      </w:r>
      <w:r w:rsidRPr="00D144AC">
        <w:rPr>
          <w:rFonts w:ascii="Calibri Light" w:hAnsi="Calibri Light" w:cs="Calibri Light"/>
          <w:noProof/>
          <w:szCs w:val="24"/>
        </w:rPr>
        <w:t>. (2022).</w:t>
      </w:r>
    </w:p>
    <w:p w14:paraId="25D054FA" w14:textId="77777777" w:rsidR="00D144AC" w:rsidRPr="00D144AC" w:rsidRDefault="00D144AC" w:rsidP="00D144AC">
      <w:pPr>
        <w:widowControl w:val="0"/>
        <w:autoSpaceDE w:val="0"/>
        <w:autoSpaceDN w:val="0"/>
        <w:adjustRightInd w:val="0"/>
        <w:spacing w:line="360" w:lineRule="auto"/>
        <w:ind w:left="640" w:hanging="640"/>
        <w:rPr>
          <w:rFonts w:ascii="Calibri Light" w:hAnsi="Calibri Light" w:cs="Calibri Light"/>
          <w:noProof/>
          <w:szCs w:val="24"/>
        </w:rPr>
      </w:pPr>
      <w:r w:rsidRPr="00D144AC">
        <w:rPr>
          <w:rFonts w:ascii="Calibri Light" w:hAnsi="Calibri Light" w:cs="Calibri Light"/>
          <w:noProof/>
          <w:szCs w:val="24"/>
        </w:rPr>
        <w:t>13.</w:t>
      </w:r>
      <w:r w:rsidRPr="00D144AC">
        <w:rPr>
          <w:rFonts w:ascii="Calibri Light" w:hAnsi="Calibri Light" w:cs="Calibri Light"/>
          <w:noProof/>
          <w:szCs w:val="24"/>
        </w:rPr>
        <w:tab/>
        <w:t xml:space="preserve">Paroussos, L., Fragkos, P., Capros, P. &amp; Fragkiadakis, K. Assessment of carbon leakage through the industry channel: The EU perspective. </w:t>
      </w:r>
      <w:r w:rsidRPr="00D144AC">
        <w:rPr>
          <w:rFonts w:ascii="Calibri Light" w:hAnsi="Calibri Light" w:cs="Calibri Light"/>
          <w:i/>
          <w:iCs/>
          <w:noProof/>
          <w:szCs w:val="24"/>
        </w:rPr>
        <w:t>Technol. Forecast. Soc. Change</w:t>
      </w:r>
      <w:r w:rsidRPr="00D144AC">
        <w:rPr>
          <w:rFonts w:ascii="Calibri Light" w:hAnsi="Calibri Light" w:cs="Calibri Light"/>
          <w:noProof/>
          <w:szCs w:val="24"/>
        </w:rPr>
        <w:t xml:space="preserve"> </w:t>
      </w:r>
      <w:r w:rsidRPr="00D144AC">
        <w:rPr>
          <w:rFonts w:ascii="Calibri Light" w:hAnsi="Calibri Light" w:cs="Calibri Light"/>
          <w:b/>
          <w:bCs/>
          <w:noProof/>
          <w:szCs w:val="24"/>
        </w:rPr>
        <w:t>90</w:t>
      </w:r>
      <w:r w:rsidRPr="00D144AC">
        <w:rPr>
          <w:rFonts w:ascii="Calibri Light" w:hAnsi="Calibri Light" w:cs="Calibri Light"/>
          <w:noProof/>
          <w:szCs w:val="24"/>
        </w:rPr>
        <w:t>, 204–219 (2015).</w:t>
      </w:r>
    </w:p>
    <w:p w14:paraId="4458CA05" w14:textId="77777777" w:rsidR="00D144AC" w:rsidRPr="00D144AC" w:rsidRDefault="00D144AC" w:rsidP="00D144AC">
      <w:pPr>
        <w:widowControl w:val="0"/>
        <w:autoSpaceDE w:val="0"/>
        <w:autoSpaceDN w:val="0"/>
        <w:adjustRightInd w:val="0"/>
        <w:spacing w:line="360" w:lineRule="auto"/>
        <w:ind w:left="640" w:hanging="640"/>
        <w:rPr>
          <w:rFonts w:ascii="Calibri Light" w:hAnsi="Calibri Light" w:cs="Calibri Light"/>
          <w:noProof/>
          <w:szCs w:val="24"/>
        </w:rPr>
      </w:pPr>
      <w:r w:rsidRPr="00D144AC">
        <w:rPr>
          <w:rFonts w:ascii="Calibri Light" w:hAnsi="Calibri Light" w:cs="Calibri Light"/>
          <w:noProof/>
          <w:szCs w:val="24"/>
        </w:rPr>
        <w:t>14.</w:t>
      </w:r>
      <w:r w:rsidRPr="00D144AC">
        <w:rPr>
          <w:rFonts w:ascii="Calibri Light" w:hAnsi="Calibri Light" w:cs="Calibri Light"/>
          <w:noProof/>
          <w:szCs w:val="24"/>
        </w:rPr>
        <w:tab/>
        <w:t xml:space="preserve">European Commission. </w:t>
      </w:r>
      <w:r w:rsidRPr="00D144AC">
        <w:rPr>
          <w:rFonts w:ascii="Calibri Light" w:hAnsi="Calibri Light" w:cs="Calibri Light"/>
          <w:i/>
          <w:iCs/>
          <w:noProof/>
          <w:szCs w:val="24"/>
        </w:rPr>
        <w:t xml:space="preserve">Proposal for a Regulation of the European Parliament and of the </w:t>
      </w:r>
      <w:r w:rsidRPr="00D144AC">
        <w:rPr>
          <w:rFonts w:ascii="Calibri Light" w:hAnsi="Calibri Light" w:cs="Calibri Light"/>
          <w:i/>
          <w:iCs/>
          <w:noProof/>
          <w:szCs w:val="24"/>
        </w:rPr>
        <w:lastRenderedPageBreak/>
        <w:t>Council on the Use of Renewable and Low-Carbon Fuels in Maritime Transport and Amending Directive</w:t>
      </w:r>
      <w:r w:rsidRPr="00D144AC">
        <w:rPr>
          <w:rFonts w:ascii="Calibri Light" w:hAnsi="Calibri Light" w:cs="Calibri Light"/>
          <w:noProof/>
          <w:szCs w:val="24"/>
        </w:rPr>
        <w:t>. https://ec.europa.eu/info/sites/default/files/fueleu_maritime_-_green_european_maritime_space.pdf (2021).</w:t>
      </w:r>
    </w:p>
    <w:p w14:paraId="1D4AFB6F" w14:textId="77777777" w:rsidR="00D144AC" w:rsidRPr="00D144AC" w:rsidRDefault="00D144AC" w:rsidP="00D144AC">
      <w:pPr>
        <w:widowControl w:val="0"/>
        <w:autoSpaceDE w:val="0"/>
        <w:autoSpaceDN w:val="0"/>
        <w:adjustRightInd w:val="0"/>
        <w:spacing w:line="360" w:lineRule="auto"/>
        <w:ind w:left="640" w:hanging="640"/>
        <w:rPr>
          <w:rFonts w:ascii="Calibri Light" w:hAnsi="Calibri Light" w:cs="Calibri Light"/>
          <w:noProof/>
          <w:szCs w:val="24"/>
        </w:rPr>
      </w:pPr>
      <w:r w:rsidRPr="00D144AC">
        <w:rPr>
          <w:rFonts w:ascii="Calibri Light" w:hAnsi="Calibri Light" w:cs="Calibri Light"/>
          <w:noProof/>
          <w:szCs w:val="24"/>
        </w:rPr>
        <w:t>15.</w:t>
      </w:r>
      <w:r w:rsidRPr="00D144AC">
        <w:rPr>
          <w:rFonts w:ascii="Calibri Light" w:hAnsi="Calibri Light" w:cs="Calibri Light"/>
          <w:noProof/>
          <w:szCs w:val="24"/>
        </w:rPr>
        <w:tab/>
        <w:t xml:space="preserve">Pye, S. </w:t>
      </w:r>
      <w:r w:rsidRPr="00D144AC">
        <w:rPr>
          <w:rFonts w:ascii="Calibri Light" w:hAnsi="Calibri Light" w:cs="Calibri Light"/>
          <w:i/>
          <w:iCs/>
          <w:noProof/>
          <w:szCs w:val="24"/>
        </w:rPr>
        <w:t>et al.</w:t>
      </w:r>
      <w:r w:rsidRPr="00D144AC">
        <w:rPr>
          <w:rFonts w:ascii="Calibri Light" w:hAnsi="Calibri Light" w:cs="Calibri Light"/>
          <w:noProof/>
          <w:szCs w:val="24"/>
        </w:rPr>
        <w:t xml:space="preserve"> </w:t>
      </w:r>
      <w:r w:rsidRPr="00D144AC">
        <w:rPr>
          <w:rFonts w:ascii="Calibri Light" w:hAnsi="Calibri Light" w:cs="Calibri Light"/>
          <w:i/>
          <w:iCs/>
          <w:noProof/>
          <w:szCs w:val="24"/>
        </w:rPr>
        <w:t>The TIAM-UCL Model (Version 4.1.1) Documentation</w:t>
      </w:r>
      <w:r w:rsidRPr="00D144AC">
        <w:rPr>
          <w:rFonts w:ascii="Calibri Light" w:hAnsi="Calibri Light" w:cs="Calibri Light"/>
          <w:noProof/>
          <w:szCs w:val="24"/>
        </w:rPr>
        <w:t>. https://www.ucl.ac.uk/drupal/site_energy-models/sites/energy-models/files/tiam-ucl-manual.pdf (2020).</w:t>
      </w:r>
    </w:p>
    <w:p w14:paraId="609C8E17" w14:textId="77777777" w:rsidR="00D144AC" w:rsidRPr="00D144AC" w:rsidRDefault="00D144AC" w:rsidP="00D144AC">
      <w:pPr>
        <w:widowControl w:val="0"/>
        <w:autoSpaceDE w:val="0"/>
        <w:autoSpaceDN w:val="0"/>
        <w:adjustRightInd w:val="0"/>
        <w:spacing w:line="360" w:lineRule="auto"/>
        <w:ind w:left="640" w:hanging="640"/>
        <w:rPr>
          <w:rFonts w:ascii="Calibri Light" w:hAnsi="Calibri Light" w:cs="Calibri Light"/>
          <w:noProof/>
          <w:szCs w:val="24"/>
        </w:rPr>
      </w:pPr>
      <w:r w:rsidRPr="00D144AC">
        <w:rPr>
          <w:rFonts w:ascii="Calibri Light" w:hAnsi="Calibri Light" w:cs="Calibri Light"/>
          <w:noProof/>
          <w:szCs w:val="24"/>
        </w:rPr>
        <w:t>16.</w:t>
      </w:r>
      <w:r w:rsidRPr="00D144AC">
        <w:rPr>
          <w:rFonts w:ascii="Calibri Light" w:hAnsi="Calibri Light" w:cs="Calibri Light"/>
          <w:noProof/>
          <w:szCs w:val="24"/>
        </w:rPr>
        <w:tab/>
        <w:t xml:space="preserve">UCL. GloTraM. </w:t>
      </w:r>
      <w:r w:rsidRPr="00D144AC">
        <w:rPr>
          <w:rFonts w:ascii="Calibri Light" w:hAnsi="Calibri Light" w:cs="Calibri Light"/>
          <w:i/>
          <w:iCs/>
          <w:noProof/>
          <w:szCs w:val="24"/>
        </w:rPr>
        <w:t>UCL Energy Institute Models</w:t>
      </w:r>
      <w:r w:rsidRPr="00D144AC">
        <w:rPr>
          <w:rFonts w:ascii="Calibri Light" w:hAnsi="Calibri Light" w:cs="Calibri Light"/>
          <w:noProof/>
          <w:szCs w:val="24"/>
        </w:rPr>
        <w:t xml:space="preserve"> https://www.ucl.ac.uk/energy-models/models/glotram (2023).</w:t>
      </w:r>
    </w:p>
    <w:p w14:paraId="7103EE1B" w14:textId="77777777" w:rsidR="00D144AC" w:rsidRPr="00D144AC" w:rsidRDefault="00D144AC" w:rsidP="00D144AC">
      <w:pPr>
        <w:widowControl w:val="0"/>
        <w:autoSpaceDE w:val="0"/>
        <w:autoSpaceDN w:val="0"/>
        <w:adjustRightInd w:val="0"/>
        <w:spacing w:line="360" w:lineRule="auto"/>
        <w:ind w:left="640" w:hanging="640"/>
        <w:rPr>
          <w:rFonts w:ascii="Calibri Light" w:hAnsi="Calibri Light" w:cs="Calibri Light"/>
          <w:noProof/>
          <w:szCs w:val="24"/>
        </w:rPr>
      </w:pPr>
      <w:r w:rsidRPr="00D144AC">
        <w:rPr>
          <w:rFonts w:ascii="Calibri Light" w:hAnsi="Calibri Light" w:cs="Calibri Light"/>
          <w:noProof/>
          <w:szCs w:val="24"/>
        </w:rPr>
        <w:t>17.</w:t>
      </w:r>
      <w:r w:rsidRPr="00D144AC">
        <w:rPr>
          <w:rFonts w:ascii="Calibri Light" w:hAnsi="Calibri Light" w:cs="Calibri Light"/>
          <w:noProof/>
          <w:szCs w:val="24"/>
        </w:rPr>
        <w:tab/>
        <w:t xml:space="preserve">IPCC. Summary for Policymakers. in </w:t>
      </w:r>
      <w:r w:rsidRPr="00D144AC">
        <w:rPr>
          <w:rFonts w:ascii="Calibri Light" w:hAnsi="Calibri Light" w:cs="Calibri Light"/>
          <w:i/>
          <w:iCs/>
          <w:noProof/>
          <w:szCs w:val="24"/>
        </w:rPr>
        <w:t>Climate Change 2022: Mitigation of Climate Change. Contribution of Working Group III to the Sixth Assessment Report of the Intergovernmental Panel on Climate Change</w:t>
      </w:r>
      <w:r w:rsidRPr="00D144AC">
        <w:rPr>
          <w:rFonts w:ascii="Calibri Light" w:hAnsi="Calibri Light" w:cs="Calibri Light"/>
          <w:noProof/>
          <w:szCs w:val="24"/>
        </w:rPr>
        <w:t xml:space="preserve"> (eds. Shukla, P. R. et al.) (Cambridge University Press, 2022). doi:10.1017/9781009157926.001.</w:t>
      </w:r>
    </w:p>
    <w:p w14:paraId="3ED27546" w14:textId="77777777" w:rsidR="00D144AC" w:rsidRPr="00D144AC" w:rsidRDefault="00D144AC" w:rsidP="00D144AC">
      <w:pPr>
        <w:widowControl w:val="0"/>
        <w:autoSpaceDE w:val="0"/>
        <w:autoSpaceDN w:val="0"/>
        <w:adjustRightInd w:val="0"/>
        <w:spacing w:line="360" w:lineRule="auto"/>
        <w:ind w:left="640" w:hanging="640"/>
        <w:rPr>
          <w:rFonts w:ascii="Calibri Light" w:hAnsi="Calibri Light" w:cs="Calibri Light"/>
          <w:noProof/>
          <w:szCs w:val="24"/>
        </w:rPr>
      </w:pPr>
      <w:r w:rsidRPr="00D144AC">
        <w:rPr>
          <w:rFonts w:ascii="Calibri Light" w:hAnsi="Calibri Light" w:cs="Calibri Light"/>
          <w:noProof/>
          <w:szCs w:val="24"/>
        </w:rPr>
        <w:t>18.</w:t>
      </w:r>
      <w:r w:rsidRPr="00D144AC">
        <w:rPr>
          <w:rFonts w:ascii="Calibri Light" w:hAnsi="Calibri Light" w:cs="Calibri Light"/>
          <w:noProof/>
          <w:szCs w:val="24"/>
        </w:rPr>
        <w:tab/>
        <w:t xml:space="preserve">Riahi, K. </w:t>
      </w:r>
      <w:r w:rsidRPr="00D144AC">
        <w:rPr>
          <w:rFonts w:ascii="Calibri Light" w:hAnsi="Calibri Light" w:cs="Calibri Light"/>
          <w:i/>
          <w:iCs/>
          <w:noProof/>
          <w:szCs w:val="24"/>
        </w:rPr>
        <w:t>et al.</w:t>
      </w:r>
      <w:r w:rsidRPr="00D144AC">
        <w:rPr>
          <w:rFonts w:ascii="Calibri Light" w:hAnsi="Calibri Light" w:cs="Calibri Light"/>
          <w:noProof/>
          <w:szCs w:val="24"/>
        </w:rPr>
        <w:t xml:space="preserve"> Mitigation pathways compatible with long-term goals. in </w:t>
      </w:r>
      <w:r w:rsidRPr="00D144AC">
        <w:rPr>
          <w:rFonts w:ascii="Calibri Light" w:hAnsi="Calibri Light" w:cs="Calibri Light"/>
          <w:i/>
          <w:iCs/>
          <w:noProof/>
          <w:szCs w:val="24"/>
        </w:rPr>
        <w:t>IPCC, 2022: Climate Change 2022: Mitigation of Climate Change. Contribution of Working Group III to the Sixth Assessment Report of the Intergovernmental Panel on Climate Change</w:t>
      </w:r>
      <w:r w:rsidRPr="00D144AC">
        <w:rPr>
          <w:rFonts w:ascii="Calibri Light" w:hAnsi="Calibri Light" w:cs="Calibri Light"/>
          <w:noProof/>
          <w:szCs w:val="24"/>
        </w:rPr>
        <w:t xml:space="preserve"> (eds. Shukla, P. R. et al.) (Cambridge University Press, 2022). doi:10.1017/9781009157926.005.</w:t>
      </w:r>
    </w:p>
    <w:p w14:paraId="2AE9D4D3" w14:textId="77777777" w:rsidR="00D144AC" w:rsidRPr="00D144AC" w:rsidRDefault="00D144AC" w:rsidP="00D144AC">
      <w:pPr>
        <w:widowControl w:val="0"/>
        <w:autoSpaceDE w:val="0"/>
        <w:autoSpaceDN w:val="0"/>
        <w:adjustRightInd w:val="0"/>
        <w:spacing w:line="360" w:lineRule="auto"/>
        <w:ind w:left="640" w:hanging="640"/>
        <w:rPr>
          <w:rFonts w:ascii="Calibri Light" w:hAnsi="Calibri Light" w:cs="Calibri Light"/>
          <w:noProof/>
          <w:szCs w:val="24"/>
        </w:rPr>
      </w:pPr>
      <w:r w:rsidRPr="00D144AC">
        <w:rPr>
          <w:rFonts w:ascii="Calibri Light" w:hAnsi="Calibri Light" w:cs="Calibri Light"/>
          <w:noProof/>
          <w:szCs w:val="24"/>
        </w:rPr>
        <w:t>19.</w:t>
      </w:r>
      <w:r w:rsidRPr="00D144AC">
        <w:rPr>
          <w:rFonts w:ascii="Calibri Light" w:hAnsi="Calibri Light" w:cs="Calibri Light"/>
          <w:noProof/>
          <w:szCs w:val="24"/>
        </w:rPr>
        <w:tab/>
        <w:t xml:space="preserve">Hanssen, S. V </w:t>
      </w:r>
      <w:r w:rsidRPr="00D144AC">
        <w:rPr>
          <w:rFonts w:ascii="Calibri Light" w:hAnsi="Calibri Light" w:cs="Calibri Light"/>
          <w:i/>
          <w:iCs/>
          <w:noProof/>
          <w:szCs w:val="24"/>
        </w:rPr>
        <w:t>et al.</w:t>
      </w:r>
      <w:r w:rsidRPr="00D144AC">
        <w:rPr>
          <w:rFonts w:ascii="Calibri Light" w:hAnsi="Calibri Light" w:cs="Calibri Light"/>
          <w:noProof/>
          <w:szCs w:val="24"/>
        </w:rPr>
        <w:t xml:space="preserve"> The climate change mitigation potential of bioenergy with carbon capture and storage. </w:t>
      </w:r>
      <w:r w:rsidRPr="00D144AC">
        <w:rPr>
          <w:rFonts w:ascii="Calibri Light" w:hAnsi="Calibri Light" w:cs="Calibri Light"/>
          <w:i/>
          <w:iCs/>
          <w:noProof/>
          <w:szCs w:val="24"/>
        </w:rPr>
        <w:t>Nat. Clim. Chang.</w:t>
      </w:r>
      <w:r w:rsidRPr="00D144AC">
        <w:rPr>
          <w:rFonts w:ascii="Calibri Light" w:hAnsi="Calibri Light" w:cs="Calibri Light"/>
          <w:noProof/>
          <w:szCs w:val="24"/>
        </w:rPr>
        <w:t xml:space="preserve"> </w:t>
      </w:r>
      <w:r w:rsidRPr="00D144AC">
        <w:rPr>
          <w:rFonts w:ascii="Calibri Light" w:hAnsi="Calibri Light" w:cs="Calibri Light"/>
          <w:b/>
          <w:bCs/>
          <w:noProof/>
          <w:szCs w:val="24"/>
        </w:rPr>
        <w:t>10</w:t>
      </w:r>
      <w:r w:rsidRPr="00D144AC">
        <w:rPr>
          <w:rFonts w:ascii="Calibri Light" w:hAnsi="Calibri Light" w:cs="Calibri Light"/>
          <w:noProof/>
          <w:szCs w:val="24"/>
        </w:rPr>
        <w:t>, 1023–1029 (2020).</w:t>
      </w:r>
    </w:p>
    <w:p w14:paraId="679666AF" w14:textId="77777777" w:rsidR="00D144AC" w:rsidRPr="00D144AC" w:rsidRDefault="00D144AC" w:rsidP="00D144AC">
      <w:pPr>
        <w:widowControl w:val="0"/>
        <w:autoSpaceDE w:val="0"/>
        <w:autoSpaceDN w:val="0"/>
        <w:adjustRightInd w:val="0"/>
        <w:spacing w:line="360" w:lineRule="auto"/>
        <w:ind w:left="640" w:hanging="640"/>
        <w:rPr>
          <w:rFonts w:ascii="Calibri Light" w:hAnsi="Calibri Light" w:cs="Calibri Light"/>
          <w:noProof/>
          <w:szCs w:val="24"/>
        </w:rPr>
      </w:pPr>
      <w:r w:rsidRPr="00D144AC">
        <w:rPr>
          <w:rFonts w:ascii="Calibri Light" w:hAnsi="Calibri Light" w:cs="Calibri Light"/>
          <w:noProof/>
          <w:szCs w:val="24"/>
        </w:rPr>
        <w:t>20.</w:t>
      </w:r>
      <w:r w:rsidRPr="00D144AC">
        <w:rPr>
          <w:rFonts w:ascii="Calibri Light" w:hAnsi="Calibri Light" w:cs="Calibri Light"/>
          <w:noProof/>
          <w:szCs w:val="24"/>
        </w:rPr>
        <w:tab/>
        <w:t xml:space="preserve">Stenzel, F. </w:t>
      </w:r>
      <w:r w:rsidRPr="00D144AC">
        <w:rPr>
          <w:rFonts w:ascii="Calibri Light" w:hAnsi="Calibri Light" w:cs="Calibri Light"/>
          <w:i/>
          <w:iCs/>
          <w:noProof/>
          <w:szCs w:val="24"/>
        </w:rPr>
        <w:t>et al.</w:t>
      </w:r>
      <w:r w:rsidRPr="00D144AC">
        <w:rPr>
          <w:rFonts w:ascii="Calibri Light" w:hAnsi="Calibri Light" w:cs="Calibri Light"/>
          <w:noProof/>
          <w:szCs w:val="24"/>
        </w:rPr>
        <w:t xml:space="preserve"> Irrigation of biomass plantations may globally increase water stress more than climate change. </w:t>
      </w:r>
      <w:r w:rsidRPr="00D144AC">
        <w:rPr>
          <w:rFonts w:ascii="Calibri Light" w:hAnsi="Calibri Light" w:cs="Calibri Light"/>
          <w:i/>
          <w:iCs/>
          <w:noProof/>
          <w:szCs w:val="24"/>
        </w:rPr>
        <w:t>Nat. Commun.</w:t>
      </w:r>
      <w:r w:rsidRPr="00D144AC">
        <w:rPr>
          <w:rFonts w:ascii="Calibri Light" w:hAnsi="Calibri Light" w:cs="Calibri Light"/>
          <w:noProof/>
          <w:szCs w:val="24"/>
        </w:rPr>
        <w:t xml:space="preserve"> </w:t>
      </w:r>
      <w:r w:rsidRPr="00D144AC">
        <w:rPr>
          <w:rFonts w:ascii="Calibri Light" w:hAnsi="Calibri Light" w:cs="Calibri Light"/>
          <w:b/>
          <w:bCs/>
          <w:noProof/>
          <w:szCs w:val="24"/>
        </w:rPr>
        <w:t>12</w:t>
      </w:r>
      <w:r w:rsidRPr="00D144AC">
        <w:rPr>
          <w:rFonts w:ascii="Calibri Light" w:hAnsi="Calibri Light" w:cs="Calibri Light"/>
          <w:noProof/>
          <w:szCs w:val="24"/>
        </w:rPr>
        <w:t>, 1512 (2021).</w:t>
      </w:r>
    </w:p>
    <w:p w14:paraId="0FEE4515" w14:textId="77777777" w:rsidR="00D144AC" w:rsidRPr="00D144AC" w:rsidRDefault="00D144AC" w:rsidP="00D144AC">
      <w:pPr>
        <w:widowControl w:val="0"/>
        <w:autoSpaceDE w:val="0"/>
        <w:autoSpaceDN w:val="0"/>
        <w:adjustRightInd w:val="0"/>
        <w:spacing w:line="360" w:lineRule="auto"/>
        <w:ind w:left="640" w:hanging="640"/>
        <w:rPr>
          <w:rFonts w:ascii="Calibri Light" w:hAnsi="Calibri Light" w:cs="Calibri Light"/>
          <w:noProof/>
          <w:szCs w:val="24"/>
        </w:rPr>
      </w:pPr>
      <w:r w:rsidRPr="00D144AC">
        <w:rPr>
          <w:rFonts w:ascii="Calibri Light" w:hAnsi="Calibri Light" w:cs="Calibri Light"/>
          <w:noProof/>
          <w:szCs w:val="24"/>
        </w:rPr>
        <w:t>21.</w:t>
      </w:r>
      <w:r w:rsidRPr="00D144AC">
        <w:rPr>
          <w:rFonts w:ascii="Calibri Light" w:hAnsi="Calibri Light" w:cs="Calibri Light"/>
          <w:noProof/>
          <w:szCs w:val="24"/>
        </w:rPr>
        <w:tab/>
        <w:t>Fonte, C. Avaliação de Rota de Produção de Eletrocombustíveis para Aviação Utilizando Eletricidade Solar Fotovoltaica e Captura de Dióxido de Carbono Diretamente do Ar. (Universidade Federal do Rio de Janeiro, 2021).</w:t>
      </w:r>
    </w:p>
    <w:p w14:paraId="42DCF39F" w14:textId="77777777" w:rsidR="00D144AC" w:rsidRPr="00D144AC" w:rsidRDefault="00D144AC" w:rsidP="00D144AC">
      <w:pPr>
        <w:widowControl w:val="0"/>
        <w:autoSpaceDE w:val="0"/>
        <w:autoSpaceDN w:val="0"/>
        <w:adjustRightInd w:val="0"/>
        <w:spacing w:line="360" w:lineRule="auto"/>
        <w:ind w:left="640" w:hanging="640"/>
        <w:rPr>
          <w:rFonts w:ascii="Calibri Light" w:hAnsi="Calibri Light" w:cs="Calibri Light"/>
          <w:noProof/>
          <w:szCs w:val="24"/>
        </w:rPr>
      </w:pPr>
      <w:r w:rsidRPr="00D144AC">
        <w:rPr>
          <w:rFonts w:ascii="Calibri Light" w:hAnsi="Calibri Light" w:cs="Calibri Light"/>
          <w:noProof/>
          <w:szCs w:val="24"/>
        </w:rPr>
        <w:t>22.</w:t>
      </w:r>
      <w:r w:rsidRPr="00D144AC">
        <w:rPr>
          <w:rFonts w:ascii="Calibri Light" w:hAnsi="Calibri Light" w:cs="Calibri Light"/>
          <w:noProof/>
          <w:szCs w:val="24"/>
        </w:rPr>
        <w:tab/>
        <w:t xml:space="preserve">Qiu, Y. </w:t>
      </w:r>
      <w:r w:rsidRPr="00D144AC">
        <w:rPr>
          <w:rFonts w:ascii="Calibri Light" w:hAnsi="Calibri Light" w:cs="Calibri Light"/>
          <w:i/>
          <w:iCs/>
          <w:noProof/>
          <w:szCs w:val="24"/>
        </w:rPr>
        <w:t>et al.</w:t>
      </w:r>
      <w:r w:rsidRPr="00D144AC">
        <w:rPr>
          <w:rFonts w:ascii="Calibri Light" w:hAnsi="Calibri Light" w:cs="Calibri Light"/>
          <w:noProof/>
          <w:szCs w:val="24"/>
        </w:rPr>
        <w:t xml:space="preserve"> Environmental trade-offs of direct air capture technologies in climate change mitigation toward 2100. </w:t>
      </w:r>
      <w:r w:rsidRPr="00D144AC">
        <w:rPr>
          <w:rFonts w:ascii="Calibri Light" w:hAnsi="Calibri Light" w:cs="Calibri Light"/>
          <w:i/>
          <w:iCs/>
          <w:noProof/>
          <w:szCs w:val="24"/>
        </w:rPr>
        <w:t>Nat. Commun.</w:t>
      </w:r>
      <w:r w:rsidRPr="00D144AC">
        <w:rPr>
          <w:rFonts w:ascii="Calibri Light" w:hAnsi="Calibri Light" w:cs="Calibri Light"/>
          <w:noProof/>
          <w:szCs w:val="24"/>
        </w:rPr>
        <w:t xml:space="preserve"> </w:t>
      </w:r>
      <w:r w:rsidRPr="00D144AC">
        <w:rPr>
          <w:rFonts w:ascii="Calibri Light" w:hAnsi="Calibri Light" w:cs="Calibri Light"/>
          <w:b/>
          <w:bCs/>
          <w:noProof/>
          <w:szCs w:val="24"/>
        </w:rPr>
        <w:t>13</w:t>
      </w:r>
      <w:r w:rsidRPr="00D144AC">
        <w:rPr>
          <w:rFonts w:ascii="Calibri Light" w:hAnsi="Calibri Light" w:cs="Calibri Light"/>
          <w:noProof/>
          <w:szCs w:val="24"/>
        </w:rPr>
        <w:t>, 3635 (2022).</w:t>
      </w:r>
    </w:p>
    <w:p w14:paraId="317AEF0F" w14:textId="77777777" w:rsidR="00D144AC" w:rsidRPr="00D144AC" w:rsidRDefault="00D144AC" w:rsidP="00D144AC">
      <w:pPr>
        <w:widowControl w:val="0"/>
        <w:autoSpaceDE w:val="0"/>
        <w:autoSpaceDN w:val="0"/>
        <w:adjustRightInd w:val="0"/>
        <w:spacing w:line="360" w:lineRule="auto"/>
        <w:ind w:left="640" w:hanging="640"/>
        <w:rPr>
          <w:rFonts w:ascii="Calibri Light" w:hAnsi="Calibri Light" w:cs="Calibri Light"/>
          <w:noProof/>
          <w:szCs w:val="24"/>
        </w:rPr>
      </w:pPr>
      <w:r w:rsidRPr="00D144AC">
        <w:rPr>
          <w:rFonts w:ascii="Calibri Light" w:hAnsi="Calibri Light" w:cs="Calibri Light"/>
          <w:noProof/>
          <w:szCs w:val="24"/>
        </w:rPr>
        <w:t>23.</w:t>
      </w:r>
      <w:r w:rsidRPr="00D144AC">
        <w:rPr>
          <w:rFonts w:ascii="Calibri Light" w:hAnsi="Calibri Light" w:cs="Calibri Light"/>
          <w:noProof/>
          <w:szCs w:val="24"/>
        </w:rPr>
        <w:tab/>
        <w:t xml:space="preserve">DNV GL. </w:t>
      </w:r>
      <w:r w:rsidRPr="00D144AC">
        <w:rPr>
          <w:rFonts w:ascii="Calibri Light" w:hAnsi="Calibri Light" w:cs="Calibri Light"/>
          <w:i/>
          <w:iCs/>
          <w:noProof/>
          <w:szCs w:val="24"/>
        </w:rPr>
        <w:t>Maritime Forecast to 2050</w:t>
      </w:r>
      <w:r w:rsidRPr="00D144AC">
        <w:rPr>
          <w:rFonts w:ascii="Calibri Light" w:hAnsi="Calibri Light" w:cs="Calibri Light"/>
          <w:noProof/>
          <w:szCs w:val="24"/>
        </w:rPr>
        <w:t>. (2022).</w:t>
      </w:r>
    </w:p>
    <w:p w14:paraId="5431D330" w14:textId="77777777" w:rsidR="00D144AC" w:rsidRPr="00D144AC" w:rsidRDefault="00D144AC" w:rsidP="00D144AC">
      <w:pPr>
        <w:widowControl w:val="0"/>
        <w:autoSpaceDE w:val="0"/>
        <w:autoSpaceDN w:val="0"/>
        <w:adjustRightInd w:val="0"/>
        <w:spacing w:line="360" w:lineRule="auto"/>
        <w:ind w:left="640" w:hanging="640"/>
        <w:rPr>
          <w:rFonts w:ascii="Calibri Light" w:hAnsi="Calibri Light" w:cs="Calibri Light"/>
          <w:noProof/>
          <w:szCs w:val="24"/>
        </w:rPr>
      </w:pPr>
      <w:r w:rsidRPr="00D144AC">
        <w:rPr>
          <w:rFonts w:ascii="Calibri Light" w:hAnsi="Calibri Light" w:cs="Calibri Light"/>
          <w:noProof/>
          <w:szCs w:val="24"/>
        </w:rPr>
        <w:t>24.</w:t>
      </w:r>
      <w:r w:rsidRPr="00D144AC">
        <w:rPr>
          <w:rFonts w:ascii="Calibri Light" w:hAnsi="Calibri Light" w:cs="Calibri Light"/>
          <w:noProof/>
          <w:szCs w:val="24"/>
        </w:rPr>
        <w:tab/>
        <w:t xml:space="preserve">Pavlenko, N., Comer, B., Zhou, Y., Clark, N. &amp; Rutherford, D. The climate implications of using LNG as a marine fuel. </w:t>
      </w:r>
      <w:r w:rsidRPr="00D144AC">
        <w:rPr>
          <w:rFonts w:ascii="Calibri Light" w:hAnsi="Calibri Light" w:cs="Calibri Light"/>
          <w:i/>
          <w:iCs/>
          <w:noProof/>
          <w:szCs w:val="24"/>
        </w:rPr>
        <w:t>Swedish Environ. Prot. Agency Stock. Sweden</w:t>
      </w:r>
      <w:r w:rsidRPr="00D144AC">
        <w:rPr>
          <w:rFonts w:ascii="Calibri Light" w:hAnsi="Calibri Light" w:cs="Calibri Light"/>
          <w:noProof/>
          <w:szCs w:val="24"/>
        </w:rPr>
        <w:t xml:space="preserve"> (2020).</w:t>
      </w:r>
    </w:p>
    <w:p w14:paraId="167FAFE2" w14:textId="77777777" w:rsidR="00D144AC" w:rsidRPr="00D144AC" w:rsidRDefault="00D144AC" w:rsidP="00D144AC">
      <w:pPr>
        <w:widowControl w:val="0"/>
        <w:autoSpaceDE w:val="0"/>
        <w:autoSpaceDN w:val="0"/>
        <w:adjustRightInd w:val="0"/>
        <w:spacing w:line="360" w:lineRule="auto"/>
        <w:ind w:left="640" w:hanging="640"/>
        <w:rPr>
          <w:rFonts w:ascii="Calibri Light" w:hAnsi="Calibri Light" w:cs="Calibri Light"/>
          <w:noProof/>
          <w:szCs w:val="24"/>
        </w:rPr>
      </w:pPr>
      <w:r w:rsidRPr="00D144AC">
        <w:rPr>
          <w:rFonts w:ascii="Calibri Light" w:hAnsi="Calibri Light" w:cs="Calibri Light"/>
          <w:noProof/>
          <w:szCs w:val="24"/>
        </w:rPr>
        <w:t>25.</w:t>
      </w:r>
      <w:r w:rsidRPr="00D144AC">
        <w:rPr>
          <w:rFonts w:ascii="Calibri Light" w:hAnsi="Calibri Light" w:cs="Calibri Light"/>
          <w:noProof/>
          <w:szCs w:val="24"/>
        </w:rPr>
        <w:tab/>
        <w:t>E3-Modelling. PRIMES model version 2018 - Detailed model description. www.e3.modelling.com (2018).</w:t>
      </w:r>
    </w:p>
    <w:p w14:paraId="3B8B239B" w14:textId="77777777" w:rsidR="00D144AC" w:rsidRPr="00D144AC" w:rsidRDefault="00D144AC" w:rsidP="00D144AC">
      <w:pPr>
        <w:widowControl w:val="0"/>
        <w:autoSpaceDE w:val="0"/>
        <w:autoSpaceDN w:val="0"/>
        <w:adjustRightInd w:val="0"/>
        <w:spacing w:line="360" w:lineRule="auto"/>
        <w:ind w:left="640" w:hanging="640"/>
        <w:rPr>
          <w:rFonts w:ascii="Calibri Light" w:hAnsi="Calibri Light" w:cs="Calibri Light"/>
          <w:noProof/>
          <w:szCs w:val="24"/>
        </w:rPr>
      </w:pPr>
      <w:r w:rsidRPr="00D144AC">
        <w:rPr>
          <w:rFonts w:ascii="Calibri Light" w:hAnsi="Calibri Light" w:cs="Calibri Light"/>
          <w:noProof/>
          <w:szCs w:val="24"/>
        </w:rPr>
        <w:lastRenderedPageBreak/>
        <w:t>26.</w:t>
      </w:r>
      <w:r w:rsidRPr="00D144AC">
        <w:rPr>
          <w:rFonts w:ascii="Calibri Light" w:hAnsi="Calibri Light" w:cs="Calibri Light"/>
          <w:noProof/>
          <w:szCs w:val="24"/>
        </w:rPr>
        <w:tab/>
        <w:t>European Commission. EU Reference Scenario 2020. europa.eu (2020).</w:t>
      </w:r>
    </w:p>
    <w:p w14:paraId="63E1B51E" w14:textId="77777777" w:rsidR="00D144AC" w:rsidRPr="00D144AC" w:rsidRDefault="00D144AC" w:rsidP="00D144AC">
      <w:pPr>
        <w:widowControl w:val="0"/>
        <w:autoSpaceDE w:val="0"/>
        <w:autoSpaceDN w:val="0"/>
        <w:adjustRightInd w:val="0"/>
        <w:spacing w:line="360" w:lineRule="auto"/>
        <w:ind w:left="640" w:hanging="640"/>
        <w:rPr>
          <w:rFonts w:ascii="Calibri Light" w:hAnsi="Calibri Light" w:cs="Calibri Light"/>
          <w:noProof/>
        </w:rPr>
      </w:pPr>
      <w:r w:rsidRPr="00D144AC">
        <w:rPr>
          <w:rFonts w:ascii="Calibri Light" w:hAnsi="Calibri Light" w:cs="Calibri Light"/>
          <w:noProof/>
          <w:szCs w:val="24"/>
        </w:rPr>
        <w:t>27.</w:t>
      </w:r>
      <w:r w:rsidRPr="00D144AC">
        <w:rPr>
          <w:rFonts w:ascii="Calibri Light" w:hAnsi="Calibri Light" w:cs="Calibri Light"/>
          <w:noProof/>
          <w:szCs w:val="24"/>
        </w:rPr>
        <w:tab/>
        <w:t>European Commission. The European Green Deal. (2019).</w:t>
      </w:r>
    </w:p>
    <w:p w14:paraId="4FD0267D" w14:textId="5DB2B4E2" w:rsidR="008A0114" w:rsidRPr="007C2055" w:rsidRDefault="008A0114" w:rsidP="007C2055">
      <w:pPr>
        <w:pStyle w:val="HollandsSpoor"/>
        <w:numPr>
          <w:ilvl w:val="0"/>
          <w:numId w:val="0"/>
        </w:numPr>
        <w:spacing w:line="360" w:lineRule="auto"/>
        <w:ind w:left="360" w:hanging="360"/>
        <w:jc w:val="both"/>
      </w:pPr>
      <w:r w:rsidRPr="008A0114">
        <w:rPr>
          <w:sz w:val="22"/>
        </w:rPr>
        <w:fldChar w:fldCharType="end"/>
      </w:r>
    </w:p>
    <w:sectPr w:rsidR="008A0114" w:rsidRPr="007C20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A9223" w14:textId="77777777" w:rsidR="00E8601A" w:rsidRDefault="00E8601A" w:rsidP="008B4F3E">
      <w:pPr>
        <w:spacing w:after="0" w:line="240" w:lineRule="auto"/>
      </w:pPr>
      <w:r>
        <w:separator/>
      </w:r>
    </w:p>
  </w:endnote>
  <w:endnote w:type="continuationSeparator" w:id="0">
    <w:p w14:paraId="6B27D6B1" w14:textId="77777777" w:rsidR="00E8601A" w:rsidRDefault="00E8601A" w:rsidP="008B4F3E">
      <w:pPr>
        <w:spacing w:after="0" w:line="240" w:lineRule="auto"/>
      </w:pPr>
      <w:r>
        <w:continuationSeparator/>
      </w:r>
    </w:p>
  </w:endnote>
  <w:endnote w:type="continuationNotice" w:id="1">
    <w:p w14:paraId="085200E5" w14:textId="77777777" w:rsidR="00E8601A" w:rsidRDefault="00E860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Kigelia">
    <w:charset w:val="00"/>
    <w:family w:val="swiss"/>
    <w:pitch w:val="variable"/>
    <w:sig w:usb0="A01526FF" w:usb1="C200004B" w:usb2="000108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A64A1" w14:textId="77777777" w:rsidR="00E8601A" w:rsidRDefault="00E8601A" w:rsidP="008B4F3E">
      <w:pPr>
        <w:spacing w:after="0" w:line="240" w:lineRule="auto"/>
      </w:pPr>
      <w:r>
        <w:separator/>
      </w:r>
    </w:p>
  </w:footnote>
  <w:footnote w:type="continuationSeparator" w:id="0">
    <w:p w14:paraId="62F529E6" w14:textId="77777777" w:rsidR="00E8601A" w:rsidRDefault="00E8601A" w:rsidP="008B4F3E">
      <w:pPr>
        <w:spacing w:after="0" w:line="240" w:lineRule="auto"/>
      </w:pPr>
      <w:r>
        <w:continuationSeparator/>
      </w:r>
    </w:p>
  </w:footnote>
  <w:footnote w:type="continuationNotice" w:id="1">
    <w:p w14:paraId="4BC97EB5" w14:textId="77777777" w:rsidR="00E8601A" w:rsidRDefault="00E8601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E658F"/>
    <w:multiLevelType w:val="multilevel"/>
    <w:tmpl w:val="E45059D8"/>
    <w:lvl w:ilvl="0">
      <w:start w:val="1"/>
      <w:numFmt w:val="decimal"/>
      <w:pStyle w:val="HollandsSpoor"/>
      <w:lvlText w:val="%1."/>
      <w:lvlJc w:val="left"/>
      <w:pPr>
        <w:ind w:left="360" w:hanging="360"/>
      </w:pPr>
    </w:lvl>
    <w:lvl w:ilvl="1">
      <w:start w:val="1"/>
      <w:numFmt w:val="decimal"/>
      <w:pStyle w:val="HollandsSpoor2"/>
      <w:lvlText w:val="%1.%2."/>
      <w:lvlJc w:val="left"/>
      <w:pPr>
        <w:ind w:left="792" w:hanging="432"/>
      </w:pPr>
      <w:rPr>
        <w:rFonts w:hint="default"/>
      </w:rPr>
    </w:lvl>
    <w:lvl w:ilvl="2">
      <w:start w:val="1"/>
      <w:numFmt w:val="decimal"/>
      <w:pStyle w:val="HollandsSpoo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0790ACF"/>
    <w:multiLevelType w:val="hybridMultilevel"/>
    <w:tmpl w:val="33AA7E30"/>
    <w:lvl w:ilvl="0" w:tplc="6262AC02">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6522AF"/>
    <w:multiLevelType w:val="hybridMultilevel"/>
    <w:tmpl w:val="918414B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33624E4"/>
    <w:multiLevelType w:val="hybridMultilevel"/>
    <w:tmpl w:val="D30641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443652890">
    <w:abstractNumId w:val="0"/>
  </w:num>
  <w:num w:numId="2" w16cid:durableId="46607031">
    <w:abstractNumId w:val="1"/>
  </w:num>
  <w:num w:numId="3" w16cid:durableId="653684324">
    <w:abstractNumId w:val="2"/>
  </w:num>
  <w:num w:numId="4" w16cid:durableId="283729271">
    <w:abstractNumId w:val="3"/>
  </w:num>
  <w:num w:numId="5" w16cid:durableId="14817287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7534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733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3442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93675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fr-FR" w:vendorID="64" w:dllVersion="0"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activeWritingStyle w:appName="MSWord" w:lang="fr-FR" w:vendorID="64" w:dllVersion="6" w:nlCheck="1" w:checkStyle="1"/>
  <w:activeWritingStyle w:appName="MSWord" w:lang="nl-NL" w:vendorID="64" w:dllVersion="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MwtzQzNrU0tjQysbBQ0lEKTi0uzszPAykwrAUAM+GKkywAAAA="/>
  </w:docVars>
  <w:rsids>
    <w:rsidRoot w:val="00032FD5"/>
    <w:rsid w:val="00000063"/>
    <w:rsid w:val="00000580"/>
    <w:rsid w:val="000007D8"/>
    <w:rsid w:val="00000D79"/>
    <w:rsid w:val="00000DDE"/>
    <w:rsid w:val="00000FE0"/>
    <w:rsid w:val="00001DFA"/>
    <w:rsid w:val="000024C1"/>
    <w:rsid w:val="00002A4A"/>
    <w:rsid w:val="000032FA"/>
    <w:rsid w:val="00003436"/>
    <w:rsid w:val="00003EE0"/>
    <w:rsid w:val="00004309"/>
    <w:rsid w:val="00005381"/>
    <w:rsid w:val="000054EC"/>
    <w:rsid w:val="0000568E"/>
    <w:rsid w:val="0000579B"/>
    <w:rsid w:val="0000619D"/>
    <w:rsid w:val="00006686"/>
    <w:rsid w:val="00006955"/>
    <w:rsid w:val="00006AD7"/>
    <w:rsid w:val="00006D1A"/>
    <w:rsid w:val="00006DE5"/>
    <w:rsid w:val="00007848"/>
    <w:rsid w:val="00007BED"/>
    <w:rsid w:val="00010114"/>
    <w:rsid w:val="00010148"/>
    <w:rsid w:val="00010207"/>
    <w:rsid w:val="0001021D"/>
    <w:rsid w:val="00010488"/>
    <w:rsid w:val="00010C52"/>
    <w:rsid w:val="00011DCC"/>
    <w:rsid w:val="0001276E"/>
    <w:rsid w:val="000133BB"/>
    <w:rsid w:val="00014993"/>
    <w:rsid w:val="00014BA9"/>
    <w:rsid w:val="00014DF1"/>
    <w:rsid w:val="00015021"/>
    <w:rsid w:val="000154A0"/>
    <w:rsid w:val="00015E35"/>
    <w:rsid w:val="000176DF"/>
    <w:rsid w:val="00017CCC"/>
    <w:rsid w:val="000200CE"/>
    <w:rsid w:val="00020174"/>
    <w:rsid w:val="00020BF4"/>
    <w:rsid w:val="00020E38"/>
    <w:rsid w:val="0002160C"/>
    <w:rsid w:val="000219C2"/>
    <w:rsid w:val="0002218D"/>
    <w:rsid w:val="00022390"/>
    <w:rsid w:val="00022F39"/>
    <w:rsid w:val="00023AA9"/>
    <w:rsid w:val="000246B2"/>
    <w:rsid w:val="00024879"/>
    <w:rsid w:val="00025B26"/>
    <w:rsid w:val="00025BE2"/>
    <w:rsid w:val="0002650D"/>
    <w:rsid w:val="00026599"/>
    <w:rsid w:val="00026849"/>
    <w:rsid w:val="00027145"/>
    <w:rsid w:val="000276CA"/>
    <w:rsid w:val="00027FEC"/>
    <w:rsid w:val="00030C63"/>
    <w:rsid w:val="00030FF0"/>
    <w:rsid w:val="0003127E"/>
    <w:rsid w:val="000313C6"/>
    <w:rsid w:val="000315A7"/>
    <w:rsid w:val="000325C3"/>
    <w:rsid w:val="00032973"/>
    <w:rsid w:val="00032E93"/>
    <w:rsid w:val="00032FD5"/>
    <w:rsid w:val="0003402E"/>
    <w:rsid w:val="000341B3"/>
    <w:rsid w:val="00034589"/>
    <w:rsid w:val="00034CC1"/>
    <w:rsid w:val="00035B71"/>
    <w:rsid w:val="00036436"/>
    <w:rsid w:val="00036548"/>
    <w:rsid w:val="0003657A"/>
    <w:rsid w:val="00036606"/>
    <w:rsid w:val="00036B03"/>
    <w:rsid w:val="00036E9E"/>
    <w:rsid w:val="00037277"/>
    <w:rsid w:val="00037BB0"/>
    <w:rsid w:val="0004004C"/>
    <w:rsid w:val="00040B62"/>
    <w:rsid w:val="000419BA"/>
    <w:rsid w:val="00041FC6"/>
    <w:rsid w:val="00042536"/>
    <w:rsid w:val="000429FA"/>
    <w:rsid w:val="00042E1D"/>
    <w:rsid w:val="00042F96"/>
    <w:rsid w:val="0004345C"/>
    <w:rsid w:val="0004367C"/>
    <w:rsid w:val="00043908"/>
    <w:rsid w:val="00044E51"/>
    <w:rsid w:val="00045584"/>
    <w:rsid w:val="000455F2"/>
    <w:rsid w:val="00046471"/>
    <w:rsid w:val="000466D1"/>
    <w:rsid w:val="00046BFC"/>
    <w:rsid w:val="00046E38"/>
    <w:rsid w:val="00047257"/>
    <w:rsid w:val="00047305"/>
    <w:rsid w:val="00047561"/>
    <w:rsid w:val="00047790"/>
    <w:rsid w:val="000479B1"/>
    <w:rsid w:val="00047C69"/>
    <w:rsid w:val="00047FAE"/>
    <w:rsid w:val="00050D6B"/>
    <w:rsid w:val="000519C3"/>
    <w:rsid w:val="00051A48"/>
    <w:rsid w:val="0005222D"/>
    <w:rsid w:val="000524AA"/>
    <w:rsid w:val="00052F4A"/>
    <w:rsid w:val="0005371D"/>
    <w:rsid w:val="00053A58"/>
    <w:rsid w:val="00053C04"/>
    <w:rsid w:val="000542B1"/>
    <w:rsid w:val="000546B1"/>
    <w:rsid w:val="00054B91"/>
    <w:rsid w:val="00054BFF"/>
    <w:rsid w:val="00054D2F"/>
    <w:rsid w:val="00054FB1"/>
    <w:rsid w:val="000555C4"/>
    <w:rsid w:val="00055C06"/>
    <w:rsid w:val="00055FEA"/>
    <w:rsid w:val="000563A8"/>
    <w:rsid w:val="000566A9"/>
    <w:rsid w:val="00056ADD"/>
    <w:rsid w:val="00057228"/>
    <w:rsid w:val="00057ABD"/>
    <w:rsid w:val="00057D48"/>
    <w:rsid w:val="00060227"/>
    <w:rsid w:val="000609FC"/>
    <w:rsid w:val="00060BD0"/>
    <w:rsid w:val="00060FBF"/>
    <w:rsid w:val="000614A9"/>
    <w:rsid w:val="000630DD"/>
    <w:rsid w:val="00063560"/>
    <w:rsid w:val="00063EE5"/>
    <w:rsid w:val="00063F2C"/>
    <w:rsid w:val="00065409"/>
    <w:rsid w:val="00065413"/>
    <w:rsid w:val="00065446"/>
    <w:rsid w:val="000658E7"/>
    <w:rsid w:val="00066012"/>
    <w:rsid w:val="00066D02"/>
    <w:rsid w:val="000670AC"/>
    <w:rsid w:val="00067341"/>
    <w:rsid w:val="00067791"/>
    <w:rsid w:val="00067AB1"/>
    <w:rsid w:val="000704D3"/>
    <w:rsid w:val="00070625"/>
    <w:rsid w:val="00070746"/>
    <w:rsid w:val="000708A7"/>
    <w:rsid w:val="000716AD"/>
    <w:rsid w:val="00071D4C"/>
    <w:rsid w:val="00072191"/>
    <w:rsid w:val="00072308"/>
    <w:rsid w:val="0007270B"/>
    <w:rsid w:val="00072A47"/>
    <w:rsid w:val="00073011"/>
    <w:rsid w:val="0007332A"/>
    <w:rsid w:val="00073431"/>
    <w:rsid w:val="000737AF"/>
    <w:rsid w:val="00073FC0"/>
    <w:rsid w:val="000749C9"/>
    <w:rsid w:val="00074A6F"/>
    <w:rsid w:val="00074B81"/>
    <w:rsid w:val="00075AA9"/>
    <w:rsid w:val="00075E31"/>
    <w:rsid w:val="00075F74"/>
    <w:rsid w:val="000760E5"/>
    <w:rsid w:val="00076654"/>
    <w:rsid w:val="000766A2"/>
    <w:rsid w:val="000768C6"/>
    <w:rsid w:val="00076F3B"/>
    <w:rsid w:val="00077087"/>
    <w:rsid w:val="00077129"/>
    <w:rsid w:val="000772F4"/>
    <w:rsid w:val="00077428"/>
    <w:rsid w:val="00077465"/>
    <w:rsid w:val="00077D71"/>
    <w:rsid w:val="00080A56"/>
    <w:rsid w:val="0008136F"/>
    <w:rsid w:val="000817FD"/>
    <w:rsid w:val="0008194E"/>
    <w:rsid w:val="000823AD"/>
    <w:rsid w:val="000825B5"/>
    <w:rsid w:val="00082612"/>
    <w:rsid w:val="000829CD"/>
    <w:rsid w:val="0008380E"/>
    <w:rsid w:val="000840AC"/>
    <w:rsid w:val="00084638"/>
    <w:rsid w:val="00085155"/>
    <w:rsid w:val="000855DE"/>
    <w:rsid w:val="00086BCA"/>
    <w:rsid w:val="000871CC"/>
    <w:rsid w:val="0008724B"/>
    <w:rsid w:val="00087259"/>
    <w:rsid w:val="00087DF8"/>
    <w:rsid w:val="00087EDA"/>
    <w:rsid w:val="00090EC6"/>
    <w:rsid w:val="00091497"/>
    <w:rsid w:val="00091CD5"/>
    <w:rsid w:val="00092991"/>
    <w:rsid w:val="00092CB6"/>
    <w:rsid w:val="00093434"/>
    <w:rsid w:val="000941A2"/>
    <w:rsid w:val="00094B35"/>
    <w:rsid w:val="00095132"/>
    <w:rsid w:val="00095179"/>
    <w:rsid w:val="00096162"/>
    <w:rsid w:val="000963F4"/>
    <w:rsid w:val="0009656F"/>
    <w:rsid w:val="000970F5"/>
    <w:rsid w:val="000976FC"/>
    <w:rsid w:val="000A0A7A"/>
    <w:rsid w:val="000A0CAF"/>
    <w:rsid w:val="000A147E"/>
    <w:rsid w:val="000A1BA3"/>
    <w:rsid w:val="000A1BB8"/>
    <w:rsid w:val="000A20D9"/>
    <w:rsid w:val="000A2538"/>
    <w:rsid w:val="000A298F"/>
    <w:rsid w:val="000A2D79"/>
    <w:rsid w:val="000A33CF"/>
    <w:rsid w:val="000A3838"/>
    <w:rsid w:val="000A39A8"/>
    <w:rsid w:val="000A3FDA"/>
    <w:rsid w:val="000A4224"/>
    <w:rsid w:val="000A422E"/>
    <w:rsid w:val="000A44B8"/>
    <w:rsid w:val="000A4914"/>
    <w:rsid w:val="000A4DBB"/>
    <w:rsid w:val="000A572D"/>
    <w:rsid w:val="000A5A1B"/>
    <w:rsid w:val="000A5CC0"/>
    <w:rsid w:val="000A74CE"/>
    <w:rsid w:val="000A79D1"/>
    <w:rsid w:val="000B04EF"/>
    <w:rsid w:val="000B05B6"/>
    <w:rsid w:val="000B0812"/>
    <w:rsid w:val="000B2500"/>
    <w:rsid w:val="000B2C7F"/>
    <w:rsid w:val="000B3F97"/>
    <w:rsid w:val="000B42AD"/>
    <w:rsid w:val="000B4426"/>
    <w:rsid w:val="000B45AA"/>
    <w:rsid w:val="000B4843"/>
    <w:rsid w:val="000B4E26"/>
    <w:rsid w:val="000B51DB"/>
    <w:rsid w:val="000B5D4A"/>
    <w:rsid w:val="000B5EA3"/>
    <w:rsid w:val="000B6327"/>
    <w:rsid w:val="000B644D"/>
    <w:rsid w:val="000B6B0C"/>
    <w:rsid w:val="000C0AE9"/>
    <w:rsid w:val="000C1FC2"/>
    <w:rsid w:val="000C20EC"/>
    <w:rsid w:val="000C22B4"/>
    <w:rsid w:val="000C2B36"/>
    <w:rsid w:val="000C3A76"/>
    <w:rsid w:val="000C46BB"/>
    <w:rsid w:val="000C63FC"/>
    <w:rsid w:val="000C660D"/>
    <w:rsid w:val="000C681B"/>
    <w:rsid w:val="000C686D"/>
    <w:rsid w:val="000C692E"/>
    <w:rsid w:val="000C704D"/>
    <w:rsid w:val="000C762A"/>
    <w:rsid w:val="000C7E08"/>
    <w:rsid w:val="000D2E92"/>
    <w:rsid w:val="000D32DD"/>
    <w:rsid w:val="000D37CF"/>
    <w:rsid w:val="000D3EF6"/>
    <w:rsid w:val="000D3F06"/>
    <w:rsid w:val="000D418E"/>
    <w:rsid w:val="000D45FA"/>
    <w:rsid w:val="000D460D"/>
    <w:rsid w:val="000D4863"/>
    <w:rsid w:val="000D49C3"/>
    <w:rsid w:val="000D4DD1"/>
    <w:rsid w:val="000D5202"/>
    <w:rsid w:val="000D661F"/>
    <w:rsid w:val="000D6BCB"/>
    <w:rsid w:val="000D7B09"/>
    <w:rsid w:val="000D7E16"/>
    <w:rsid w:val="000E01B4"/>
    <w:rsid w:val="000E087E"/>
    <w:rsid w:val="000E09DC"/>
    <w:rsid w:val="000E09F2"/>
    <w:rsid w:val="000E0AAC"/>
    <w:rsid w:val="000E117F"/>
    <w:rsid w:val="000E1FDE"/>
    <w:rsid w:val="000E22B2"/>
    <w:rsid w:val="000E2C46"/>
    <w:rsid w:val="000E2EA9"/>
    <w:rsid w:val="000E31B5"/>
    <w:rsid w:val="000E4499"/>
    <w:rsid w:val="000E5B1C"/>
    <w:rsid w:val="000E5BA3"/>
    <w:rsid w:val="000E5E07"/>
    <w:rsid w:val="000E6487"/>
    <w:rsid w:val="000E69FB"/>
    <w:rsid w:val="000E6D3F"/>
    <w:rsid w:val="000E6E01"/>
    <w:rsid w:val="000E7627"/>
    <w:rsid w:val="000E775F"/>
    <w:rsid w:val="000E79D1"/>
    <w:rsid w:val="000E7B79"/>
    <w:rsid w:val="000F03C3"/>
    <w:rsid w:val="000F0B39"/>
    <w:rsid w:val="000F14D0"/>
    <w:rsid w:val="000F173E"/>
    <w:rsid w:val="000F2A91"/>
    <w:rsid w:val="000F4E46"/>
    <w:rsid w:val="000F54EA"/>
    <w:rsid w:val="000F577A"/>
    <w:rsid w:val="000F7701"/>
    <w:rsid w:val="000F7B59"/>
    <w:rsid w:val="000F7F54"/>
    <w:rsid w:val="000F7F7A"/>
    <w:rsid w:val="0010028D"/>
    <w:rsid w:val="00100418"/>
    <w:rsid w:val="0010082A"/>
    <w:rsid w:val="001009C0"/>
    <w:rsid w:val="00101198"/>
    <w:rsid w:val="001012E3"/>
    <w:rsid w:val="0010269A"/>
    <w:rsid w:val="001029EA"/>
    <w:rsid w:val="00102B10"/>
    <w:rsid w:val="001036F9"/>
    <w:rsid w:val="001045D2"/>
    <w:rsid w:val="00104B87"/>
    <w:rsid w:val="00104F1F"/>
    <w:rsid w:val="00104F2F"/>
    <w:rsid w:val="001051C6"/>
    <w:rsid w:val="001061AF"/>
    <w:rsid w:val="001064B0"/>
    <w:rsid w:val="0010671C"/>
    <w:rsid w:val="00107B43"/>
    <w:rsid w:val="00110204"/>
    <w:rsid w:val="00110866"/>
    <w:rsid w:val="00111E39"/>
    <w:rsid w:val="00112306"/>
    <w:rsid w:val="00112D48"/>
    <w:rsid w:val="0011408D"/>
    <w:rsid w:val="00114A3F"/>
    <w:rsid w:val="00114B64"/>
    <w:rsid w:val="0011569E"/>
    <w:rsid w:val="00115869"/>
    <w:rsid w:val="00115E46"/>
    <w:rsid w:val="00115F53"/>
    <w:rsid w:val="0011602B"/>
    <w:rsid w:val="001160A5"/>
    <w:rsid w:val="0011679B"/>
    <w:rsid w:val="00117281"/>
    <w:rsid w:val="001206FB"/>
    <w:rsid w:val="00120AAD"/>
    <w:rsid w:val="00120DE1"/>
    <w:rsid w:val="001214EF"/>
    <w:rsid w:val="0012302C"/>
    <w:rsid w:val="001230A7"/>
    <w:rsid w:val="00123391"/>
    <w:rsid w:val="00123FC9"/>
    <w:rsid w:val="00123FD7"/>
    <w:rsid w:val="001250EA"/>
    <w:rsid w:val="00125E7B"/>
    <w:rsid w:val="00126874"/>
    <w:rsid w:val="00126CE4"/>
    <w:rsid w:val="001277C9"/>
    <w:rsid w:val="00130340"/>
    <w:rsid w:val="0013046D"/>
    <w:rsid w:val="00130D30"/>
    <w:rsid w:val="00130D97"/>
    <w:rsid w:val="0013121B"/>
    <w:rsid w:val="00131589"/>
    <w:rsid w:val="00131B67"/>
    <w:rsid w:val="0013298C"/>
    <w:rsid w:val="0013305A"/>
    <w:rsid w:val="00133742"/>
    <w:rsid w:val="00133D20"/>
    <w:rsid w:val="001342C0"/>
    <w:rsid w:val="00134AC8"/>
    <w:rsid w:val="0013574A"/>
    <w:rsid w:val="00135761"/>
    <w:rsid w:val="00135BFC"/>
    <w:rsid w:val="00135D01"/>
    <w:rsid w:val="001360C0"/>
    <w:rsid w:val="001362E4"/>
    <w:rsid w:val="001368AC"/>
    <w:rsid w:val="00136B23"/>
    <w:rsid w:val="0013760E"/>
    <w:rsid w:val="001378D5"/>
    <w:rsid w:val="00137C06"/>
    <w:rsid w:val="00137D29"/>
    <w:rsid w:val="00140090"/>
    <w:rsid w:val="001404CC"/>
    <w:rsid w:val="00140719"/>
    <w:rsid w:val="00141354"/>
    <w:rsid w:val="00141645"/>
    <w:rsid w:val="00141BF6"/>
    <w:rsid w:val="00142168"/>
    <w:rsid w:val="0014226A"/>
    <w:rsid w:val="00142B08"/>
    <w:rsid w:val="00142EB1"/>
    <w:rsid w:val="001432C5"/>
    <w:rsid w:val="0014350D"/>
    <w:rsid w:val="001438CC"/>
    <w:rsid w:val="00143D83"/>
    <w:rsid w:val="00144782"/>
    <w:rsid w:val="001449AA"/>
    <w:rsid w:val="00144F07"/>
    <w:rsid w:val="0014500C"/>
    <w:rsid w:val="00145035"/>
    <w:rsid w:val="001453DB"/>
    <w:rsid w:val="00146693"/>
    <w:rsid w:val="001475C0"/>
    <w:rsid w:val="00150DCB"/>
    <w:rsid w:val="00151193"/>
    <w:rsid w:val="001514F8"/>
    <w:rsid w:val="001521DE"/>
    <w:rsid w:val="001522BC"/>
    <w:rsid w:val="00152925"/>
    <w:rsid w:val="00153725"/>
    <w:rsid w:val="00154331"/>
    <w:rsid w:val="00154EC0"/>
    <w:rsid w:val="00154F79"/>
    <w:rsid w:val="001551F3"/>
    <w:rsid w:val="00155496"/>
    <w:rsid w:val="00155A58"/>
    <w:rsid w:val="001563C8"/>
    <w:rsid w:val="00156797"/>
    <w:rsid w:val="00157CCB"/>
    <w:rsid w:val="001601E8"/>
    <w:rsid w:val="00160200"/>
    <w:rsid w:val="0016024F"/>
    <w:rsid w:val="00160340"/>
    <w:rsid w:val="00160538"/>
    <w:rsid w:val="00161194"/>
    <w:rsid w:val="0016157D"/>
    <w:rsid w:val="001615BB"/>
    <w:rsid w:val="0016188B"/>
    <w:rsid w:val="00161AD3"/>
    <w:rsid w:val="001624A1"/>
    <w:rsid w:val="00163A42"/>
    <w:rsid w:val="00163BAE"/>
    <w:rsid w:val="00164A1B"/>
    <w:rsid w:val="00164E7F"/>
    <w:rsid w:val="00165377"/>
    <w:rsid w:val="0016578D"/>
    <w:rsid w:val="00165929"/>
    <w:rsid w:val="00165953"/>
    <w:rsid w:val="00166340"/>
    <w:rsid w:val="00166505"/>
    <w:rsid w:val="001668CE"/>
    <w:rsid w:val="00166C53"/>
    <w:rsid w:val="00166CB7"/>
    <w:rsid w:val="00166F0D"/>
    <w:rsid w:val="00166FB4"/>
    <w:rsid w:val="00167500"/>
    <w:rsid w:val="00167539"/>
    <w:rsid w:val="0016780E"/>
    <w:rsid w:val="00167A7B"/>
    <w:rsid w:val="00170916"/>
    <w:rsid w:val="00170B55"/>
    <w:rsid w:val="00170B63"/>
    <w:rsid w:val="001710AE"/>
    <w:rsid w:val="00171897"/>
    <w:rsid w:val="00173A0D"/>
    <w:rsid w:val="00174336"/>
    <w:rsid w:val="001744F6"/>
    <w:rsid w:val="00174D17"/>
    <w:rsid w:val="00175292"/>
    <w:rsid w:val="001757FE"/>
    <w:rsid w:val="00175993"/>
    <w:rsid w:val="001762DF"/>
    <w:rsid w:val="00176AC6"/>
    <w:rsid w:val="00176DC8"/>
    <w:rsid w:val="0017720D"/>
    <w:rsid w:val="001773D7"/>
    <w:rsid w:val="00177910"/>
    <w:rsid w:val="00177FE7"/>
    <w:rsid w:val="001802A1"/>
    <w:rsid w:val="00180FE3"/>
    <w:rsid w:val="00181B89"/>
    <w:rsid w:val="00181E37"/>
    <w:rsid w:val="001823BA"/>
    <w:rsid w:val="0018247D"/>
    <w:rsid w:val="00182C0B"/>
    <w:rsid w:val="001830A4"/>
    <w:rsid w:val="00183EA8"/>
    <w:rsid w:val="00183F49"/>
    <w:rsid w:val="00183FE1"/>
    <w:rsid w:val="00184355"/>
    <w:rsid w:val="00184C88"/>
    <w:rsid w:val="001871F1"/>
    <w:rsid w:val="00187A93"/>
    <w:rsid w:val="00187AB8"/>
    <w:rsid w:val="00187C6A"/>
    <w:rsid w:val="00190003"/>
    <w:rsid w:val="00190FC1"/>
    <w:rsid w:val="00191273"/>
    <w:rsid w:val="00191419"/>
    <w:rsid w:val="0019179A"/>
    <w:rsid w:val="00192B8D"/>
    <w:rsid w:val="00193EF4"/>
    <w:rsid w:val="0019406E"/>
    <w:rsid w:val="00194657"/>
    <w:rsid w:val="00194A24"/>
    <w:rsid w:val="00194CCF"/>
    <w:rsid w:val="001952FD"/>
    <w:rsid w:val="00195469"/>
    <w:rsid w:val="0019546E"/>
    <w:rsid w:val="001954E9"/>
    <w:rsid w:val="0019573C"/>
    <w:rsid w:val="00195A72"/>
    <w:rsid w:val="00195B97"/>
    <w:rsid w:val="001964EC"/>
    <w:rsid w:val="0019710F"/>
    <w:rsid w:val="0019714A"/>
    <w:rsid w:val="001973CA"/>
    <w:rsid w:val="00197D91"/>
    <w:rsid w:val="001A0053"/>
    <w:rsid w:val="001A03F3"/>
    <w:rsid w:val="001A04A0"/>
    <w:rsid w:val="001A0556"/>
    <w:rsid w:val="001A0805"/>
    <w:rsid w:val="001A1360"/>
    <w:rsid w:val="001A16BE"/>
    <w:rsid w:val="001A1D51"/>
    <w:rsid w:val="001A1D67"/>
    <w:rsid w:val="001A1ECF"/>
    <w:rsid w:val="001A252D"/>
    <w:rsid w:val="001A3F62"/>
    <w:rsid w:val="001A438B"/>
    <w:rsid w:val="001A51E9"/>
    <w:rsid w:val="001A5441"/>
    <w:rsid w:val="001A55F6"/>
    <w:rsid w:val="001A58E5"/>
    <w:rsid w:val="001A5AF1"/>
    <w:rsid w:val="001A5D3D"/>
    <w:rsid w:val="001A6073"/>
    <w:rsid w:val="001A695C"/>
    <w:rsid w:val="001A6B76"/>
    <w:rsid w:val="001A6F0B"/>
    <w:rsid w:val="001A74ED"/>
    <w:rsid w:val="001A796B"/>
    <w:rsid w:val="001B014F"/>
    <w:rsid w:val="001B0607"/>
    <w:rsid w:val="001B18A6"/>
    <w:rsid w:val="001B21A8"/>
    <w:rsid w:val="001B27F1"/>
    <w:rsid w:val="001B2C1E"/>
    <w:rsid w:val="001B4292"/>
    <w:rsid w:val="001B5D04"/>
    <w:rsid w:val="001B5EBB"/>
    <w:rsid w:val="001B5F7D"/>
    <w:rsid w:val="001B6ECB"/>
    <w:rsid w:val="001B717E"/>
    <w:rsid w:val="001B78F2"/>
    <w:rsid w:val="001B796E"/>
    <w:rsid w:val="001C0014"/>
    <w:rsid w:val="001C018D"/>
    <w:rsid w:val="001C1381"/>
    <w:rsid w:val="001C2D79"/>
    <w:rsid w:val="001C431F"/>
    <w:rsid w:val="001C4666"/>
    <w:rsid w:val="001C48C3"/>
    <w:rsid w:val="001C57D5"/>
    <w:rsid w:val="001C58FC"/>
    <w:rsid w:val="001C590F"/>
    <w:rsid w:val="001C72C5"/>
    <w:rsid w:val="001C74B7"/>
    <w:rsid w:val="001C7904"/>
    <w:rsid w:val="001C7EFC"/>
    <w:rsid w:val="001D0000"/>
    <w:rsid w:val="001D05B8"/>
    <w:rsid w:val="001D066F"/>
    <w:rsid w:val="001D0AD2"/>
    <w:rsid w:val="001D1373"/>
    <w:rsid w:val="001D33C0"/>
    <w:rsid w:val="001D3837"/>
    <w:rsid w:val="001D3ABE"/>
    <w:rsid w:val="001D493E"/>
    <w:rsid w:val="001D50D5"/>
    <w:rsid w:val="001D5B37"/>
    <w:rsid w:val="001D5C13"/>
    <w:rsid w:val="001D6130"/>
    <w:rsid w:val="001D78A7"/>
    <w:rsid w:val="001E02B2"/>
    <w:rsid w:val="001E03F4"/>
    <w:rsid w:val="001E0473"/>
    <w:rsid w:val="001E0D46"/>
    <w:rsid w:val="001E103F"/>
    <w:rsid w:val="001E163B"/>
    <w:rsid w:val="001E2189"/>
    <w:rsid w:val="001E32A0"/>
    <w:rsid w:val="001E382D"/>
    <w:rsid w:val="001E3CEA"/>
    <w:rsid w:val="001E4247"/>
    <w:rsid w:val="001E43E4"/>
    <w:rsid w:val="001E449F"/>
    <w:rsid w:val="001E4E49"/>
    <w:rsid w:val="001E4F86"/>
    <w:rsid w:val="001E516A"/>
    <w:rsid w:val="001E5614"/>
    <w:rsid w:val="001E5CDD"/>
    <w:rsid w:val="001E631C"/>
    <w:rsid w:val="001E672D"/>
    <w:rsid w:val="001E6F0A"/>
    <w:rsid w:val="001E70F3"/>
    <w:rsid w:val="001E712C"/>
    <w:rsid w:val="001E744F"/>
    <w:rsid w:val="001E77B2"/>
    <w:rsid w:val="001F0351"/>
    <w:rsid w:val="001F0FA5"/>
    <w:rsid w:val="001F146D"/>
    <w:rsid w:val="001F1C4B"/>
    <w:rsid w:val="001F1F66"/>
    <w:rsid w:val="001F24AC"/>
    <w:rsid w:val="001F2A3C"/>
    <w:rsid w:val="001F31CD"/>
    <w:rsid w:val="001F450B"/>
    <w:rsid w:val="001F565A"/>
    <w:rsid w:val="001F698D"/>
    <w:rsid w:val="001F6D88"/>
    <w:rsid w:val="001F7247"/>
    <w:rsid w:val="001F7515"/>
    <w:rsid w:val="001F7707"/>
    <w:rsid w:val="001F7D7D"/>
    <w:rsid w:val="002001EF"/>
    <w:rsid w:val="00200AFA"/>
    <w:rsid w:val="00200CCA"/>
    <w:rsid w:val="00201230"/>
    <w:rsid w:val="00201C5B"/>
    <w:rsid w:val="00202150"/>
    <w:rsid w:val="00202F36"/>
    <w:rsid w:val="00202FAC"/>
    <w:rsid w:val="0020324C"/>
    <w:rsid w:val="0020333D"/>
    <w:rsid w:val="002035DF"/>
    <w:rsid w:val="00203A37"/>
    <w:rsid w:val="00204375"/>
    <w:rsid w:val="0020486B"/>
    <w:rsid w:val="00205004"/>
    <w:rsid w:val="00205FF7"/>
    <w:rsid w:val="002065B4"/>
    <w:rsid w:val="0020691E"/>
    <w:rsid w:val="00206ADE"/>
    <w:rsid w:val="002071D1"/>
    <w:rsid w:val="00207205"/>
    <w:rsid w:val="0020748A"/>
    <w:rsid w:val="00207BCA"/>
    <w:rsid w:val="00210475"/>
    <w:rsid w:val="00211404"/>
    <w:rsid w:val="002114CE"/>
    <w:rsid w:val="00211521"/>
    <w:rsid w:val="0021184B"/>
    <w:rsid w:val="00211C3D"/>
    <w:rsid w:val="00211F33"/>
    <w:rsid w:val="002120A7"/>
    <w:rsid w:val="00212C93"/>
    <w:rsid w:val="00213274"/>
    <w:rsid w:val="002133CB"/>
    <w:rsid w:val="00213AD7"/>
    <w:rsid w:val="00213D1D"/>
    <w:rsid w:val="0021453D"/>
    <w:rsid w:val="00214953"/>
    <w:rsid w:val="002156C5"/>
    <w:rsid w:val="00215CD3"/>
    <w:rsid w:val="00215F12"/>
    <w:rsid w:val="0021692D"/>
    <w:rsid w:val="00217263"/>
    <w:rsid w:val="002172A9"/>
    <w:rsid w:val="0021744A"/>
    <w:rsid w:val="0022001A"/>
    <w:rsid w:val="002209C1"/>
    <w:rsid w:val="002215BF"/>
    <w:rsid w:val="00221EC7"/>
    <w:rsid w:val="00222086"/>
    <w:rsid w:val="0022237D"/>
    <w:rsid w:val="0022240C"/>
    <w:rsid w:val="00222715"/>
    <w:rsid w:val="002234A8"/>
    <w:rsid w:val="00223A5E"/>
    <w:rsid w:val="00224E54"/>
    <w:rsid w:val="002257FC"/>
    <w:rsid w:val="00225BA3"/>
    <w:rsid w:val="00225C0E"/>
    <w:rsid w:val="00225C42"/>
    <w:rsid w:val="00226EB3"/>
    <w:rsid w:val="00230EA0"/>
    <w:rsid w:val="002323BF"/>
    <w:rsid w:val="002326C3"/>
    <w:rsid w:val="00232B39"/>
    <w:rsid w:val="002338F3"/>
    <w:rsid w:val="00233E1C"/>
    <w:rsid w:val="00233EC8"/>
    <w:rsid w:val="00234F60"/>
    <w:rsid w:val="002350E4"/>
    <w:rsid w:val="00235289"/>
    <w:rsid w:val="00235F32"/>
    <w:rsid w:val="0023705E"/>
    <w:rsid w:val="00237D2D"/>
    <w:rsid w:val="00240811"/>
    <w:rsid w:val="00240A1D"/>
    <w:rsid w:val="00240E9F"/>
    <w:rsid w:val="00241112"/>
    <w:rsid w:val="00242269"/>
    <w:rsid w:val="002423AF"/>
    <w:rsid w:val="0024241A"/>
    <w:rsid w:val="00243410"/>
    <w:rsid w:val="00244589"/>
    <w:rsid w:val="00244625"/>
    <w:rsid w:val="00244A46"/>
    <w:rsid w:val="00244DF1"/>
    <w:rsid w:val="00245F55"/>
    <w:rsid w:val="002461B6"/>
    <w:rsid w:val="00246B89"/>
    <w:rsid w:val="00247327"/>
    <w:rsid w:val="0025008A"/>
    <w:rsid w:val="002502A5"/>
    <w:rsid w:val="00250B41"/>
    <w:rsid w:val="00250F28"/>
    <w:rsid w:val="0025151B"/>
    <w:rsid w:val="002516FA"/>
    <w:rsid w:val="00252168"/>
    <w:rsid w:val="002524F8"/>
    <w:rsid w:val="0025275B"/>
    <w:rsid w:val="00252870"/>
    <w:rsid w:val="00252D06"/>
    <w:rsid w:val="00253ABE"/>
    <w:rsid w:val="002540C9"/>
    <w:rsid w:val="00254101"/>
    <w:rsid w:val="0025412C"/>
    <w:rsid w:val="00254931"/>
    <w:rsid w:val="00254C90"/>
    <w:rsid w:val="002553D6"/>
    <w:rsid w:val="002556C5"/>
    <w:rsid w:val="00255C62"/>
    <w:rsid w:val="002564BD"/>
    <w:rsid w:val="00256513"/>
    <w:rsid w:val="00257567"/>
    <w:rsid w:val="00257611"/>
    <w:rsid w:val="00257789"/>
    <w:rsid w:val="00257FF2"/>
    <w:rsid w:val="002600BA"/>
    <w:rsid w:val="0026172F"/>
    <w:rsid w:val="00261A1F"/>
    <w:rsid w:val="00261BD0"/>
    <w:rsid w:val="00261EED"/>
    <w:rsid w:val="002620F6"/>
    <w:rsid w:val="00262491"/>
    <w:rsid w:val="0026255D"/>
    <w:rsid w:val="00262583"/>
    <w:rsid w:val="002635FE"/>
    <w:rsid w:val="00263FB8"/>
    <w:rsid w:val="00264074"/>
    <w:rsid w:val="00266385"/>
    <w:rsid w:val="002677EC"/>
    <w:rsid w:val="00267B44"/>
    <w:rsid w:val="00270C4A"/>
    <w:rsid w:val="0027125F"/>
    <w:rsid w:val="0027146F"/>
    <w:rsid w:val="0027290C"/>
    <w:rsid w:val="0027337C"/>
    <w:rsid w:val="00273A15"/>
    <w:rsid w:val="002742FF"/>
    <w:rsid w:val="002746D8"/>
    <w:rsid w:val="002746F3"/>
    <w:rsid w:val="002749D6"/>
    <w:rsid w:val="00274C95"/>
    <w:rsid w:val="00275E4B"/>
    <w:rsid w:val="00275F15"/>
    <w:rsid w:val="00276538"/>
    <w:rsid w:val="002765AB"/>
    <w:rsid w:val="00276937"/>
    <w:rsid w:val="00276C9F"/>
    <w:rsid w:val="0027782C"/>
    <w:rsid w:val="00280F39"/>
    <w:rsid w:val="00281633"/>
    <w:rsid w:val="002819D8"/>
    <w:rsid w:val="00281DC9"/>
    <w:rsid w:val="002827DD"/>
    <w:rsid w:val="00282A09"/>
    <w:rsid w:val="00282A34"/>
    <w:rsid w:val="00282B80"/>
    <w:rsid w:val="00283A63"/>
    <w:rsid w:val="00284073"/>
    <w:rsid w:val="00285007"/>
    <w:rsid w:val="002850C3"/>
    <w:rsid w:val="00285806"/>
    <w:rsid w:val="00285C09"/>
    <w:rsid w:val="002863E3"/>
    <w:rsid w:val="002875A4"/>
    <w:rsid w:val="0028781D"/>
    <w:rsid w:val="00290858"/>
    <w:rsid w:val="002909AB"/>
    <w:rsid w:val="002909BA"/>
    <w:rsid w:val="00291718"/>
    <w:rsid w:val="00291862"/>
    <w:rsid w:val="0029194D"/>
    <w:rsid w:val="00291A7E"/>
    <w:rsid w:val="00291B1C"/>
    <w:rsid w:val="002924E7"/>
    <w:rsid w:val="00292C9E"/>
    <w:rsid w:val="00292F23"/>
    <w:rsid w:val="00293321"/>
    <w:rsid w:val="00293E46"/>
    <w:rsid w:val="0029401E"/>
    <w:rsid w:val="00294476"/>
    <w:rsid w:val="00294899"/>
    <w:rsid w:val="00294FA5"/>
    <w:rsid w:val="00294FF0"/>
    <w:rsid w:val="00295148"/>
    <w:rsid w:val="002953E1"/>
    <w:rsid w:val="00295971"/>
    <w:rsid w:val="00295BCB"/>
    <w:rsid w:val="002965F6"/>
    <w:rsid w:val="00296887"/>
    <w:rsid w:val="002968B5"/>
    <w:rsid w:val="00296AF6"/>
    <w:rsid w:val="00296B62"/>
    <w:rsid w:val="00297683"/>
    <w:rsid w:val="00297800"/>
    <w:rsid w:val="00297A73"/>
    <w:rsid w:val="002A013B"/>
    <w:rsid w:val="002A04D8"/>
    <w:rsid w:val="002A0782"/>
    <w:rsid w:val="002A09B6"/>
    <w:rsid w:val="002A0CDF"/>
    <w:rsid w:val="002A1099"/>
    <w:rsid w:val="002A181C"/>
    <w:rsid w:val="002A1AC8"/>
    <w:rsid w:val="002A1C79"/>
    <w:rsid w:val="002A1DEE"/>
    <w:rsid w:val="002A1F4C"/>
    <w:rsid w:val="002A2569"/>
    <w:rsid w:val="002A2BFB"/>
    <w:rsid w:val="002A314D"/>
    <w:rsid w:val="002A365B"/>
    <w:rsid w:val="002A3915"/>
    <w:rsid w:val="002A3B79"/>
    <w:rsid w:val="002A3BAB"/>
    <w:rsid w:val="002A3CEB"/>
    <w:rsid w:val="002A54D6"/>
    <w:rsid w:val="002A5A37"/>
    <w:rsid w:val="002A5E79"/>
    <w:rsid w:val="002A65F1"/>
    <w:rsid w:val="002A7D15"/>
    <w:rsid w:val="002B0A37"/>
    <w:rsid w:val="002B0AC3"/>
    <w:rsid w:val="002B15BC"/>
    <w:rsid w:val="002B1603"/>
    <w:rsid w:val="002B17EC"/>
    <w:rsid w:val="002B1B77"/>
    <w:rsid w:val="002B238F"/>
    <w:rsid w:val="002B298A"/>
    <w:rsid w:val="002B3B06"/>
    <w:rsid w:val="002B3EBF"/>
    <w:rsid w:val="002B41E5"/>
    <w:rsid w:val="002B4310"/>
    <w:rsid w:val="002B4F32"/>
    <w:rsid w:val="002B5B7E"/>
    <w:rsid w:val="002B5E4E"/>
    <w:rsid w:val="002B628D"/>
    <w:rsid w:val="002B69B8"/>
    <w:rsid w:val="002B7227"/>
    <w:rsid w:val="002B73C7"/>
    <w:rsid w:val="002B7F8A"/>
    <w:rsid w:val="002C1AEC"/>
    <w:rsid w:val="002C2247"/>
    <w:rsid w:val="002C235C"/>
    <w:rsid w:val="002C26A9"/>
    <w:rsid w:val="002C28A6"/>
    <w:rsid w:val="002C2946"/>
    <w:rsid w:val="002C2A43"/>
    <w:rsid w:val="002C2D2A"/>
    <w:rsid w:val="002C2FD9"/>
    <w:rsid w:val="002C3BC1"/>
    <w:rsid w:val="002C3BD1"/>
    <w:rsid w:val="002C3EBD"/>
    <w:rsid w:val="002C4199"/>
    <w:rsid w:val="002C4AC6"/>
    <w:rsid w:val="002C4F73"/>
    <w:rsid w:val="002C50F8"/>
    <w:rsid w:val="002C5422"/>
    <w:rsid w:val="002C557E"/>
    <w:rsid w:val="002C55EB"/>
    <w:rsid w:val="002C65A4"/>
    <w:rsid w:val="002C66FC"/>
    <w:rsid w:val="002C6756"/>
    <w:rsid w:val="002D063B"/>
    <w:rsid w:val="002D1175"/>
    <w:rsid w:val="002D11FC"/>
    <w:rsid w:val="002D18DB"/>
    <w:rsid w:val="002D2CA6"/>
    <w:rsid w:val="002D3228"/>
    <w:rsid w:val="002D3D24"/>
    <w:rsid w:val="002D46F9"/>
    <w:rsid w:val="002D47BA"/>
    <w:rsid w:val="002D47CC"/>
    <w:rsid w:val="002D4919"/>
    <w:rsid w:val="002D4DEF"/>
    <w:rsid w:val="002D64DF"/>
    <w:rsid w:val="002D6B3E"/>
    <w:rsid w:val="002D6B85"/>
    <w:rsid w:val="002D6C22"/>
    <w:rsid w:val="002D7737"/>
    <w:rsid w:val="002D7C73"/>
    <w:rsid w:val="002E0195"/>
    <w:rsid w:val="002E033A"/>
    <w:rsid w:val="002E0380"/>
    <w:rsid w:val="002E1715"/>
    <w:rsid w:val="002E196C"/>
    <w:rsid w:val="002E1A87"/>
    <w:rsid w:val="002E23ED"/>
    <w:rsid w:val="002E363C"/>
    <w:rsid w:val="002E3952"/>
    <w:rsid w:val="002E3A74"/>
    <w:rsid w:val="002E3AAF"/>
    <w:rsid w:val="002E3B14"/>
    <w:rsid w:val="002E3B96"/>
    <w:rsid w:val="002E3FF4"/>
    <w:rsid w:val="002E4474"/>
    <w:rsid w:val="002E4E81"/>
    <w:rsid w:val="002E5614"/>
    <w:rsid w:val="002E5656"/>
    <w:rsid w:val="002E5DD3"/>
    <w:rsid w:val="002E65E6"/>
    <w:rsid w:val="002E7583"/>
    <w:rsid w:val="002E7CDC"/>
    <w:rsid w:val="002E7D67"/>
    <w:rsid w:val="002F01B8"/>
    <w:rsid w:val="002F0A79"/>
    <w:rsid w:val="002F0CD0"/>
    <w:rsid w:val="002F22B7"/>
    <w:rsid w:val="002F2A68"/>
    <w:rsid w:val="002F2A69"/>
    <w:rsid w:val="002F3676"/>
    <w:rsid w:val="002F36E5"/>
    <w:rsid w:val="002F3788"/>
    <w:rsid w:val="002F396C"/>
    <w:rsid w:val="002F3FA6"/>
    <w:rsid w:val="002F4155"/>
    <w:rsid w:val="002F4559"/>
    <w:rsid w:val="002F4597"/>
    <w:rsid w:val="002F545E"/>
    <w:rsid w:val="002F5556"/>
    <w:rsid w:val="002F6065"/>
    <w:rsid w:val="002F6D9C"/>
    <w:rsid w:val="002F71B4"/>
    <w:rsid w:val="002F76F8"/>
    <w:rsid w:val="002F797C"/>
    <w:rsid w:val="002F7A6B"/>
    <w:rsid w:val="00300078"/>
    <w:rsid w:val="0030020D"/>
    <w:rsid w:val="00300A9F"/>
    <w:rsid w:val="003010D5"/>
    <w:rsid w:val="00301EFC"/>
    <w:rsid w:val="00302823"/>
    <w:rsid w:val="00302CFF"/>
    <w:rsid w:val="00302D7A"/>
    <w:rsid w:val="00302E52"/>
    <w:rsid w:val="0030331D"/>
    <w:rsid w:val="0030369E"/>
    <w:rsid w:val="003048B5"/>
    <w:rsid w:val="00304F58"/>
    <w:rsid w:val="00305498"/>
    <w:rsid w:val="00305BE6"/>
    <w:rsid w:val="00306494"/>
    <w:rsid w:val="00306654"/>
    <w:rsid w:val="00306A0B"/>
    <w:rsid w:val="003070E0"/>
    <w:rsid w:val="00307B02"/>
    <w:rsid w:val="0031044D"/>
    <w:rsid w:val="00310789"/>
    <w:rsid w:val="00311BD3"/>
    <w:rsid w:val="00312636"/>
    <w:rsid w:val="00313552"/>
    <w:rsid w:val="00314F5A"/>
    <w:rsid w:val="0031559A"/>
    <w:rsid w:val="003165A1"/>
    <w:rsid w:val="003170DD"/>
    <w:rsid w:val="00317C8A"/>
    <w:rsid w:val="003206FE"/>
    <w:rsid w:val="00320836"/>
    <w:rsid w:val="00320A7A"/>
    <w:rsid w:val="00321024"/>
    <w:rsid w:val="00321091"/>
    <w:rsid w:val="003215D4"/>
    <w:rsid w:val="003217D9"/>
    <w:rsid w:val="003218B6"/>
    <w:rsid w:val="00322842"/>
    <w:rsid w:val="003233C1"/>
    <w:rsid w:val="00323486"/>
    <w:rsid w:val="00323CCE"/>
    <w:rsid w:val="00323E51"/>
    <w:rsid w:val="0032414C"/>
    <w:rsid w:val="003250AB"/>
    <w:rsid w:val="0032619A"/>
    <w:rsid w:val="00326C82"/>
    <w:rsid w:val="00326DA7"/>
    <w:rsid w:val="00326F21"/>
    <w:rsid w:val="00327437"/>
    <w:rsid w:val="00327D69"/>
    <w:rsid w:val="003306A0"/>
    <w:rsid w:val="0033143C"/>
    <w:rsid w:val="00331A19"/>
    <w:rsid w:val="0033232C"/>
    <w:rsid w:val="00333164"/>
    <w:rsid w:val="00333206"/>
    <w:rsid w:val="00333235"/>
    <w:rsid w:val="00333299"/>
    <w:rsid w:val="003337A6"/>
    <w:rsid w:val="00333ACA"/>
    <w:rsid w:val="00334348"/>
    <w:rsid w:val="003345ED"/>
    <w:rsid w:val="003346F8"/>
    <w:rsid w:val="00334771"/>
    <w:rsid w:val="0033498B"/>
    <w:rsid w:val="00334C5B"/>
    <w:rsid w:val="00334F1D"/>
    <w:rsid w:val="003350B0"/>
    <w:rsid w:val="00335DE1"/>
    <w:rsid w:val="00336DDB"/>
    <w:rsid w:val="00337755"/>
    <w:rsid w:val="00340405"/>
    <w:rsid w:val="00340416"/>
    <w:rsid w:val="003408D2"/>
    <w:rsid w:val="0034092E"/>
    <w:rsid w:val="0034094B"/>
    <w:rsid w:val="0034107C"/>
    <w:rsid w:val="00341D51"/>
    <w:rsid w:val="00342401"/>
    <w:rsid w:val="003424EC"/>
    <w:rsid w:val="003435F6"/>
    <w:rsid w:val="00343A30"/>
    <w:rsid w:val="00343C11"/>
    <w:rsid w:val="00343C68"/>
    <w:rsid w:val="00343C8D"/>
    <w:rsid w:val="00344475"/>
    <w:rsid w:val="0034508F"/>
    <w:rsid w:val="00345272"/>
    <w:rsid w:val="00345BDA"/>
    <w:rsid w:val="003465C3"/>
    <w:rsid w:val="0034669B"/>
    <w:rsid w:val="0034674E"/>
    <w:rsid w:val="0034751B"/>
    <w:rsid w:val="00347A3F"/>
    <w:rsid w:val="00347CB6"/>
    <w:rsid w:val="00347EA2"/>
    <w:rsid w:val="003500CD"/>
    <w:rsid w:val="00350664"/>
    <w:rsid w:val="00350F57"/>
    <w:rsid w:val="00351877"/>
    <w:rsid w:val="00352310"/>
    <w:rsid w:val="0035244B"/>
    <w:rsid w:val="0035259D"/>
    <w:rsid w:val="00352A93"/>
    <w:rsid w:val="00352AA4"/>
    <w:rsid w:val="00352EE3"/>
    <w:rsid w:val="00353290"/>
    <w:rsid w:val="003535A4"/>
    <w:rsid w:val="003540E1"/>
    <w:rsid w:val="00355A9B"/>
    <w:rsid w:val="00355D80"/>
    <w:rsid w:val="0035619D"/>
    <w:rsid w:val="0035683E"/>
    <w:rsid w:val="00356E44"/>
    <w:rsid w:val="00356F6A"/>
    <w:rsid w:val="003572F8"/>
    <w:rsid w:val="00357C35"/>
    <w:rsid w:val="00357E37"/>
    <w:rsid w:val="00360273"/>
    <w:rsid w:val="0036118B"/>
    <w:rsid w:val="003614F9"/>
    <w:rsid w:val="0036158E"/>
    <w:rsid w:val="003627B3"/>
    <w:rsid w:val="00363145"/>
    <w:rsid w:val="003635C2"/>
    <w:rsid w:val="003642F2"/>
    <w:rsid w:val="00365019"/>
    <w:rsid w:val="00366505"/>
    <w:rsid w:val="003665E9"/>
    <w:rsid w:val="00366775"/>
    <w:rsid w:val="00366C97"/>
    <w:rsid w:val="00366E37"/>
    <w:rsid w:val="00366F84"/>
    <w:rsid w:val="00367685"/>
    <w:rsid w:val="00370499"/>
    <w:rsid w:val="00370584"/>
    <w:rsid w:val="003706E1"/>
    <w:rsid w:val="00370D80"/>
    <w:rsid w:val="00371E31"/>
    <w:rsid w:val="00371E92"/>
    <w:rsid w:val="00372B05"/>
    <w:rsid w:val="003732FF"/>
    <w:rsid w:val="003733E9"/>
    <w:rsid w:val="003737EF"/>
    <w:rsid w:val="00374121"/>
    <w:rsid w:val="0037585F"/>
    <w:rsid w:val="003759F7"/>
    <w:rsid w:val="00375ACB"/>
    <w:rsid w:val="00375B5C"/>
    <w:rsid w:val="0037669B"/>
    <w:rsid w:val="00376BD7"/>
    <w:rsid w:val="00376F1A"/>
    <w:rsid w:val="003771D8"/>
    <w:rsid w:val="00377236"/>
    <w:rsid w:val="00377997"/>
    <w:rsid w:val="00377A58"/>
    <w:rsid w:val="00377AE6"/>
    <w:rsid w:val="00380665"/>
    <w:rsid w:val="00380918"/>
    <w:rsid w:val="0038094D"/>
    <w:rsid w:val="00381120"/>
    <w:rsid w:val="003811B0"/>
    <w:rsid w:val="00381625"/>
    <w:rsid w:val="003816CB"/>
    <w:rsid w:val="00381F9D"/>
    <w:rsid w:val="0038215B"/>
    <w:rsid w:val="00382A28"/>
    <w:rsid w:val="00382BEB"/>
    <w:rsid w:val="00383241"/>
    <w:rsid w:val="00383C92"/>
    <w:rsid w:val="00383D64"/>
    <w:rsid w:val="00384B53"/>
    <w:rsid w:val="00384CBA"/>
    <w:rsid w:val="003851F8"/>
    <w:rsid w:val="00385877"/>
    <w:rsid w:val="00385BD8"/>
    <w:rsid w:val="00386040"/>
    <w:rsid w:val="003864B0"/>
    <w:rsid w:val="00386E39"/>
    <w:rsid w:val="00387889"/>
    <w:rsid w:val="003879BB"/>
    <w:rsid w:val="003903D6"/>
    <w:rsid w:val="00390450"/>
    <w:rsid w:val="003909E3"/>
    <w:rsid w:val="00390BDC"/>
    <w:rsid w:val="00391556"/>
    <w:rsid w:val="00391E0A"/>
    <w:rsid w:val="00392109"/>
    <w:rsid w:val="00392CCE"/>
    <w:rsid w:val="003930CE"/>
    <w:rsid w:val="003934FA"/>
    <w:rsid w:val="0039363F"/>
    <w:rsid w:val="0039383E"/>
    <w:rsid w:val="00394EE0"/>
    <w:rsid w:val="003952A9"/>
    <w:rsid w:val="00395329"/>
    <w:rsid w:val="00396CA8"/>
    <w:rsid w:val="00397C77"/>
    <w:rsid w:val="00397D4A"/>
    <w:rsid w:val="003A089A"/>
    <w:rsid w:val="003A1083"/>
    <w:rsid w:val="003A12E7"/>
    <w:rsid w:val="003A1595"/>
    <w:rsid w:val="003A1734"/>
    <w:rsid w:val="003A1B43"/>
    <w:rsid w:val="003A27A4"/>
    <w:rsid w:val="003A27B8"/>
    <w:rsid w:val="003A2850"/>
    <w:rsid w:val="003A319A"/>
    <w:rsid w:val="003A34A0"/>
    <w:rsid w:val="003A3CFD"/>
    <w:rsid w:val="003A494E"/>
    <w:rsid w:val="003A528F"/>
    <w:rsid w:val="003A5308"/>
    <w:rsid w:val="003A58D2"/>
    <w:rsid w:val="003A5EB1"/>
    <w:rsid w:val="003A67CE"/>
    <w:rsid w:val="003A69D2"/>
    <w:rsid w:val="003A70E6"/>
    <w:rsid w:val="003A79DE"/>
    <w:rsid w:val="003B01FB"/>
    <w:rsid w:val="003B05A9"/>
    <w:rsid w:val="003B0AB1"/>
    <w:rsid w:val="003B1A96"/>
    <w:rsid w:val="003B21D3"/>
    <w:rsid w:val="003B22FC"/>
    <w:rsid w:val="003B2370"/>
    <w:rsid w:val="003B2B61"/>
    <w:rsid w:val="003B3671"/>
    <w:rsid w:val="003B3DBA"/>
    <w:rsid w:val="003B3F32"/>
    <w:rsid w:val="003B4413"/>
    <w:rsid w:val="003B4C12"/>
    <w:rsid w:val="003B505E"/>
    <w:rsid w:val="003B54B8"/>
    <w:rsid w:val="003B6358"/>
    <w:rsid w:val="003B6985"/>
    <w:rsid w:val="003B6ABA"/>
    <w:rsid w:val="003B6B54"/>
    <w:rsid w:val="003B6E56"/>
    <w:rsid w:val="003B7054"/>
    <w:rsid w:val="003C058C"/>
    <w:rsid w:val="003C0688"/>
    <w:rsid w:val="003C1053"/>
    <w:rsid w:val="003C10FD"/>
    <w:rsid w:val="003C2001"/>
    <w:rsid w:val="003C22D6"/>
    <w:rsid w:val="003C27EB"/>
    <w:rsid w:val="003C3A57"/>
    <w:rsid w:val="003C3AA1"/>
    <w:rsid w:val="003C3BB8"/>
    <w:rsid w:val="003C43F4"/>
    <w:rsid w:val="003C48F8"/>
    <w:rsid w:val="003C4A6B"/>
    <w:rsid w:val="003C4C76"/>
    <w:rsid w:val="003C6191"/>
    <w:rsid w:val="003C62F3"/>
    <w:rsid w:val="003C666E"/>
    <w:rsid w:val="003C794E"/>
    <w:rsid w:val="003D00CD"/>
    <w:rsid w:val="003D051C"/>
    <w:rsid w:val="003D0528"/>
    <w:rsid w:val="003D0AF8"/>
    <w:rsid w:val="003D0B7A"/>
    <w:rsid w:val="003D0EF6"/>
    <w:rsid w:val="003D0F30"/>
    <w:rsid w:val="003D13DD"/>
    <w:rsid w:val="003D1518"/>
    <w:rsid w:val="003D15E9"/>
    <w:rsid w:val="003D1D61"/>
    <w:rsid w:val="003D2238"/>
    <w:rsid w:val="003D2383"/>
    <w:rsid w:val="003D2A36"/>
    <w:rsid w:val="003D2F2B"/>
    <w:rsid w:val="003D3006"/>
    <w:rsid w:val="003D39BB"/>
    <w:rsid w:val="003D3C22"/>
    <w:rsid w:val="003D3D23"/>
    <w:rsid w:val="003D4190"/>
    <w:rsid w:val="003D489B"/>
    <w:rsid w:val="003D4A49"/>
    <w:rsid w:val="003D50D0"/>
    <w:rsid w:val="003D581A"/>
    <w:rsid w:val="003D5A10"/>
    <w:rsid w:val="003D5CD4"/>
    <w:rsid w:val="003D6055"/>
    <w:rsid w:val="003D6F47"/>
    <w:rsid w:val="003E1CFA"/>
    <w:rsid w:val="003E2A5B"/>
    <w:rsid w:val="003E312B"/>
    <w:rsid w:val="003E31A9"/>
    <w:rsid w:val="003E41A3"/>
    <w:rsid w:val="003E41A7"/>
    <w:rsid w:val="003E41D7"/>
    <w:rsid w:val="003E4DB2"/>
    <w:rsid w:val="003E50D6"/>
    <w:rsid w:val="003E540B"/>
    <w:rsid w:val="003E55E6"/>
    <w:rsid w:val="003E6D35"/>
    <w:rsid w:val="003E7FA8"/>
    <w:rsid w:val="003F0349"/>
    <w:rsid w:val="003F051C"/>
    <w:rsid w:val="003F1399"/>
    <w:rsid w:val="003F2A59"/>
    <w:rsid w:val="003F3387"/>
    <w:rsid w:val="003F3817"/>
    <w:rsid w:val="003F38CC"/>
    <w:rsid w:val="003F3DB1"/>
    <w:rsid w:val="003F42FE"/>
    <w:rsid w:val="003F4385"/>
    <w:rsid w:val="003F439A"/>
    <w:rsid w:val="003F46F1"/>
    <w:rsid w:val="003F49A0"/>
    <w:rsid w:val="003F4B26"/>
    <w:rsid w:val="003F565E"/>
    <w:rsid w:val="003F568F"/>
    <w:rsid w:val="003F5CC9"/>
    <w:rsid w:val="003F5E8A"/>
    <w:rsid w:val="003F6400"/>
    <w:rsid w:val="003F6825"/>
    <w:rsid w:val="003F698B"/>
    <w:rsid w:val="003F6CED"/>
    <w:rsid w:val="003F6D7D"/>
    <w:rsid w:val="003F71D4"/>
    <w:rsid w:val="003F71FE"/>
    <w:rsid w:val="00400030"/>
    <w:rsid w:val="0040013F"/>
    <w:rsid w:val="0040031D"/>
    <w:rsid w:val="004004DA"/>
    <w:rsid w:val="00400604"/>
    <w:rsid w:val="00400AC4"/>
    <w:rsid w:val="00400F17"/>
    <w:rsid w:val="0040137A"/>
    <w:rsid w:val="0040144D"/>
    <w:rsid w:val="00401852"/>
    <w:rsid w:val="0040219A"/>
    <w:rsid w:val="00403E60"/>
    <w:rsid w:val="0040407D"/>
    <w:rsid w:val="004046F2"/>
    <w:rsid w:val="00404730"/>
    <w:rsid w:val="00404C93"/>
    <w:rsid w:val="00406044"/>
    <w:rsid w:val="004061D4"/>
    <w:rsid w:val="00406558"/>
    <w:rsid w:val="0040726D"/>
    <w:rsid w:val="0041019C"/>
    <w:rsid w:val="004109C7"/>
    <w:rsid w:val="0041103C"/>
    <w:rsid w:val="004111DF"/>
    <w:rsid w:val="00411817"/>
    <w:rsid w:val="0041215D"/>
    <w:rsid w:val="00412400"/>
    <w:rsid w:val="00412917"/>
    <w:rsid w:val="00413140"/>
    <w:rsid w:val="00413644"/>
    <w:rsid w:val="004138ED"/>
    <w:rsid w:val="00413C06"/>
    <w:rsid w:val="00413D47"/>
    <w:rsid w:val="0041418E"/>
    <w:rsid w:val="00414722"/>
    <w:rsid w:val="00414924"/>
    <w:rsid w:val="00414A14"/>
    <w:rsid w:val="004159E9"/>
    <w:rsid w:val="00416BD6"/>
    <w:rsid w:val="004171C1"/>
    <w:rsid w:val="0042010C"/>
    <w:rsid w:val="004208EC"/>
    <w:rsid w:val="00420B41"/>
    <w:rsid w:val="00420B90"/>
    <w:rsid w:val="00420F60"/>
    <w:rsid w:val="004211B0"/>
    <w:rsid w:val="004217FD"/>
    <w:rsid w:val="00421FE1"/>
    <w:rsid w:val="00422061"/>
    <w:rsid w:val="00422B29"/>
    <w:rsid w:val="0042326A"/>
    <w:rsid w:val="004234C1"/>
    <w:rsid w:val="004239C3"/>
    <w:rsid w:val="0042487A"/>
    <w:rsid w:val="00425E92"/>
    <w:rsid w:val="00425FC1"/>
    <w:rsid w:val="00425FDD"/>
    <w:rsid w:val="00426AB2"/>
    <w:rsid w:val="00426F2B"/>
    <w:rsid w:val="00427041"/>
    <w:rsid w:val="004270D0"/>
    <w:rsid w:val="00427305"/>
    <w:rsid w:val="00427A7F"/>
    <w:rsid w:val="00430337"/>
    <w:rsid w:val="00430D0B"/>
    <w:rsid w:val="004311F4"/>
    <w:rsid w:val="00431235"/>
    <w:rsid w:val="004316F5"/>
    <w:rsid w:val="0043186F"/>
    <w:rsid w:val="00431CB1"/>
    <w:rsid w:val="00431F45"/>
    <w:rsid w:val="004324EC"/>
    <w:rsid w:val="004336EB"/>
    <w:rsid w:val="0043402D"/>
    <w:rsid w:val="0043409A"/>
    <w:rsid w:val="00434286"/>
    <w:rsid w:val="0043486B"/>
    <w:rsid w:val="00434999"/>
    <w:rsid w:val="00434DBC"/>
    <w:rsid w:val="00435447"/>
    <w:rsid w:val="00435583"/>
    <w:rsid w:val="0043574E"/>
    <w:rsid w:val="00435B0D"/>
    <w:rsid w:val="004360FB"/>
    <w:rsid w:val="00436432"/>
    <w:rsid w:val="0043731F"/>
    <w:rsid w:val="00437454"/>
    <w:rsid w:val="004377BC"/>
    <w:rsid w:val="00440381"/>
    <w:rsid w:val="004406CF"/>
    <w:rsid w:val="00440B24"/>
    <w:rsid w:val="00440C53"/>
    <w:rsid w:val="0044130B"/>
    <w:rsid w:val="004413A4"/>
    <w:rsid w:val="00442803"/>
    <w:rsid w:val="00442D32"/>
    <w:rsid w:val="0044318F"/>
    <w:rsid w:val="00443988"/>
    <w:rsid w:val="0044415C"/>
    <w:rsid w:val="00444C3B"/>
    <w:rsid w:val="00444FE9"/>
    <w:rsid w:val="004473FD"/>
    <w:rsid w:val="004478AA"/>
    <w:rsid w:val="004510B5"/>
    <w:rsid w:val="00451283"/>
    <w:rsid w:val="0045139F"/>
    <w:rsid w:val="0045165B"/>
    <w:rsid w:val="004518D4"/>
    <w:rsid w:val="00451F5C"/>
    <w:rsid w:val="0045207C"/>
    <w:rsid w:val="004525B3"/>
    <w:rsid w:val="00452A0C"/>
    <w:rsid w:val="00453140"/>
    <w:rsid w:val="004535A9"/>
    <w:rsid w:val="0045479F"/>
    <w:rsid w:val="00454810"/>
    <w:rsid w:val="00454BC2"/>
    <w:rsid w:val="00455DFD"/>
    <w:rsid w:val="00456181"/>
    <w:rsid w:val="004569B5"/>
    <w:rsid w:val="00456D89"/>
    <w:rsid w:val="00456EC2"/>
    <w:rsid w:val="004571F7"/>
    <w:rsid w:val="00457AEE"/>
    <w:rsid w:val="0046005A"/>
    <w:rsid w:val="0046044B"/>
    <w:rsid w:val="00460B22"/>
    <w:rsid w:val="0046150C"/>
    <w:rsid w:val="00461A7C"/>
    <w:rsid w:val="00462C62"/>
    <w:rsid w:val="00463D87"/>
    <w:rsid w:val="004649C9"/>
    <w:rsid w:val="004649FA"/>
    <w:rsid w:val="00464B4F"/>
    <w:rsid w:val="00465CFE"/>
    <w:rsid w:val="00465EFA"/>
    <w:rsid w:val="0046661B"/>
    <w:rsid w:val="0046684F"/>
    <w:rsid w:val="00467702"/>
    <w:rsid w:val="00467ED1"/>
    <w:rsid w:val="00470094"/>
    <w:rsid w:val="004704A8"/>
    <w:rsid w:val="00470BE3"/>
    <w:rsid w:val="00471A47"/>
    <w:rsid w:val="00472074"/>
    <w:rsid w:val="004721D5"/>
    <w:rsid w:val="00472405"/>
    <w:rsid w:val="004729E7"/>
    <w:rsid w:val="004737FD"/>
    <w:rsid w:val="00473BCA"/>
    <w:rsid w:val="00473F01"/>
    <w:rsid w:val="004749B8"/>
    <w:rsid w:val="004749DD"/>
    <w:rsid w:val="004752C6"/>
    <w:rsid w:val="00475410"/>
    <w:rsid w:val="0047589B"/>
    <w:rsid w:val="00475D21"/>
    <w:rsid w:val="00476810"/>
    <w:rsid w:val="00476D58"/>
    <w:rsid w:val="00477640"/>
    <w:rsid w:val="00477EA0"/>
    <w:rsid w:val="004805AA"/>
    <w:rsid w:val="00481022"/>
    <w:rsid w:val="00481448"/>
    <w:rsid w:val="004819DB"/>
    <w:rsid w:val="00481E8B"/>
    <w:rsid w:val="004822E5"/>
    <w:rsid w:val="004826F0"/>
    <w:rsid w:val="0048278B"/>
    <w:rsid w:val="00482AA4"/>
    <w:rsid w:val="004840FE"/>
    <w:rsid w:val="00484463"/>
    <w:rsid w:val="00484893"/>
    <w:rsid w:val="004855BF"/>
    <w:rsid w:val="00486286"/>
    <w:rsid w:val="004865B1"/>
    <w:rsid w:val="00486A40"/>
    <w:rsid w:val="00487A80"/>
    <w:rsid w:val="00487BA9"/>
    <w:rsid w:val="00487FB1"/>
    <w:rsid w:val="00490738"/>
    <w:rsid w:val="00490756"/>
    <w:rsid w:val="00490BC7"/>
    <w:rsid w:val="00490BD9"/>
    <w:rsid w:val="00490D7D"/>
    <w:rsid w:val="00490E79"/>
    <w:rsid w:val="00491020"/>
    <w:rsid w:val="004917E3"/>
    <w:rsid w:val="00491EC4"/>
    <w:rsid w:val="00492274"/>
    <w:rsid w:val="004924A6"/>
    <w:rsid w:val="00492993"/>
    <w:rsid w:val="00492D3A"/>
    <w:rsid w:val="00492E39"/>
    <w:rsid w:val="004938AC"/>
    <w:rsid w:val="00493B7C"/>
    <w:rsid w:val="004944CA"/>
    <w:rsid w:val="004946CD"/>
    <w:rsid w:val="00494E65"/>
    <w:rsid w:val="004955A2"/>
    <w:rsid w:val="00495A67"/>
    <w:rsid w:val="00495FE4"/>
    <w:rsid w:val="00496293"/>
    <w:rsid w:val="0049683B"/>
    <w:rsid w:val="0049752A"/>
    <w:rsid w:val="0049765C"/>
    <w:rsid w:val="0049768B"/>
    <w:rsid w:val="00497D31"/>
    <w:rsid w:val="004A116B"/>
    <w:rsid w:val="004A14B5"/>
    <w:rsid w:val="004A1CC9"/>
    <w:rsid w:val="004A1CF4"/>
    <w:rsid w:val="004A3936"/>
    <w:rsid w:val="004A3C0C"/>
    <w:rsid w:val="004A3E78"/>
    <w:rsid w:val="004A3EB5"/>
    <w:rsid w:val="004A4447"/>
    <w:rsid w:val="004A4A8D"/>
    <w:rsid w:val="004A61C1"/>
    <w:rsid w:val="004A6AF6"/>
    <w:rsid w:val="004A6D15"/>
    <w:rsid w:val="004A6DAF"/>
    <w:rsid w:val="004A75FB"/>
    <w:rsid w:val="004B0760"/>
    <w:rsid w:val="004B07EC"/>
    <w:rsid w:val="004B1964"/>
    <w:rsid w:val="004B1DAE"/>
    <w:rsid w:val="004B2003"/>
    <w:rsid w:val="004B24BA"/>
    <w:rsid w:val="004B2EA5"/>
    <w:rsid w:val="004B3526"/>
    <w:rsid w:val="004B4000"/>
    <w:rsid w:val="004B4683"/>
    <w:rsid w:val="004B46EE"/>
    <w:rsid w:val="004B4707"/>
    <w:rsid w:val="004B566A"/>
    <w:rsid w:val="004B5EAF"/>
    <w:rsid w:val="004B5EFF"/>
    <w:rsid w:val="004B6180"/>
    <w:rsid w:val="004B700F"/>
    <w:rsid w:val="004B7D46"/>
    <w:rsid w:val="004C1114"/>
    <w:rsid w:val="004C1A20"/>
    <w:rsid w:val="004C1B4E"/>
    <w:rsid w:val="004C1E80"/>
    <w:rsid w:val="004C226C"/>
    <w:rsid w:val="004C3973"/>
    <w:rsid w:val="004C544B"/>
    <w:rsid w:val="004C5472"/>
    <w:rsid w:val="004C5B13"/>
    <w:rsid w:val="004C6072"/>
    <w:rsid w:val="004C62CE"/>
    <w:rsid w:val="004C63E3"/>
    <w:rsid w:val="004C699E"/>
    <w:rsid w:val="004C6D9D"/>
    <w:rsid w:val="004C74AE"/>
    <w:rsid w:val="004C7D1D"/>
    <w:rsid w:val="004C7DCE"/>
    <w:rsid w:val="004D0343"/>
    <w:rsid w:val="004D0345"/>
    <w:rsid w:val="004D09C0"/>
    <w:rsid w:val="004D0AB4"/>
    <w:rsid w:val="004D0ACD"/>
    <w:rsid w:val="004D0BF3"/>
    <w:rsid w:val="004D2D3D"/>
    <w:rsid w:val="004D2F00"/>
    <w:rsid w:val="004D3154"/>
    <w:rsid w:val="004D31D1"/>
    <w:rsid w:val="004D3207"/>
    <w:rsid w:val="004D3211"/>
    <w:rsid w:val="004D36EB"/>
    <w:rsid w:val="004D3A59"/>
    <w:rsid w:val="004D3EC3"/>
    <w:rsid w:val="004D3F36"/>
    <w:rsid w:val="004D5039"/>
    <w:rsid w:val="004D5EF4"/>
    <w:rsid w:val="004D65CB"/>
    <w:rsid w:val="004D6C68"/>
    <w:rsid w:val="004D6F70"/>
    <w:rsid w:val="004E0784"/>
    <w:rsid w:val="004E11AA"/>
    <w:rsid w:val="004E1257"/>
    <w:rsid w:val="004E13EC"/>
    <w:rsid w:val="004E1AC1"/>
    <w:rsid w:val="004E1E3B"/>
    <w:rsid w:val="004E305E"/>
    <w:rsid w:val="004E35DE"/>
    <w:rsid w:val="004E4209"/>
    <w:rsid w:val="004E443C"/>
    <w:rsid w:val="004E5672"/>
    <w:rsid w:val="004E5BB7"/>
    <w:rsid w:val="004E7D97"/>
    <w:rsid w:val="004F0186"/>
    <w:rsid w:val="004F13C9"/>
    <w:rsid w:val="004F1C81"/>
    <w:rsid w:val="004F1D75"/>
    <w:rsid w:val="004F2A57"/>
    <w:rsid w:val="004F2D84"/>
    <w:rsid w:val="004F3A3F"/>
    <w:rsid w:val="004F3C19"/>
    <w:rsid w:val="004F3D02"/>
    <w:rsid w:val="004F3E45"/>
    <w:rsid w:val="004F6078"/>
    <w:rsid w:val="004F62F9"/>
    <w:rsid w:val="004F6E1D"/>
    <w:rsid w:val="004F7258"/>
    <w:rsid w:val="004F7A99"/>
    <w:rsid w:val="004F7F59"/>
    <w:rsid w:val="0050045F"/>
    <w:rsid w:val="005004D2"/>
    <w:rsid w:val="0050057B"/>
    <w:rsid w:val="00500B7C"/>
    <w:rsid w:val="005012BF"/>
    <w:rsid w:val="005014F5"/>
    <w:rsid w:val="005029A4"/>
    <w:rsid w:val="00503912"/>
    <w:rsid w:val="00503B98"/>
    <w:rsid w:val="005051F6"/>
    <w:rsid w:val="00505788"/>
    <w:rsid w:val="00505822"/>
    <w:rsid w:val="005064E2"/>
    <w:rsid w:val="00506524"/>
    <w:rsid w:val="00506C5B"/>
    <w:rsid w:val="00506DFD"/>
    <w:rsid w:val="00507052"/>
    <w:rsid w:val="00507829"/>
    <w:rsid w:val="005101B8"/>
    <w:rsid w:val="00510715"/>
    <w:rsid w:val="005108B5"/>
    <w:rsid w:val="00510A6D"/>
    <w:rsid w:val="0051108B"/>
    <w:rsid w:val="005111A3"/>
    <w:rsid w:val="005111B1"/>
    <w:rsid w:val="005118A2"/>
    <w:rsid w:val="00513E32"/>
    <w:rsid w:val="00513FDA"/>
    <w:rsid w:val="0051411A"/>
    <w:rsid w:val="0051521E"/>
    <w:rsid w:val="0051558E"/>
    <w:rsid w:val="0051560B"/>
    <w:rsid w:val="00516597"/>
    <w:rsid w:val="005166C0"/>
    <w:rsid w:val="00516AFA"/>
    <w:rsid w:val="00516D41"/>
    <w:rsid w:val="005171DC"/>
    <w:rsid w:val="00517449"/>
    <w:rsid w:val="005176FC"/>
    <w:rsid w:val="0051783F"/>
    <w:rsid w:val="00520BD2"/>
    <w:rsid w:val="00520D05"/>
    <w:rsid w:val="005210CA"/>
    <w:rsid w:val="0052134D"/>
    <w:rsid w:val="00521EF8"/>
    <w:rsid w:val="00522A1C"/>
    <w:rsid w:val="00524615"/>
    <w:rsid w:val="005249BF"/>
    <w:rsid w:val="005253EC"/>
    <w:rsid w:val="00525599"/>
    <w:rsid w:val="00525689"/>
    <w:rsid w:val="00525907"/>
    <w:rsid w:val="00526387"/>
    <w:rsid w:val="00526D16"/>
    <w:rsid w:val="00526EF3"/>
    <w:rsid w:val="00527A4F"/>
    <w:rsid w:val="0053015C"/>
    <w:rsid w:val="00530497"/>
    <w:rsid w:val="00531CF8"/>
    <w:rsid w:val="00531FB4"/>
    <w:rsid w:val="00533593"/>
    <w:rsid w:val="0053391A"/>
    <w:rsid w:val="0053397D"/>
    <w:rsid w:val="00533E95"/>
    <w:rsid w:val="00534BE8"/>
    <w:rsid w:val="00535694"/>
    <w:rsid w:val="005363B7"/>
    <w:rsid w:val="00536DE4"/>
    <w:rsid w:val="00537301"/>
    <w:rsid w:val="0053777B"/>
    <w:rsid w:val="00540544"/>
    <w:rsid w:val="00540BE0"/>
    <w:rsid w:val="0054119F"/>
    <w:rsid w:val="005417F9"/>
    <w:rsid w:val="00541BC4"/>
    <w:rsid w:val="00542160"/>
    <w:rsid w:val="00542812"/>
    <w:rsid w:val="005441DE"/>
    <w:rsid w:val="00544695"/>
    <w:rsid w:val="00544B98"/>
    <w:rsid w:val="00544E5E"/>
    <w:rsid w:val="00544F86"/>
    <w:rsid w:val="0054542C"/>
    <w:rsid w:val="005458E7"/>
    <w:rsid w:val="00545D92"/>
    <w:rsid w:val="00546128"/>
    <w:rsid w:val="00546345"/>
    <w:rsid w:val="005472AA"/>
    <w:rsid w:val="005477B6"/>
    <w:rsid w:val="005479CF"/>
    <w:rsid w:val="00547A5C"/>
    <w:rsid w:val="005511CD"/>
    <w:rsid w:val="005511EC"/>
    <w:rsid w:val="00551E6B"/>
    <w:rsid w:val="00552B70"/>
    <w:rsid w:val="00552BF0"/>
    <w:rsid w:val="00553F14"/>
    <w:rsid w:val="005544CD"/>
    <w:rsid w:val="005549CC"/>
    <w:rsid w:val="00554A1A"/>
    <w:rsid w:val="0055530C"/>
    <w:rsid w:val="00555C8D"/>
    <w:rsid w:val="00555F32"/>
    <w:rsid w:val="00556341"/>
    <w:rsid w:val="005570B7"/>
    <w:rsid w:val="005570DC"/>
    <w:rsid w:val="0055786C"/>
    <w:rsid w:val="00560008"/>
    <w:rsid w:val="00560C53"/>
    <w:rsid w:val="00561417"/>
    <w:rsid w:val="00562D3E"/>
    <w:rsid w:val="00562D52"/>
    <w:rsid w:val="005630D3"/>
    <w:rsid w:val="00563236"/>
    <w:rsid w:val="005632EE"/>
    <w:rsid w:val="00563906"/>
    <w:rsid w:val="00563E5E"/>
    <w:rsid w:val="00563F34"/>
    <w:rsid w:val="00564674"/>
    <w:rsid w:val="00564E00"/>
    <w:rsid w:val="005658CB"/>
    <w:rsid w:val="00566292"/>
    <w:rsid w:val="0056681B"/>
    <w:rsid w:val="00566EC7"/>
    <w:rsid w:val="005678D0"/>
    <w:rsid w:val="0057003C"/>
    <w:rsid w:val="0057056E"/>
    <w:rsid w:val="00570674"/>
    <w:rsid w:val="00570D0E"/>
    <w:rsid w:val="0057291F"/>
    <w:rsid w:val="00572A59"/>
    <w:rsid w:val="00573833"/>
    <w:rsid w:val="005745AE"/>
    <w:rsid w:val="005758AE"/>
    <w:rsid w:val="00575984"/>
    <w:rsid w:val="00575B48"/>
    <w:rsid w:val="00575C98"/>
    <w:rsid w:val="00576339"/>
    <w:rsid w:val="00576A2D"/>
    <w:rsid w:val="0057753C"/>
    <w:rsid w:val="00580162"/>
    <w:rsid w:val="00581CB3"/>
    <w:rsid w:val="0058271D"/>
    <w:rsid w:val="00582B12"/>
    <w:rsid w:val="00582CA7"/>
    <w:rsid w:val="00583046"/>
    <w:rsid w:val="00583609"/>
    <w:rsid w:val="00583858"/>
    <w:rsid w:val="00583A5B"/>
    <w:rsid w:val="005844E6"/>
    <w:rsid w:val="00584686"/>
    <w:rsid w:val="005849E9"/>
    <w:rsid w:val="00584CDF"/>
    <w:rsid w:val="00584DC9"/>
    <w:rsid w:val="005852C1"/>
    <w:rsid w:val="005853D3"/>
    <w:rsid w:val="005859F2"/>
    <w:rsid w:val="00585C7B"/>
    <w:rsid w:val="00585F1F"/>
    <w:rsid w:val="005866E2"/>
    <w:rsid w:val="005867BC"/>
    <w:rsid w:val="00586BD8"/>
    <w:rsid w:val="005876D6"/>
    <w:rsid w:val="0058783A"/>
    <w:rsid w:val="00587C64"/>
    <w:rsid w:val="00587CA4"/>
    <w:rsid w:val="005900F9"/>
    <w:rsid w:val="00590385"/>
    <w:rsid w:val="00590897"/>
    <w:rsid w:val="00590AE1"/>
    <w:rsid w:val="005915A8"/>
    <w:rsid w:val="00591617"/>
    <w:rsid w:val="00592814"/>
    <w:rsid w:val="005929E0"/>
    <w:rsid w:val="00592DE7"/>
    <w:rsid w:val="00594131"/>
    <w:rsid w:val="0059481B"/>
    <w:rsid w:val="00594ED0"/>
    <w:rsid w:val="0059555F"/>
    <w:rsid w:val="005959C3"/>
    <w:rsid w:val="00595EAB"/>
    <w:rsid w:val="00596853"/>
    <w:rsid w:val="00596B6A"/>
    <w:rsid w:val="00596DCD"/>
    <w:rsid w:val="00597858"/>
    <w:rsid w:val="005A06FD"/>
    <w:rsid w:val="005A0DAC"/>
    <w:rsid w:val="005A0F65"/>
    <w:rsid w:val="005A129E"/>
    <w:rsid w:val="005A17DC"/>
    <w:rsid w:val="005A196B"/>
    <w:rsid w:val="005A1D3F"/>
    <w:rsid w:val="005A2D43"/>
    <w:rsid w:val="005A2F35"/>
    <w:rsid w:val="005A3009"/>
    <w:rsid w:val="005A38D3"/>
    <w:rsid w:val="005A3BBA"/>
    <w:rsid w:val="005A46EC"/>
    <w:rsid w:val="005A48E4"/>
    <w:rsid w:val="005A4B7F"/>
    <w:rsid w:val="005A4BC3"/>
    <w:rsid w:val="005A4BCE"/>
    <w:rsid w:val="005A627A"/>
    <w:rsid w:val="005A62F3"/>
    <w:rsid w:val="005A6AE6"/>
    <w:rsid w:val="005A6BE1"/>
    <w:rsid w:val="005B11FB"/>
    <w:rsid w:val="005B15E4"/>
    <w:rsid w:val="005B1AC9"/>
    <w:rsid w:val="005B1CE2"/>
    <w:rsid w:val="005B1D4A"/>
    <w:rsid w:val="005B23ED"/>
    <w:rsid w:val="005B24BF"/>
    <w:rsid w:val="005B25DD"/>
    <w:rsid w:val="005B3A86"/>
    <w:rsid w:val="005B4322"/>
    <w:rsid w:val="005B4965"/>
    <w:rsid w:val="005B58A5"/>
    <w:rsid w:val="005B5E43"/>
    <w:rsid w:val="005B612A"/>
    <w:rsid w:val="005B6908"/>
    <w:rsid w:val="005B6F72"/>
    <w:rsid w:val="005B7EE2"/>
    <w:rsid w:val="005C0A80"/>
    <w:rsid w:val="005C0D85"/>
    <w:rsid w:val="005C20E5"/>
    <w:rsid w:val="005C2513"/>
    <w:rsid w:val="005C287A"/>
    <w:rsid w:val="005C28E9"/>
    <w:rsid w:val="005C39A5"/>
    <w:rsid w:val="005C41CF"/>
    <w:rsid w:val="005C41D1"/>
    <w:rsid w:val="005C4374"/>
    <w:rsid w:val="005C452A"/>
    <w:rsid w:val="005C4C92"/>
    <w:rsid w:val="005C5133"/>
    <w:rsid w:val="005C5804"/>
    <w:rsid w:val="005C581C"/>
    <w:rsid w:val="005C5B88"/>
    <w:rsid w:val="005C5BB6"/>
    <w:rsid w:val="005C63BA"/>
    <w:rsid w:val="005C7101"/>
    <w:rsid w:val="005C78A1"/>
    <w:rsid w:val="005C7DF4"/>
    <w:rsid w:val="005D0387"/>
    <w:rsid w:val="005D08AA"/>
    <w:rsid w:val="005D137E"/>
    <w:rsid w:val="005D1736"/>
    <w:rsid w:val="005D1997"/>
    <w:rsid w:val="005D1F03"/>
    <w:rsid w:val="005D2409"/>
    <w:rsid w:val="005D363F"/>
    <w:rsid w:val="005D36F6"/>
    <w:rsid w:val="005D396C"/>
    <w:rsid w:val="005D3F18"/>
    <w:rsid w:val="005D4452"/>
    <w:rsid w:val="005D4534"/>
    <w:rsid w:val="005D4D50"/>
    <w:rsid w:val="005D4F06"/>
    <w:rsid w:val="005D5219"/>
    <w:rsid w:val="005D5832"/>
    <w:rsid w:val="005D5D27"/>
    <w:rsid w:val="005D6316"/>
    <w:rsid w:val="005D6879"/>
    <w:rsid w:val="005D7110"/>
    <w:rsid w:val="005D7B68"/>
    <w:rsid w:val="005E0176"/>
    <w:rsid w:val="005E0287"/>
    <w:rsid w:val="005E0B9D"/>
    <w:rsid w:val="005E157E"/>
    <w:rsid w:val="005E1776"/>
    <w:rsid w:val="005E1B3C"/>
    <w:rsid w:val="005E2582"/>
    <w:rsid w:val="005E2810"/>
    <w:rsid w:val="005E3946"/>
    <w:rsid w:val="005E3A90"/>
    <w:rsid w:val="005E3B8E"/>
    <w:rsid w:val="005E3DD0"/>
    <w:rsid w:val="005E3FEE"/>
    <w:rsid w:val="005E41F8"/>
    <w:rsid w:val="005E47EC"/>
    <w:rsid w:val="005E4A7D"/>
    <w:rsid w:val="005E509A"/>
    <w:rsid w:val="005E51F8"/>
    <w:rsid w:val="005E5503"/>
    <w:rsid w:val="005E5E78"/>
    <w:rsid w:val="005E6671"/>
    <w:rsid w:val="005E674C"/>
    <w:rsid w:val="005E6C39"/>
    <w:rsid w:val="005E7063"/>
    <w:rsid w:val="005E73B1"/>
    <w:rsid w:val="005E77E4"/>
    <w:rsid w:val="005F01F4"/>
    <w:rsid w:val="005F0453"/>
    <w:rsid w:val="005F1BE2"/>
    <w:rsid w:val="005F1FEA"/>
    <w:rsid w:val="005F2201"/>
    <w:rsid w:val="005F25E3"/>
    <w:rsid w:val="005F44BE"/>
    <w:rsid w:val="005F4EE8"/>
    <w:rsid w:val="005F5671"/>
    <w:rsid w:val="005F5D1B"/>
    <w:rsid w:val="005F6106"/>
    <w:rsid w:val="005F61DF"/>
    <w:rsid w:val="005F62EA"/>
    <w:rsid w:val="005F6A1C"/>
    <w:rsid w:val="005F6B98"/>
    <w:rsid w:val="005F6BC0"/>
    <w:rsid w:val="005F77DE"/>
    <w:rsid w:val="005F78D6"/>
    <w:rsid w:val="005F79BA"/>
    <w:rsid w:val="006006A6"/>
    <w:rsid w:val="00600E10"/>
    <w:rsid w:val="00601492"/>
    <w:rsid w:val="00601CD3"/>
    <w:rsid w:val="00601D79"/>
    <w:rsid w:val="0060205B"/>
    <w:rsid w:val="00602376"/>
    <w:rsid w:val="0060259F"/>
    <w:rsid w:val="00602AD7"/>
    <w:rsid w:val="00604708"/>
    <w:rsid w:val="0060511A"/>
    <w:rsid w:val="00606CE9"/>
    <w:rsid w:val="00606F69"/>
    <w:rsid w:val="006079E7"/>
    <w:rsid w:val="00607F59"/>
    <w:rsid w:val="00611BEF"/>
    <w:rsid w:val="00612133"/>
    <w:rsid w:val="006123C7"/>
    <w:rsid w:val="0061385A"/>
    <w:rsid w:val="006140DB"/>
    <w:rsid w:val="0061411E"/>
    <w:rsid w:val="00614916"/>
    <w:rsid w:val="006149CE"/>
    <w:rsid w:val="00614BE7"/>
    <w:rsid w:val="006157A2"/>
    <w:rsid w:val="00616D2B"/>
    <w:rsid w:val="0061741F"/>
    <w:rsid w:val="0061770A"/>
    <w:rsid w:val="00617C47"/>
    <w:rsid w:val="00620DB6"/>
    <w:rsid w:val="00621A41"/>
    <w:rsid w:val="00621C7B"/>
    <w:rsid w:val="00621D43"/>
    <w:rsid w:val="00621E86"/>
    <w:rsid w:val="00622054"/>
    <w:rsid w:val="00622B53"/>
    <w:rsid w:val="006234B6"/>
    <w:rsid w:val="00623555"/>
    <w:rsid w:val="00623793"/>
    <w:rsid w:val="00623794"/>
    <w:rsid w:val="0062419D"/>
    <w:rsid w:val="006247F8"/>
    <w:rsid w:val="00625A85"/>
    <w:rsid w:val="00625B30"/>
    <w:rsid w:val="006260FC"/>
    <w:rsid w:val="006261B5"/>
    <w:rsid w:val="006266D2"/>
    <w:rsid w:val="00626EAA"/>
    <w:rsid w:val="006279B1"/>
    <w:rsid w:val="00627C26"/>
    <w:rsid w:val="00627F6B"/>
    <w:rsid w:val="00630187"/>
    <w:rsid w:val="006301B6"/>
    <w:rsid w:val="00630285"/>
    <w:rsid w:val="00630739"/>
    <w:rsid w:val="00631209"/>
    <w:rsid w:val="0063145E"/>
    <w:rsid w:val="00631AA5"/>
    <w:rsid w:val="00631C74"/>
    <w:rsid w:val="00631CB7"/>
    <w:rsid w:val="00631E3F"/>
    <w:rsid w:val="006321EE"/>
    <w:rsid w:val="0063270A"/>
    <w:rsid w:val="00632971"/>
    <w:rsid w:val="00632A21"/>
    <w:rsid w:val="00632CDA"/>
    <w:rsid w:val="00632E5C"/>
    <w:rsid w:val="006344A2"/>
    <w:rsid w:val="006353C0"/>
    <w:rsid w:val="00635415"/>
    <w:rsid w:val="00635782"/>
    <w:rsid w:val="00635AAB"/>
    <w:rsid w:val="00635D84"/>
    <w:rsid w:val="00636C6D"/>
    <w:rsid w:val="00636E20"/>
    <w:rsid w:val="006371E7"/>
    <w:rsid w:val="00637A5D"/>
    <w:rsid w:val="00637ED9"/>
    <w:rsid w:val="00640004"/>
    <w:rsid w:val="00642FAE"/>
    <w:rsid w:val="006430D2"/>
    <w:rsid w:val="006432AD"/>
    <w:rsid w:val="00643577"/>
    <w:rsid w:val="006442DB"/>
    <w:rsid w:val="00645555"/>
    <w:rsid w:val="006458CC"/>
    <w:rsid w:val="00645925"/>
    <w:rsid w:val="00645A25"/>
    <w:rsid w:val="00645FE8"/>
    <w:rsid w:val="00646BAB"/>
    <w:rsid w:val="00646C4F"/>
    <w:rsid w:val="00647507"/>
    <w:rsid w:val="00647EC5"/>
    <w:rsid w:val="006500C5"/>
    <w:rsid w:val="006504B1"/>
    <w:rsid w:val="00650ECE"/>
    <w:rsid w:val="00651D4F"/>
    <w:rsid w:val="00651DAC"/>
    <w:rsid w:val="006521A5"/>
    <w:rsid w:val="0065229E"/>
    <w:rsid w:val="0065235C"/>
    <w:rsid w:val="006528AB"/>
    <w:rsid w:val="00652982"/>
    <w:rsid w:val="00654DEE"/>
    <w:rsid w:val="0065507F"/>
    <w:rsid w:val="00655477"/>
    <w:rsid w:val="006554AD"/>
    <w:rsid w:val="00655601"/>
    <w:rsid w:val="0065566F"/>
    <w:rsid w:val="006557AE"/>
    <w:rsid w:val="00656885"/>
    <w:rsid w:val="006571D7"/>
    <w:rsid w:val="0065731E"/>
    <w:rsid w:val="006576AE"/>
    <w:rsid w:val="00657A87"/>
    <w:rsid w:val="00660232"/>
    <w:rsid w:val="0066023F"/>
    <w:rsid w:val="0066035D"/>
    <w:rsid w:val="00661180"/>
    <w:rsid w:val="00662324"/>
    <w:rsid w:val="006625E3"/>
    <w:rsid w:val="00662E23"/>
    <w:rsid w:val="00663678"/>
    <w:rsid w:val="00663759"/>
    <w:rsid w:val="00664D33"/>
    <w:rsid w:val="00664D3D"/>
    <w:rsid w:val="00664EAE"/>
    <w:rsid w:val="00665B0A"/>
    <w:rsid w:val="00665B83"/>
    <w:rsid w:val="00667BCC"/>
    <w:rsid w:val="00671264"/>
    <w:rsid w:val="0067204A"/>
    <w:rsid w:val="0067275D"/>
    <w:rsid w:val="006727A4"/>
    <w:rsid w:val="0067303E"/>
    <w:rsid w:val="00673DBE"/>
    <w:rsid w:val="00674A7B"/>
    <w:rsid w:val="006750AB"/>
    <w:rsid w:val="00675317"/>
    <w:rsid w:val="0067534C"/>
    <w:rsid w:val="006753E3"/>
    <w:rsid w:val="0067578F"/>
    <w:rsid w:val="00675BE6"/>
    <w:rsid w:val="00676215"/>
    <w:rsid w:val="006765EC"/>
    <w:rsid w:val="00676619"/>
    <w:rsid w:val="00676928"/>
    <w:rsid w:val="006809C4"/>
    <w:rsid w:val="00680D2A"/>
    <w:rsid w:val="00680E1B"/>
    <w:rsid w:val="00682D54"/>
    <w:rsid w:val="00683A7D"/>
    <w:rsid w:val="00684162"/>
    <w:rsid w:val="00684638"/>
    <w:rsid w:val="00684936"/>
    <w:rsid w:val="00685497"/>
    <w:rsid w:val="006870D4"/>
    <w:rsid w:val="00687435"/>
    <w:rsid w:val="00687A69"/>
    <w:rsid w:val="00687DA8"/>
    <w:rsid w:val="00690512"/>
    <w:rsid w:val="0069079E"/>
    <w:rsid w:val="00690D60"/>
    <w:rsid w:val="0069113F"/>
    <w:rsid w:val="006917AC"/>
    <w:rsid w:val="00691D3E"/>
    <w:rsid w:val="00692011"/>
    <w:rsid w:val="006921E5"/>
    <w:rsid w:val="00692A36"/>
    <w:rsid w:val="00692E22"/>
    <w:rsid w:val="00694213"/>
    <w:rsid w:val="00694591"/>
    <w:rsid w:val="00694C9A"/>
    <w:rsid w:val="00694CB2"/>
    <w:rsid w:val="00694DFA"/>
    <w:rsid w:val="00695B10"/>
    <w:rsid w:val="0069623C"/>
    <w:rsid w:val="0069647D"/>
    <w:rsid w:val="00696DE0"/>
    <w:rsid w:val="00696FE6"/>
    <w:rsid w:val="00697053"/>
    <w:rsid w:val="006A0AC5"/>
    <w:rsid w:val="006A0C31"/>
    <w:rsid w:val="006A100C"/>
    <w:rsid w:val="006A18EC"/>
    <w:rsid w:val="006A1B7C"/>
    <w:rsid w:val="006A2370"/>
    <w:rsid w:val="006A2B51"/>
    <w:rsid w:val="006A2F53"/>
    <w:rsid w:val="006A3769"/>
    <w:rsid w:val="006A3C1B"/>
    <w:rsid w:val="006A42C3"/>
    <w:rsid w:val="006A4869"/>
    <w:rsid w:val="006A486A"/>
    <w:rsid w:val="006A4F4B"/>
    <w:rsid w:val="006A505F"/>
    <w:rsid w:val="006A5379"/>
    <w:rsid w:val="006A5AD2"/>
    <w:rsid w:val="006A5CFF"/>
    <w:rsid w:val="006A5F82"/>
    <w:rsid w:val="006A6FBD"/>
    <w:rsid w:val="006A7342"/>
    <w:rsid w:val="006B04AA"/>
    <w:rsid w:val="006B10D0"/>
    <w:rsid w:val="006B1340"/>
    <w:rsid w:val="006B158E"/>
    <w:rsid w:val="006B18FC"/>
    <w:rsid w:val="006B1AD3"/>
    <w:rsid w:val="006B1E7B"/>
    <w:rsid w:val="006B23BB"/>
    <w:rsid w:val="006B2917"/>
    <w:rsid w:val="006B2918"/>
    <w:rsid w:val="006B2B85"/>
    <w:rsid w:val="006B31F3"/>
    <w:rsid w:val="006B477A"/>
    <w:rsid w:val="006B508D"/>
    <w:rsid w:val="006B55BA"/>
    <w:rsid w:val="006B5EEB"/>
    <w:rsid w:val="006B6A87"/>
    <w:rsid w:val="006B6B2A"/>
    <w:rsid w:val="006B73BF"/>
    <w:rsid w:val="006B75BC"/>
    <w:rsid w:val="006C0708"/>
    <w:rsid w:val="006C0FFE"/>
    <w:rsid w:val="006C14DC"/>
    <w:rsid w:val="006C2626"/>
    <w:rsid w:val="006C2CB3"/>
    <w:rsid w:val="006C2EAE"/>
    <w:rsid w:val="006C3622"/>
    <w:rsid w:val="006C3658"/>
    <w:rsid w:val="006C4269"/>
    <w:rsid w:val="006C427F"/>
    <w:rsid w:val="006C4847"/>
    <w:rsid w:val="006C4DFD"/>
    <w:rsid w:val="006C59E0"/>
    <w:rsid w:val="006C6CF8"/>
    <w:rsid w:val="006C7103"/>
    <w:rsid w:val="006C768E"/>
    <w:rsid w:val="006D0BEC"/>
    <w:rsid w:val="006D1124"/>
    <w:rsid w:val="006D121F"/>
    <w:rsid w:val="006D17FB"/>
    <w:rsid w:val="006D2841"/>
    <w:rsid w:val="006D2E10"/>
    <w:rsid w:val="006D31A1"/>
    <w:rsid w:val="006D3422"/>
    <w:rsid w:val="006D497F"/>
    <w:rsid w:val="006D4B14"/>
    <w:rsid w:val="006D4F58"/>
    <w:rsid w:val="006D5180"/>
    <w:rsid w:val="006D595E"/>
    <w:rsid w:val="006D68A8"/>
    <w:rsid w:val="006D6ED6"/>
    <w:rsid w:val="006D7594"/>
    <w:rsid w:val="006D7C9A"/>
    <w:rsid w:val="006E0638"/>
    <w:rsid w:val="006E0848"/>
    <w:rsid w:val="006E086C"/>
    <w:rsid w:val="006E15D5"/>
    <w:rsid w:val="006E1720"/>
    <w:rsid w:val="006E1F3B"/>
    <w:rsid w:val="006E239B"/>
    <w:rsid w:val="006E34D2"/>
    <w:rsid w:val="006E3E64"/>
    <w:rsid w:val="006E3FBF"/>
    <w:rsid w:val="006E41B4"/>
    <w:rsid w:val="006E669B"/>
    <w:rsid w:val="006E69E7"/>
    <w:rsid w:val="006E6E9F"/>
    <w:rsid w:val="006E74B3"/>
    <w:rsid w:val="006F0341"/>
    <w:rsid w:val="006F0761"/>
    <w:rsid w:val="006F0BF1"/>
    <w:rsid w:val="006F25DA"/>
    <w:rsid w:val="006F2623"/>
    <w:rsid w:val="006F2808"/>
    <w:rsid w:val="006F30BC"/>
    <w:rsid w:val="006F3155"/>
    <w:rsid w:val="006F367B"/>
    <w:rsid w:val="006F40A4"/>
    <w:rsid w:val="006F44C8"/>
    <w:rsid w:val="006F4A63"/>
    <w:rsid w:val="006F4A70"/>
    <w:rsid w:val="006F4AF6"/>
    <w:rsid w:val="006F515E"/>
    <w:rsid w:val="006F5819"/>
    <w:rsid w:val="006F5A88"/>
    <w:rsid w:val="006F5D87"/>
    <w:rsid w:val="006F6255"/>
    <w:rsid w:val="006F6488"/>
    <w:rsid w:val="006F6B0D"/>
    <w:rsid w:val="006F7121"/>
    <w:rsid w:val="006F7738"/>
    <w:rsid w:val="006F7B1C"/>
    <w:rsid w:val="006F7D4D"/>
    <w:rsid w:val="00700827"/>
    <w:rsid w:val="00700ABB"/>
    <w:rsid w:val="0070122F"/>
    <w:rsid w:val="00701499"/>
    <w:rsid w:val="0070179C"/>
    <w:rsid w:val="00701B11"/>
    <w:rsid w:val="00702328"/>
    <w:rsid w:val="00702659"/>
    <w:rsid w:val="00702955"/>
    <w:rsid w:val="00703021"/>
    <w:rsid w:val="007035B4"/>
    <w:rsid w:val="00704A11"/>
    <w:rsid w:val="00704CE1"/>
    <w:rsid w:val="007064CA"/>
    <w:rsid w:val="00707261"/>
    <w:rsid w:val="00707B82"/>
    <w:rsid w:val="00707D17"/>
    <w:rsid w:val="00710CA4"/>
    <w:rsid w:val="00711080"/>
    <w:rsid w:val="00711FA7"/>
    <w:rsid w:val="00712854"/>
    <w:rsid w:val="00712943"/>
    <w:rsid w:val="007129C5"/>
    <w:rsid w:val="00712DD7"/>
    <w:rsid w:val="00713463"/>
    <w:rsid w:val="00713D0F"/>
    <w:rsid w:val="007143F3"/>
    <w:rsid w:val="00714949"/>
    <w:rsid w:val="00714E85"/>
    <w:rsid w:val="0071524B"/>
    <w:rsid w:val="00715CB9"/>
    <w:rsid w:val="007165DC"/>
    <w:rsid w:val="00716CA5"/>
    <w:rsid w:val="007174D2"/>
    <w:rsid w:val="00717C98"/>
    <w:rsid w:val="00717D6B"/>
    <w:rsid w:val="00717D7B"/>
    <w:rsid w:val="0072084D"/>
    <w:rsid w:val="00720DA6"/>
    <w:rsid w:val="00720F7D"/>
    <w:rsid w:val="007213AD"/>
    <w:rsid w:val="00721434"/>
    <w:rsid w:val="0072214C"/>
    <w:rsid w:val="007223DC"/>
    <w:rsid w:val="00723E03"/>
    <w:rsid w:val="007242D3"/>
    <w:rsid w:val="00724698"/>
    <w:rsid w:val="0072490D"/>
    <w:rsid w:val="00724BE9"/>
    <w:rsid w:val="00725089"/>
    <w:rsid w:val="007255B2"/>
    <w:rsid w:val="0072563B"/>
    <w:rsid w:val="00725EA0"/>
    <w:rsid w:val="00725F10"/>
    <w:rsid w:val="00726521"/>
    <w:rsid w:val="007265B7"/>
    <w:rsid w:val="00726AD0"/>
    <w:rsid w:val="00726AD7"/>
    <w:rsid w:val="00726D0D"/>
    <w:rsid w:val="00726F61"/>
    <w:rsid w:val="00726F77"/>
    <w:rsid w:val="0072741D"/>
    <w:rsid w:val="00727688"/>
    <w:rsid w:val="0072775D"/>
    <w:rsid w:val="007277C3"/>
    <w:rsid w:val="00727B07"/>
    <w:rsid w:val="00727CDE"/>
    <w:rsid w:val="007309AA"/>
    <w:rsid w:val="00730A7B"/>
    <w:rsid w:val="0073149B"/>
    <w:rsid w:val="00731B97"/>
    <w:rsid w:val="007326F3"/>
    <w:rsid w:val="00733177"/>
    <w:rsid w:val="00733258"/>
    <w:rsid w:val="00734392"/>
    <w:rsid w:val="0073454F"/>
    <w:rsid w:val="0073537D"/>
    <w:rsid w:val="00736669"/>
    <w:rsid w:val="0073669E"/>
    <w:rsid w:val="00736AF9"/>
    <w:rsid w:val="00736DB5"/>
    <w:rsid w:val="007370D2"/>
    <w:rsid w:val="007373D5"/>
    <w:rsid w:val="0074003A"/>
    <w:rsid w:val="007414C3"/>
    <w:rsid w:val="007418D1"/>
    <w:rsid w:val="00741AD0"/>
    <w:rsid w:val="00741B6F"/>
    <w:rsid w:val="00741BCE"/>
    <w:rsid w:val="007435BD"/>
    <w:rsid w:val="00743955"/>
    <w:rsid w:val="007439B2"/>
    <w:rsid w:val="00743FE5"/>
    <w:rsid w:val="007448C2"/>
    <w:rsid w:val="0074516E"/>
    <w:rsid w:val="00745580"/>
    <w:rsid w:val="00745A0F"/>
    <w:rsid w:val="0074713A"/>
    <w:rsid w:val="00747714"/>
    <w:rsid w:val="00750AFA"/>
    <w:rsid w:val="00750F63"/>
    <w:rsid w:val="00751511"/>
    <w:rsid w:val="00751B90"/>
    <w:rsid w:val="00751D85"/>
    <w:rsid w:val="0075231C"/>
    <w:rsid w:val="00752572"/>
    <w:rsid w:val="00752DE8"/>
    <w:rsid w:val="00752F67"/>
    <w:rsid w:val="00753A57"/>
    <w:rsid w:val="00753CF3"/>
    <w:rsid w:val="007540A1"/>
    <w:rsid w:val="00754120"/>
    <w:rsid w:val="00754168"/>
    <w:rsid w:val="00754440"/>
    <w:rsid w:val="00754AE4"/>
    <w:rsid w:val="00755428"/>
    <w:rsid w:val="00755523"/>
    <w:rsid w:val="007559A2"/>
    <w:rsid w:val="00755E4F"/>
    <w:rsid w:val="00756756"/>
    <w:rsid w:val="00756D3C"/>
    <w:rsid w:val="00757283"/>
    <w:rsid w:val="007578CA"/>
    <w:rsid w:val="00757E6D"/>
    <w:rsid w:val="007608B5"/>
    <w:rsid w:val="00760E1D"/>
    <w:rsid w:val="00761226"/>
    <w:rsid w:val="007614E7"/>
    <w:rsid w:val="00761670"/>
    <w:rsid w:val="00762243"/>
    <w:rsid w:val="00762F4F"/>
    <w:rsid w:val="007636F7"/>
    <w:rsid w:val="00763A70"/>
    <w:rsid w:val="00764710"/>
    <w:rsid w:val="0076482C"/>
    <w:rsid w:val="007651DF"/>
    <w:rsid w:val="00765339"/>
    <w:rsid w:val="0076594C"/>
    <w:rsid w:val="007661C3"/>
    <w:rsid w:val="007663AF"/>
    <w:rsid w:val="00766762"/>
    <w:rsid w:val="00766CA4"/>
    <w:rsid w:val="007700A2"/>
    <w:rsid w:val="00770773"/>
    <w:rsid w:val="00770934"/>
    <w:rsid w:val="00770AFA"/>
    <w:rsid w:val="007710E2"/>
    <w:rsid w:val="007712F7"/>
    <w:rsid w:val="00772579"/>
    <w:rsid w:val="00772F2F"/>
    <w:rsid w:val="0077311E"/>
    <w:rsid w:val="007733CD"/>
    <w:rsid w:val="0077379F"/>
    <w:rsid w:val="00773A13"/>
    <w:rsid w:val="00773DF3"/>
    <w:rsid w:val="00774567"/>
    <w:rsid w:val="00774A24"/>
    <w:rsid w:val="00775160"/>
    <w:rsid w:val="00775657"/>
    <w:rsid w:val="0077632C"/>
    <w:rsid w:val="007763E7"/>
    <w:rsid w:val="00776C04"/>
    <w:rsid w:val="007770E3"/>
    <w:rsid w:val="007777D6"/>
    <w:rsid w:val="00777ACD"/>
    <w:rsid w:val="00777E9E"/>
    <w:rsid w:val="00780198"/>
    <w:rsid w:val="0078076B"/>
    <w:rsid w:val="00781E1E"/>
    <w:rsid w:val="00782217"/>
    <w:rsid w:val="007824C4"/>
    <w:rsid w:val="00782530"/>
    <w:rsid w:val="007826EE"/>
    <w:rsid w:val="007828E0"/>
    <w:rsid w:val="007829D9"/>
    <w:rsid w:val="00783195"/>
    <w:rsid w:val="007831F1"/>
    <w:rsid w:val="007835A3"/>
    <w:rsid w:val="00783ABE"/>
    <w:rsid w:val="007841DB"/>
    <w:rsid w:val="007844E4"/>
    <w:rsid w:val="00784A7E"/>
    <w:rsid w:val="00785FC1"/>
    <w:rsid w:val="007871C2"/>
    <w:rsid w:val="007871FD"/>
    <w:rsid w:val="0078779E"/>
    <w:rsid w:val="00787DDF"/>
    <w:rsid w:val="00787EDF"/>
    <w:rsid w:val="00787EE8"/>
    <w:rsid w:val="00790CA9"/>
    <w:rsid w:val="007912AC"/>
    <w:rsid w:val="0079133C"/>
    <w:rsid w:val="00791CEF"/>
    <w:rsid w:val="00791D5B"/>
    <w:rsid w:val="00791F81"/>
    <w:rsid w:val="00791FFC"/>
    <w:rsid w:val="00792D8F"/>
    <w:rsid w:val="00793407"/>
    <w:rsid w:val="007937B2"/>
    <w:rsid w:val="00793A0A"/>
    <w:rsid w:val="00793DCD"/>
    <w:rsid w:val="00794424"/>
    <w:rsid w:val="00794709"/>
    <w:rsid w:val="00794933"/>
    <w:rsid w:val="00794ADA"/>
    <w:rsid w:val="00794CBF"/>
    <w:rsid w:val="00794F05"/>
    <w:rsid w:val="0079503B"/>
    <w:rsid w:val="00795A51"/>
    <w:rsid w:val="00795AE8"/>
    <w:rsid w:val="00796055"/>
    <w:rsid w:val="00796A4D"/>
    <w:rsid w:val="00796A9D"/>
    <w:rsid w:val="00797327"/>
    <w:rsid w:val="007A00CA"/>
    <w:rsid w:val="007A04B1"/>
    <w:rsid w:val="007A04E2"/>
    <w:rsid w:val="007A082B"/>
    <w:rsid w:val="007A21AC"/>
    <w:rsid w:val="007A2400"/>
    <w:rsid w:val="007A340A"/>
    <w:rsid w:val="007A3AEC"/>
    <w:rsid w:val="007A48D3"/>
    <w:rsid w:val="007A58D4"/>
    <w:rsid w:val="007A5C73"/>
    <w:rsid w:val="007A6086"/>
    <w:rsid w:val="007A6709"/>
    <w:rsid w:val="007A6774"/>
    <w:rsid w:val="007A7F25"/>
    <w:rsid w:val="007B0045"/>
    <w:rsid w:val="007B0698"/>
    <w:rsid w:val="007B0DBA"/>
    <w:rsid w:val="007B115C"/>
    <w:rsid w:val="007B142B"/>
    <w:rsid w:val="007B1EE6"/>
    <w:rsid w:val="007B2784"/>
    <w:rsid w:val="007B2A27"/>
    <w:rsid w:val="007B2D1B"/>
    <w:rsid w:val="007B3CD4"/>
    <w:rsid w:val="007B41BE"/>
    <w:rsid w:val="007B4A26"/>
    <w:rsid w:val="007B4B8B"/>
    <w:rsid w:val="007B4E74"/>
    <w:rsid w:val="007B55FA"/>
    <w:rsid w:val="007B5ED6"/>
    <w:rsid w:val="007B5EEC"/>
    <w:rsid w:val="007C0483"/>
    <w:rsid w:val="007C1057"/>
    <w:rsid w:val="007C1239"/>
    <w:rsid w:val="007C1B71"/>
    <w:rsid w:val="007C1CD8"/>
    <w:rsid w:val="007C2055"/>
    <w:rsid w:val="007C208B"/>
    <w:rsid w:val="007C20F7"/>
    <w:rsid w:val="007C25B5"/>
    <w:rsid w:val="007C2602"/>
    <w:rsid w:val="007C293C"/>
    <w:rsid w:val="007C2FC2"/>
    <w:rsid w:val="007C38DA"/>
    <w:rsid w:val="007C6827"/>
    <w:rsid w:val="007C6E8C"/>
    <w:rsid w:val="007C6FED"/>
    <w:rsid w:val="007C75D9"/>
    <w:rsid w:val="007C7C69"/>
    <w:rsid w:val="007D0266"/>
    <w:rsid w:val="007D0E23"/>
    <w:rsid w:val="007D0E72"/>
    <w:rsid w:val="007D106E"/>
    <w:rsid w:val="007D12DE"/>
    <w:rsid w:val="007D1812"/>
    <w:rsid w:val="007D1CE0"/>
    <w:rsid w:val="007D2122"/>
    <w:rsid w:val="007D2461"/>
    <w:rsid w:val="007D25EE"/>
    <w:rsid w:val="007D2AE8"/>
    <w:rsid w:val="007D30F2"/>
    <w:rsid w:val="007D373F"/>
    <w:rsid w:val="007D3B88"/>
    <w:rsid w:val="007D4356"/>
    <w:rsid w:val="007D4A21"/>
    <w:rsid w:val="007D5275"/>
    <w:rsid w:val="007D5899"/>
    <w:rsid w:val="007D59B4"/>
    <w:rsid w:val="007D5E25"/>
    <w:rsid w:val="007D6A5A"/>
    <w:rsid w:val="007D71AC"/>
    <w:rsid w:val="007E0505"/>
    <w:rsid w:val="007E0668"/>
    <w:rsid w:val="007E0B28"/>
    <w:rsid w:val="007E1938"/>
    <w:rsid w:val="007E1E71"/>
    <w:rsid w:val="007E1EE8"/>
    <w:rsid w:val="007E2212"/>
    <w:rsid w:val="007E24F9"/>
    <w:rsid w:val="007E25E8"/>
    <w:rsid w:val="007E32A4"/>
    <w:rsid w:val="007E37A1"/>
    <w:rsid w:val="007E3A0B"/>
    <w:rsid w:val="007E4560"/>
    <w:rsid w:val="007E46FF"/>
    <w:rsid w:val="007E4CA3"/>
    <w:rsid w:val="007E4F17"/>
    <w:rsid w:val="007E5033"/>
    <w:rsid w:val="007E547D"/>
    <w:rsid w:val="007E5FFF"/>
    <w:rsid w:val="007E6D38"/>
    <w:rsid w:val="007E6EF6"/>
    <w:rsid w:val="007E75F2"/>
    <w:rsid w:val="007E7C72"/>
    <w:rsid w:val="007F014B"/>
    <w:rsid w:val="007F085F"/>
    <w:rsid w:val="007F0871"/>
    <w:rsid w:val="007F0AE4"/>
    <w:rsid w:val="007F15AB"/>
    <w:rsid w:val="007F1C35"/>
    <w:rsid w:val="007F1ECD"/>
    <w:rsid w:val="007F2ACF"/>
    <w:rsid w:val="007F3734"/>
    <w:rsid w:val="007F3D07"/>
    <w:rsid w:val="007F3DFA"/>
    <w:rsid w:val="007F45F4"/>
    <w:rsid w:val="007F4889"/>
    <w:rsid w:val="007F4D80"/>
    <w:rsid w:val="007F5071"/>
    <w:rsid w:val="007F5DF5"/>
    <w:rsid w:val="007F5F85"/>
    <w:rsid w:val="007F666C"/>
    <w:rsid w:val="007F67D6"/>
    <w:rsid w:val="007F6BCA"/>
    <w:rsid w:val="007F6D9F"/>
    <w:rsid w:val="007F70B8"/>
    <w:rsid w:val="007F729C"/>
    <w:rsid w:val="007F76EF"/>
    <w:rsid w:val="00800093"/>
    <w:rsid w:val="008007A5"/>
    <w:rsid w:val="00800DE2"/>
    <w:rsid w:val="008014B0"/>
    <w:rsid w:val="00801926"/>
    <w:rsid w:val="0080193E"/>
    <w:rsid w:val="00801D9F"/>
    <w:rsid w:val="00801DC5"/>
    <w:rsid w:val="00802202"/>
    <w:rsid w:val="0080220B"/>
    <w:rsid w:val="008022BA"/>
    <w:rsid w:val="00802EAD"/>
    <w:rsid w:val="008038CE"/>
    <w:rsid w:val="0080394C"/>
    <w:rsid w:val="008049F1"/>
    <w:rsid w:val="00804A1B"/>
    <w:rsid w:val="0080602D"/>
    <w:rsid w:val="0080653E"/>
    <w:rsid w:val="00807D48"/>
    <w:rsid w:val="00807E91"/>
    <w:rsid w:val="0081011B"/>
    <w:rsid w:val="00810C43"/>
    <w:rsid w:val="00810DD4"/>
    <w:rsid w:val="008117AD"/>
    <w:rsid w:val="00811C31"/>
    <w:rsid w:val="00812620"/>
    <w:rsid w:val="00812CC6"/>
    <w:rsid w:val="00812E57"/>
    <w:rsid w:val="00812F0A"/>
    <w:rsid w:val="00813AA3"/>
    <w:rsid w:val="00813E0E"/>
    <w:rsid w:val="00813ECA"/>
    <w:rsid w:val="00814766"/>
    <w:rsid w:val="008148F1"/>
    <w:rsid w:val="00815B30"/>
    <w:rsid w:val="00816771"/>
    <w:rsid w:val="0081685B"/>
    <w:rsid w:val="00816D09"/>
    <w:rsid w:val="00820355"/>
    <w:rsid w:val="00820465"/>
    <w:rsid w:val="0082107F"/>
    <w:rsid w:val="00821258"/>
    <w:rsid w:val="00821BDA"/>
    <w:rsid w:val="0082240D"/>
    <w:rsid w:val="008225F5"/>
    <w:rsid w:val="00822A4B"/>
    <w:rsid w:val="0082317A"/>
    <w:rsid w:val="00823405"/>
    <w:rsid w:val="00823AAA"/>
    <w:rsid w:val="00823B2C"/>
    <w:rsid w:val="00823ECF"/>
    <w:rsid w:val="0082420F"/>
    <w:rsid w:val="008242E6"/>
    <w:rsid w:val="00824397"/>
    <w:rsid w:val="00824C8B"/>
    <w:rsid w:val="00824ED5"/>
    <w:rsid w:val="00824EF2"/>
    <w:rsid w:val="00825216"/>
    <w:rsid w:val="0082567F"/>
    <w:rsid w:val="0082568B"/>
    <w:rsid w:val="00825E01"/>
    <w:rsid w:val="008265B9"/>
    <w:rsid w:val="00826CE0"/>
    <w:rsid w:val="00826F5F"/>
    <w:rsid w:val="00830A45"/>
    <w:rsid w:val="00831104"/>
    <w:rsid w:val="00831301"/>
    <w:rsid w:val="00831351"/>
    <w:rsid w:val="0083155A"/>
    <w:rsid w:val="0083178E"/>
    <w:rsid w:val="00832773"/>
    <w:rsid w:val="0083313E"/>
    <w:rsid w:val="00833765"/>
    <w:rsid w:val="00833930"/>
    <w:rsid w:val="008346EA"/>
    <w:rsid w:val="00834ABE"/>
    <w:rsid w:val="00834E63"/>
    <w:rsid w:val="00835300"/>
    <w:rsid w:val="0083592E"/>
    <w:rsid w:val="00835FDC"/>
    <w:rsid w:val="008362E3"/>
    <w:rsid w:val="00836B31"/>
    <w:rsid w:val="00836E15"/>
    <w:rsid w:val="00836E5D"/>
    <w:rsid w:val="00836F08"/>
    <w:rsid w:val="00837026"/>
    <w:rsid w:val="008370CA"/>
    <w:rsid w:val="0083721F"/>
    <w:rsid w:val="00837342"/>
    <w:rsid w:val="008373D7"/>
    <w:rsid w:val="008374A8"/>
    <w:rsid w:val="00837A25"/>
    <w:rsid w:val="00837E14"/>
    <w:rsid w:val="008409E6"/>
    <w:rsid w:val="00840CAC"/>
    <w:rsid w:val="00841E43"/>
    <w:rsid w:val="00842763"/>
    <w:rsid w:val="0084401F"/>
    <w:rsid w:val="00844104"/>
    <w:rsid w:val="00844185"/>
    <w:rsid w:val="008443CA"/>
    <w:rsid w:val="00844BC0"/>
    <w:rsid w:val="00845204"/>
    <w:rsid w:val="00845267"/>
    <w:rsid w:val="00845422"/>
    <w:rsid w:val="008464E1"/>
    <w:rsid w:val="00846E7E"/>
    <w:rsid w:val="00846FBB"/>
    <w:rsid w:val="0084744F"/>
    <w:rsid w:val="0084768C"/>
    <w:rsid w:val="00847D0B"/>
    <w:rsid w:val="008502BD"/>
    <w:rsid w:val="008507A4"/>
    <w:rsid w:val="00852369"/>
    <w:rsid w:val="0085269A"/>
    <w:rsid w:val="008532CF"/>
    <w:rsid w:val="008532FA"/>
    <w:rsid w:val="008533B6"/>
    <w:rsid w:val="00853A11"/>
    <w:rsid w:val="00853BA8"/>
    <w:rsid w:val="00854BB4"/>
    <w:rsid w:val="00854F37"/>
    <w:rsid w:val="00855365"/>
    <w:rsid w:val="0085590F"/>
    <w:rsid w:val="008563A6"/>
    <w:rsid w:val="008570EE"/>
    <w:rsid w:val="0085716D"/>
    <w:rsid w:val="0085768B"/>
    <w:rsid w:val="008577B9"/>
    <w:rsid w:val="00857C6B"/>
    <w:rsid w:val="008604BB"/>
    <w:rsid w:val="008608D2"/>
    <w:rsid w:val="008619BF"/>
    <w:rsid w:val="00862C30"/>
    <w:rsid w:val="008630AE"/>
    <w:rsid w:val="0086331E"/>
    <w:rsid w:val="00863635"/>
    <w:rsid w:val="0086374C"/>
    <w:rsid w:val="008637BA"/>
    <w:rsid w:val="00863A17"/>
    <w:rsid w:val="008657D2"/>
    <w:rsid w:val="00865A7E"/>
    <w:rsid w:val="00865B02"/>
    <w:rsid w:val="00865CD4"/>
    <w:rsid w:val="008660E3"/>
    <w:rsid w:val="008670D1"/>
    <w:rsid w:val="00867461"/>
    <w:rsid w:val="00867531"/>
    <w:rsid w:val="0086779B"/>
    <w:rsid w:val="00867A23"/>
    <w:rsid w:val="00870513"/>
    <w:rsid w:val="008713A7"/>
    <w:rsid w:val="008713D5"/>
    <w:rsid w:val="008715E5"/>
    <w:rsid w:val="00871B0F"/>
    <w:rsid w:val="00871D6B"/>
    <w:rsid w:val="008723B1"/>
    <w:rsid w:val="0087289F"/>
    <w:rsid w:val="008733C5"/>
    <w:rsid w:val="0087346E"/>
    <w:rsid w:val="00873548"/>
    <w:rsid w:val="00873687"/>
    <w:rsid w:val="00873E77"/>
    <w:rsid w:val="00874F9E"/>
    <w:rsid w:val="00875D9F"/>
    <w:rsid w:val="00876034"/>
    <w:rsid w:val="00876375"/>
    <w:rsid w:val="0087650F"/>
    <w:rsid w:val="00877953"/>
    <w:rsid w:val="00880699"/>
    <w:rsid w:val="00880A43"/>
    <w:rsid w:val="00881CC0"/>
    <w:rsid w:val="00881D75"/>
    <w:rsid w:val="00881DD0"/>
    <w:rsid w:val="00881E18"/>
    <w:rsid w:val="0088228D"/>
    <w:rsid w:val="0088233B"/>
    <w:rsid w:val="00882455"/>
    <w:rsid w:val="00882C16"/>
    <w:rsid w:val="00882F8B"/>
    <w:rsid w:val="00883FFC"/>
    <w:rsid w:val="00884529"/>
    <w:rsid w:val="00884978"/>
    <w:rsid w:val="00884AC9"/>
    <w:rsid w:val="0088533F"/>
    <w:rsid w:val="00885B59"/>
    <w:rsid w:val="00885E12"/>
    <w:rsid w:val="00886326"/>
    <w:rsid w:val="00886D8A"/>
    <w:rsid w:val="008873DF"/>
    <w:rsid w:val="008909E6"/>
    <w:rsid w:val="00890C34"/>
    <w:rsid w:val="0089136A"/>
    <w:rsid w:val="00891DDA"/>
    <w:rsid w:val="00892686"/>
    <w:rsid w:val="008926A6"/>
    <w:rsid w:val="00892ECA"/>
    <w:rsid w:val="0089306C"/>
    <w:rsid w:val="00894094"/>
    <w:rsid w:val="008945EB"/>
    <w:rsid w:val="008948FE"/>
    <w:rsid w:val="00894E99"/>
    <w:rsid w:val="00894FD7"/>
    <w:rsid w:val="008950A5"/>
    <w:rsid w:val="008954DC"/>
    <w:rsid w:val="0089597E"/>
    <w:rsid w:val="00895C82"/>
    <w:rsid w:val="00896B78"/>
    <w:rsid w:val="00897386"/>
    <w:rsid w:val="00897460"/>
    <w:rsid w:val="008974D2"/>
    <w:rsid w:val="00897BD7"/>
    <w:rsid w:val="008A00A6"/>
    <w:rsid w:val="008A0114"/>
    <w:rsid w:val="008A0668"/>
    <w:rsid w:val="008A0BB5"/>
    <w:rsid w:val="008A147E"/>
    <w:rsid w:val="008A1CC6"/>
    <w:rsid w:val="008A24AD"/>
    <w:rsid w:val="008A279E"/>
    <w:rsid w:val="008A294D"/>
    <w:rsid w:val="008A2BA3"/>
    <w:rsid w:val="008A3DA2"/>
    <w:rsid w:val="008A465C"/>
    <w:rsid w:val="008A465F"/>
    <w:rsid w:val="008A488E"/>
    <w:rsid w:val="008A4D61"/>
    <w:rsid w:val="008A52F5"/>
    <w:rsid w:val="008A5334"/>
    <w:rsid w:val="008A5E5F"/>
    <w:rsid w:val="008A62AA"/>
    <w:rsid w:val="008A6392"/>
    <w:rsid w:val="008A70EB"/>
    <w:rsid w:val="008A7262"/>
    <w:rsid w:val="008A7304"/>
    <w:rsid w:val="008A7332"/>
    <w:rsid w:val="008A758A"/>
    <w:rsid w:val="008A7657"/>
    <w:rsid w:val="008A7CAD"/>
    <w:rsid w:val="008A7FF0"/>
    <w:rsid w:val="008B011C"/>
    <w:rsid w:val="008B0170"/>
    <w:rsid w:val="008B04E6"/>
    <w:rsid w:val="008B078C"/>
    <w:rsid w:val="008B240C"/>
    <w:rsid w:val="008B4567"/>
    <w:rsid w:val="008B4959"/>
    <w:rsid w:val="008B4F3E"/>
    <w:rsid w:val="008B632A"/>
    <w:rsid w:val="008B6450"/>
    <w:rsid w:val="008B6531"/>
    <w:rsid w:val="008B6853"/>
    <w:rsid w:val="008B6E12"/>
    <w:rsid w:val="008B73FB"/>
    <w:rsid w:val="008C0574"/>
    <w:rsid w:val="008C0A95"/>
    <w:rsid w:val="008C13D6"/>
    <w:rsid w:val="008C1702"/>
    <w:rsid w:val="008C1950"/>
    <w:rsid w:val="008C2635"/>
    <w:rsid w:val="008C2B7A"/>
    <w:rsid w:val="008C3298"/>
    <w:rsid w:val="008C32C0"/>
    <w:rsid w:val="008C34CC"/>
    <w:rsid w:val="008C3740"/>
    <w:rsid w:val="008C3E2E"/>
    <w:rsid w:val="008C3FC7"/>
    <w:rsid w:val="008C4158"/>
    <w:rsid w:val="008C44D8"/>
    <w:rsid w:val="008C450D"/>
    <w:rsid w:val="008C4B1A"/>
    <w:rsid w:val="008C525E"/>
    <w:rsid w:val="008C532C"/>
    <w:rsid w:val="008C69FA"/>
    <w:rsid w:val="008C7318"/>
    <w:rsid w:val="008C7508"/>
    <w:rsid w:val="008D0AAF"/>
    <w:rsid w:val="008D155A"/>
    <w:rsid w:val="008D18D9"/>
    <w:rsid w:val="008D1CEA"/>
    <w:rsid w:val="008D1DDA"/>
    <w:rsid w:val="008D288D"/>
    <w:rsid w:val="008D2C96"/>
    <w:rsid w:val="008D35E9"/>
    <w:rsid w:val="008D44EB"/>
    <w:rsid w:val="008D45CD"/>
    <w:rsid w:val="008D4C34"/>
    <w:rsid w:val="008D52B3"/>
    <w:rsid w:val="008D537A"/>
    <w:rsid w:val="008D550E"/>
    <w:rsid w:val="008D575D"/>
    <w:rsid w:val="008D59BA"/>
    <w:rsid w:val="008D5A45"/>
    <w:rsid w:val="008D64B9"/>
    <w:rsid w:val="008D6628"/>
    <w:rsid w:val="008D6C78"/>
    <w:rsid w:val="008D7272"/>
    <w:rsid w:val="008D7866"/>
    <w:rsid w:val="008D7BC1"/>
    <w:rsid w:val="008D7D5D"/>
    <w:rsid w:val="008E009B"/>
    <w:rsid w:val="008E0F4D"/>
    <w:rsid w:val="008E18CE"/>
    <w:rsid w:val="008E2B1D"/>
    <w:rsid w:val="008E316D"/>
    <w:rsid w:val="008E3468"/>
    <w:rsid w:val="008E38CC"/>
    <w:rsid w:val="008E3C3A"/>
    <w:rsid w:val="008E3F35"/>
    <w:rsid w:val="008E3F85"/>
    <w:rsid w:val="008E46B3"/>
    <w:rsid w:val="008E47A2"/>
    <w:rsid w:val="008E4A13"/>
    <w:rsid w:val="008E4B6D"/>
    <w:rsid w:val="008E4DE4"/>
    <w:rsid w:val="008E5CED"/>
    <w:rsid w:val="008E7032"/>
    <w:rsid w:val="008E751A"/>
    <w:rsid w:val="008F0616"/>
    <w:rsid w:val="008F0ED3"/>
    <w:rsid w:val="008F1D7D"/>
    <w:rsid w:val="008F2628"/>
    <w:rsid w:val="008F2989"/>
    <w:rsid w:val="008F2FA0"/>
    <w:rsid w:val="008F3D0A"/>
    <w:rsid w:val="008F3E57"/>
    <w:rsid w:val="008F4054"/>
    <w:rsid w:val="008F40BC"/>
    <w:rsid w:val="008F53F0"/>
    <w:rsid w:val="008F54DC"/>
    <w:rsid w:val="008F5DB8"/>
    <w:rsid w:val="008F5FD4"/>
    <w:rsid w:val="008F612D"/>
    <w:rsid w:val="008F6B40"/>
    <w:rsid w:val="008F7562"/>
    <w:rsid w:val="008F7A4E"/>
    <w:rsid w:val="00900A13"/>
    <w:rsid w:val="00900B74"/>
    <w:rsid w:val="00901347"/>
    <w:rsid w:val="00901F86"/>
    <w:rsid w:val="00902042"/>
    <w:rsid w:val="009020BF"/>
    <w:rsid w:val="00902109"/>
    <w:rsid w:val="00902344"/>
    <w:rsid w:val="009025E0"/>
    <w:rsid w:val="0090263E"/>
    <w:rsid w:val="00902EAF"/>
    <w:rsid w:val="00902F02"/>
    <w:rsid w:val="009033DE"/>
    <w:rsid w:val="0090373B"/>
    <w:rsid w:val="009037F9"/>
    <w:rsid w:val="009038DB"/>
    <w:rsid w:val="00903C3B"/>
    <w:rsid w:val="00903C8D"/>
    <w:rsid w:val="0090455F"/>
    <w:rsid w:val="0090467E"/>
    <w:rsid w:val="0090479F"/>
    <w:rsid w:val="00905E27"/>
    <w:rsid w:val="00906046"/>
    <w:rsid w:val="0090772F"/>
    <w:rsid w:val="00907C80"/>
    <w:rsid w:val="00907D14"/>
    <w:rsid w:val="009111C7"/>
    <w:rsid w:val="009124DD"/>
    <w:rsid w:val="00913309"/>
    <w:rsid w:val="009133D5"/>
    <w:rsid w:val="00913416"/>
    <w:rsid w:val="00913D3F"/>
    <w:rsid w:val="00914BF3"/>
    <w:rsid w:val="00915246"/>
    <w:rsid w:val="00915686"/>
    <w:rsid w:val="009160E6"/>
    <w:rsid w:val="0091622E"/>
    <w:rsid w:val="009163A2"/>
    <w:rsid w:val="00917C2A"/>
    <w:rsid w:val="00917EED"/>
    <w:rsid w:val="00917F5B"/>
    <w:rsid w:val="00917F6E"/>
    <w:rsid w:val="0092016B"/>
    <w:rsid w:val="009205AF"/>
    <w:rsid w:val="00920AFC"/>
    <w:rsid w:val="00922009"/>
    <w:rsid w:val="0092298E"/>
    <w:rsid w:val="00922BE4"/>
    <w:rsid w:val="009230F0"/>
    <w:rsid w:val="009235E8"/>
    <w:rsid w:val="00923664"/>
    <w:rsid w:val="00923D95"/>
    <w:rsid w:val="0092461E"/>
    <w:rsid w:val="00924EC2"/>
    <w:rsid w:val="009257FC"/>
    <w:rsid w:val="0092624A"/>
    <w:rsid w:val="00926345"/>
    <w:rsid w:val="0092659E"/>
    <w:rsid w:val="00926D28"/>
    <w:rsid w:val="00926E29"/>
    <w:rsid w:val="00926E3E"/>
    <w:rsid w:val="00926FA5"/>
    <w:rsid w:val="0092746F"/>
    <w:rsid w:val="00927814"/>
    <w:rsid w:val="009279BD"/>
    <w:rsid w:val="00927C15"/>
    <w:rsid w:val="00927F1A"/>
    <w:rsid w:val="0093021A"/>
    <w:rsid w:val="00930331"/>
    <w:rsid w:val="009304EE"/>
    <w:rsid w:val="00931B88"/>
    <w:rsid w:val="00932E87"/>
    <w:rsid w:val="0093383F"/>
    <w:rsid w:val="00934F74"/>
    <w:rsid w:val="00935182"/>
    <w:rsid w:val="00935267"/>
    <w:rsid w:val="0093557E"/>
    <w:rsid w:val="009356FB"/>
    <w:rsid w:val="00936057"/>
    <w:rsid w:val="00936197"/>
    <w:rsid w:val="009363F9"/>
    <w:rsid w:val="00936A3C"/>
    <w:rsid w:val="00937459"/>
    <w:rsid w:val="00937813"/>
    <w:rsid w:val="009406A7"/>
    <w:rsid w:val="00941147"/>
    <w:rsid w:val="009427FE"/>
    <w:rsid w:val="009428BC"/>
    <w:rsid w:val="00942A7C"/>
    <w:rsid w:val="00942DB3"/>
    <w:rsid w:val="0094317D"/>
    <w:rsid w:val="009432B2"/>
    <w:rsid w:val="00943C67"/>
    <w:rsid w:val="0094425C"/>
    <w:rsid w:val="00944357"/>
    <w:rsid w:val="009445DF"/>
    <w:rsid w:val="00944CF3"/>
    <w:rsid w:val="00945764"/>
    <w:rsid w:val="00945B87"/>
    <w:rsid w:val="00946947"/>
    <w:rsid w:val="00946CFB"/>
    <w:rsid w:val="0094700D"/>
    <w:rsid w:val="00947A13"/>
    <w:rsid w:val="00947DE6"/>
    <w:rsid w:val="00947F92"/>
    <w:rsid w:val="0095006E"/>
    <w:rsid w:val="00950165"/>
    <w:rsid w:val="00950774"/>
    <w:rsid w:val="009509F5"/>
    <w:rsid w:val="00950A3F"/>
    <w:rsid w:val="00950FEB"/>
    <w:rsid w:val="009523EB"/>
    <w:rsid w:val="00952BB1"/>
    <w:rsid w:val="00953010"/>
    <w:rsid w:val="00953430"/>
    <w:rsid w:val="009534B9"/>
    <w:rsid w:val="009539AD"/>
    <w:rsid w:val="009540D3"/>
    <w:rsid w:val="009546F2"/>
    <w:rsid w:val="00954E8A"/>
    <w:rsid w:val="0095504F"/>
    <w:rsid w:val="00955BA3"/>
    <w:rsid w:val="00955F0D"/>
    <w:rsid w:val="0095612B"/>
    <w:rsid w:val="00956770"/>
    <w:rsid w:val="00956A1A"/>
    <w:rsid w:val="00956ECE"/>
    <w:rsid w:val="009571B0"/>
    <w:rsid w:val="00957B5C"/>
    <w:rsid w:val="00957BCA"/>
    <w:rsid w:val="00957FDD"/>
    <w:rsid w:val="0096069A"/>
    <w:rsid w:val="0096126F"/>
    <w:rsid w:val="00961307"/>
    <w:rsid w:val="009616F4"/>
    <w:rsid w:val="00962321"/>
    <w:rsid w:val="00962A41"/>
    <w:rsid w:val="00962F46"/>
    <w:rsid w:val="00962FA9"/>
    <w:rsid w:val="00963140"/>
    <w:rsid w:val="009638E7"/>
    <w:rsid w:val="0096399C"/>
    <w:rsid w:val="00963D56"/>
    <w:rsid w:val="0096456E"/>
    <w:rsid w:val="009649FB"/>
    <w:rsid w:val="00964E41"/>
    <w:rsid w:val="00965027"/>
    <w:rsid w:val="00965A8F"/>
    <w:rsid w:val="0096625E"/>
    <w:rsid w:val="00966429"/>
    <w:rsid w:val="0096664A"/>
    <w:rsid w:val="00966684"/>
    <w:rsid w:val="00967ED9"/>
    <w:rsid w:val="00970B1F"/>
    <w:rsid w:val="00971231"/>
    <w:rsid w:val="00972563"/>
    <w:rsid w:val="0097261A"/>
    <w:rsid w:val="00972B07"/>
    <w:rsid w:val="00973240"/>
    <w:rsid w:val="009738C0"/>
    <w:rsid w:val="00974512"/>
    <w:rsid w:val="00975E8F"/>
    <w:rsid w:val="00976C4E"/>
    <w:rsid w:val="009770D8"/>
    <w:rsid w:val="00977B76"/>
    <w:rsid w:val="00980335"/>
    <w:rsid w:val="00980912"/>
    <w:rsid w:val="0098138B"/>
    <w:rsid w:val="009814FF"/>
    <w:rsid w:val="0098153E"/>
    <w:rsid w:val="009815A9"/>
    <w:rsid w:val="00981863"/>
    <w:rsid w:val="00981921"/>
    <w:rsid w:val="00983663"/>
    <w:rsid w:val="00983B39"/>
    <w:rsid w:val="0098445B"/>
    <w:rsid w:val="009849D7"/>
    <w:rsid w:val="00984DCF"/>
    <w:rsid w:val="00984ED4"/>
    <w:rsid w:val="00986776"/>
    <w:rsid w:val="009868E8"/>
    <w:rsid w:val="00987B44"/>
    <w:rsid w:val="0099018E"/>
    <w:rsid w:val="00991811"/>
    <w:rsid w:val="00991F62"/>
    <w:rsid w:val="0099354C"/>
    <w:rsid w:val="00993832"/>
    <w:rsid w:val="00995A87"/>
    <w:rsid w:val="0099665C"/>
    <w:rsid w:val="009967C0"/>
    <w:rsid w:val="00996D75"/>
    <w:rsid w:val="00996EAE"/>
    <w:rsid w:val="00997093"/>
    <w:rsid w:val="00997606"/>
    <w:rsid w:val="00997A9E"/>
    <w:rsid w:val="00997FBA"/>
    <w:rsid w:val="009A090A"/>
    <w:rsid w:val="009A0AB3"/>
    <w:rsid w:val="009A0ED5"/>
    <w:rsid w:val="009A11E1"/>
    <w:rsid w:val="009A13FC"/>
    <w:rsid w:val="009A1EFC"/>
    <w:rsid w:val="009A2210"/>
    <w:rsid w:val="009A2476"/>
    <w:rsid w:val="009A3B1C"/>
    <w:rsid w:val="009A3D27"/>
    <w:rsid w:val="009A4E8E"/>
    <w:rsid w:val="009A532C"/>
    <w:rsid w:val="009A53C3"/>
    <w:rsid w:val="009A53F0"/>
    <w:rsid w:val="009A5BE2"/>
    <w:rsid w:val="009A5FC2"/>
    <w:rsid w:val="009A5FFA"/>
    <w:rsid w:val="009A61B9"/>
    <w:rsid w:val="009A6E10"/>
    <w:rsid w:val="009A75A0"/>
    <w:rsid w:val="009A7697"/>
    <w:rsid w:val="009A796F"/>
    <w:rsid w:val="009A7BB1"/>
    <w:rsid w:val="009B0150"/>
    <w:rsid w:val="009B1E6B"/>
    <w:rsid w:val="009B2413"/>
    <w:rsid w:val="009B2895"/>
    <w:rsid w:val="009B343C"/>
    <w:rsid w:val="009B3678"/>
    <w:rsid w:val="009B42D1"/>
    <w:rsid w:val="009B463E"/>
    <w:rsid w:val="009B46A6"/>
    <w:rsid w:val="009B5676"/>
    <w:rsid w:val="009B5FCC"/>
    <w:rsid w:val="009B7C83"/>
    <w:rsid w:val="009C048B"/>
    <w:rsid w:val="009C0CF9"/>
    <w:rsid w:val="009C1013"/>
    <w:rsid w:val="009C102F"/>
    <w:rsid w:val="009C1344"/>
    <w:rsid w:val="009C20DC"/>
    <w:rsid w:val="009C23DA"/>
    <w:rsid w:val="009C30E2"/>
    <w:rsid w:val="009C3420"/>
    <w:rsid w:val="009C3A7E"/>
    <w:rsid w:val="009C3E78"/>
    <w:rsid w:val="009C43C4"/>
    <w:rsid w:val="009C4B96"/>
    <w:rsid w:val="009C4F8A"/>
    <w:rsid w:val="009C532E"/>
    <w:rsid w:val="009C62A7"/>
    <w:rsid w:val="009C6FED"/>
    <w:rsid w:val="009C7140"/>
    <w:rsid w:val="009C7178"/>
    <w:rsid w:val="009C7FC8"/>
    <w:rsid w:val="009D03F6"/>
    <w:rsid w:val="009D0CEA"/>
    <w:rsid w:val="009D1385"/>
    <w:rsid w:val="009D14A0"/>
    <w:rsid w:val="009D17FE"/>
    <w:rsid w:val="009D188D"/>
    <w:rsid w:val="009D1940"/>
    <w:rsid w:val="009D1E41"/>
    <w:rsid w:val="009D20CC"/>
    <w:rsid w:val="009D25B5"/>
    <w:rsid w:val="009D2C19"/>
    <w:rsid w:val="009D2F5E"/>
    <w:rsid w:val="009D34F3"/>
    <w:rsid w:val="009D3EDB"/>
    <w:rsid w:val="009D3FED"/>
    <w:rsid w:val="009D42F0"/>
    <w:rsid w:val="009D4739"/>
    <w:rsid w:val="009D55B2"/>
    <w:rsid w:val="009D5806"/>
    <w:rsid w:val="009D6734"/>
    <w:rsid w:val="009D6C7F"/>
    <w:rsid w:val="009D6FE4"/>
    <w:rsid w:val="009D72CB"/>
    <w:rsid w:val="009E0716"/>
    <w:rsid w:val="009E0941"/>
    <w:rsid w:val="009E0FF8"/>
    <w:rsid w:val="009E1396"/>
    <w:rsid w:val="009E18A6"/>
    <w:rsid w:val="009E1D06"/>
    <w:rsid w:val="009E2696"/>
    <w:rsid w:val="009E27B3"/>
    <w:rsid w:val="009E2BA2"/>
    <w:rsid w:val="009E32AB"/>
    <w:rsid w:val="009E39CC"/>
    <w:rsid w:val="009E3FE4"/>
    <w:rsid w:val="009E4B61"/>
    <w:rsid w:val="009E59ED"/>
    <w:rsid w:val="009E6587"/>
    <w:rsid w:val="009E752B"/>
    <w:rsid w:val="009F0924"/>
    <w:rsid w:val="009F0B01"/>
    <w:rsid w:val="009F1602"/>
    <w:rsid w:val="009F1BF0"/>
    <w:rsid w:val="009F24FF"/>
    <w:rsid w:val="009F258F"/>
    <w:rsid w:val="009F2EDD"/>
    <w:rsid w:val="009F35CA"/>
    <w:rsid w:val="009F35F5"/>
    <w:rsid w:val="009F3EE5"/>
    <w:rsid w:val="009F450C"/>
    <w:rsid w:val="009F4EBF"/>
    <w:rsid w:val="009F51F8"/>
    <w:rsid w:val="009F5319"/>
    <w:rsid w:val="009F590A"/>
    <w:rsid w:val="009F5A28"/>
    <w:rsid w:val="009F5AC0"/>
    <w:rsid w:val="009F62BF"/>
    <w:rsid w:val="009F683B"/>
    <w:rsid w:val="009F696D"/>
    <w:rsid w:val="009F727D"/>
    <w:rsid w:val="009F76C9"/>
    <w:rsid w:val="009F7761"/>
    <w:rsid w:val="00A0007B"/>
    <w:rsid w:val="00A00C9B"/>
    <w:rsid w:val="00A00DB0"/>
    <w:rsid w:val="00A00FD2"/>
    <w:rsid w:val="00A01364"/>
    <w:rsid w:val="00A01D0F"/>
    <w:rsid w:val="00A01F50"/>
    <w:rsid w:val="00A02227"/>
    <w:rsid w:val="00A02373"/>
    <w:rsid w:val="00A02AA3"/>
    <w:rsid w:val="00A0362C"/>
    <w:rsid w:val="00A04EC3"/>
    <w:rsid w:val="00A060BE"/>
    <w:rsid w:val="00A0640C"/>
    <w:rsid w:val="00A0677B"/>
    <w:rsid w:val="00A07B2A"/>
    <w:rsid w:val="00A07D5C"/>
    <w:rsid w:val="00A07FB0"/>
    <w:rsid w:val="00A1040F"/>
    <w:rsid w:val="00A1050E"/>
    <w:rsid w:val="00A1054D"/>
    <w:rsid w:val="00A10B25"/>
    <w:rsid w:val="00A10DEE"/>
    <w:rsid w:val="00A10DEF"/>
    <w:rsid w:val="00A11533"/>
    <w:rsid w:val="00A11D35"/>
    <w:rsid w:val="00A124F8"/>
    <w:rsid w:val="00A1264B"/>
    <w:rsid w:val="00A12B4C"/>
    <w:rsid w:val="00A12B70"/>
    <w:rsid w:val="00A1326A"/>
    <w:rsid w:val="00A137FC"/>
    <w:rsid w:val="00A14D8A"/>
    <w:rsid w:val="00A1578D"/>
    <w:rsid w:val="00A165C5"/>
    <w:rsid w:val="00A165DA"/>
    <w:rsid w:val="00A1686F"/>
    <w:rsid w:val="00A17143"/>
    <w:rsid w:val="00A17642"/>
    <w:rsid w:val="00A20813"/>
    <w:rsid w:val="00A20F8E"/>
    <w:rsid w:val="00A22485"/>
    <w:rsid w:val="00A2251B"/>
    <w:rsid w:val="00A22930"/>
    <w:rsid w:val="00A22AC8"/>
    <w:rsid w:val="00A22CBB"/>
    <w:rsid w:val="00A2329C"/>
    <w:rsid w:val="00A23971"/>
    <w:rsid w:val="00A241CC"/>
    <w:rsid w:val="00A24957"/>
    <w:rsid w:val="00A256BD"/>
    <w:rsid w:val="00A256F9"/>
    <w:rsid w:val="00A25E4D"/>
    <w:rsid w:val="00A263B1"/>
    <w:rsid w:val="00A26610"/>
    <w:rsid w:val="00A27F44"/>
    <w:rsid w:val="00A27F84"/>
    <w:rsid w:val="00A305B8"/>
    <w:rsid w:val="00A30627"/>
    <w:rsid w:val="00A30846"/>
    <w:rsid w:val="00A30B6F"/>
    <w:rsid w:val="00A3131F"/>
    <w:rsid w:val="00A3163B"/>
    <w:rsid w:val="00A3183F"/>
    <w:rsid w:val="00A324D1"/>
    <w:rsid w:val="00A33165"/>
    <w:rsid w:val="00A33367"/>
    <w:rsid w:val="00A3384C"/>
    <w:rsid w:val="00A33ECD"/>
    <w:rsid w:val="00A350C9"/>
    <w:rsid w:val="00A35989"/>
    <w:rsid w:val="00A359E5"/>
    <w:rsid w:val="00A35CF8"/>
    <w:rsid w:val="00A36879"/>
    <w:rsid w:val="00A37C0D"/>
    <w:rsid w:val="00A37EB9"/>
    <w:rsid w:val="00A37EE1"/>
    <w:rsid w:val="00A37FD5"/>
    <w:rsid w:val="00A403F3"/>
    <w:rsid w:val="00A40B0D"/>
    <w:rsid w:val="00A40FBB"/>
    <w:rsid w:val="00A41850"/>
    <w:rsid w:val="00A419EF"/>
    <w:rsid w:val="00A42856"/>
    <w:rsid w:val="00A43126"/>
    <w:rsid w:val="00A4380B"/>
    <w:rsid w:val="00A4384D"/>
    <w:rsid w:val="00A439C0"/>
    <w:rsid w:val="00A43B8C"/>
    <w:rsid w:val="00A446D3"/>
    <w:rsid w:val="00A448BF"/>
    <w:rsid w:val="00A449DD"/>
    <w:rsid w:val="00A45645"/>
    <w:rsid w:val="00A46429"/>
    <w:rsid w:val="00A465FF"/>
    <w:rsid w:val="00A4671A"/>
    <w:rsid w:val="00A46744"/>
    <w:rsid w:val="00A47123"/>
    <w:rsid w:val="00A47207"/>
    <w:rsid w:val="00A502E0"/>
    <w:rsid w:val="00A51623"/>
    <w:rsid w:val="00A519EE"/>
    <w:rsid w:val="00A52300"/>
    <w:rsid w:val="00A523A8"/>
    <w:rsid w:val="00A52DAC"/>
    <w:rsid w:val="00A52FE0"/>
    <w:rsid w:val="00A54D07"/>
    <w:rsid w:val="00A54D6D"/>
    <w:rsid w:val="00A54E45"/>
    <w:rsid w:val="00A54FA7"/>
    <w:rsid w:val="00A56389"/>
    <w:rsid w:val="00A56633"/>
    <w:rsid w:val="00A569C1"/>
    <w:rsid w:val="00A56AAA"/>
    <w:rsid w:val="00A5727A"/>
    <w:rsid w:val="00A576C6"/>
    <w:rsid w:val="00A577ED"/>
    <w:rsid w:val="00A57950"/>
    <w:rsid w:val="00A57F01"/>
    <w:rsid w:val="00A60D2D"/>
    <w:rsid w:val="00A61633"/>
    <w:rsid w:val="00A6240B"/>
    <w:rsid w:val="00A637A1"/>
    <w:rsid w:val="00A63BBD"/>
    <w:rsid w:val="00A63FB8"/>
    <w:rsid w:val="00A64981"/>
    <w:rsid w:val="00A64983"/>
    <w:rsid w:val="00A64FED"/>
    <w:rsid w:val="00A65068"/>
    <w:rsid w:val="00A651B3"/>
    <w:rsid w:val="00A660F9"/>
    <w:rsid w:val="00A6650E"/>
    <w:rsid w:val="00A67A73"/>
    <w:rsid w:val="00A67DE6"/>
    <w:rsid w:val="00A7090D"/>
    <w:rsid w:val="00A71054"/>
    <w:rsid w:val="00A718B2"/>
    <w:rsid w:val="00A7214C"/>
    <w:rsid w:val="00A7239E"/>
    <w:rsid w:val="00A72D1C"/>
    <w:rsid w:val="00A73895"/>
    <w:rsid w:val="00A739DB"/>
    <w:rsid w:val="00A7436D"/>
    <w:rsid w:val="00A744EE"/>
    <w:rsid w:val="00A74C3C"/>
    <w:rsid w:val="00A74DDF"/>
    <w:rsid w:val="00A74E0A"/>
    <w:rsid w:val="00A74E5E"/>
    <w:rsid w:val="00A74F51"/>
    <w:rsid w:val="00A750C5"/>
    <w:rsid w:val="00A7538A"/>
    <w:rsid w:val="00A76288"/>
    <w:rsid w:val="00A76A2C"/>
    <w:rsid w:val="00A76A37"/>
    <w:rsid w:val="00A76BEA"/>
    <w:rsid w:val="00A774ED"/>
    <w:rsid w:val="00A77873"/>
    <w:rsid w:val="00A779D6"/>
    <w:rsid w:val="00A77DC6"/>
    <w:rsid w:val="00A80C7D"/>
    <w:rsid w:val="00A81042"/>
    <w:rsid w:val="00A816CE"/>
    <w:rsid w:val="00A81CE1"/>
    <w:rsid w:val="00A830F6"/>
    <w:rsid w:val="00A83442"/>
    <w:rsid w:val="00A835B4"/>
    <w:rsid w:val="00A84F4D"/>
    <w:rsid w:val="00A85281"/>
    <w:rsid w:val="00A85312"/>
    <w:rsid w:val="00A86136"/>
    <w:rsid w:val="00A8650D"/>
    <w:rsid w:val="00A86B85"/>
    <w:rsid w:val="00A86DD7"/>
    <w:rsid w:val="00A87E01"/>
    <w:rsid w:val="00A90B06"/>
    <w:rsid w:val="00A90F9C"/>
    <w:rsid w:val="00A910F3"/>
    <w:rsid w:val="00A91185"/>
    <w:rsid w:val="00A91635"/>
    <w:rsid w:val="00A918D0"/>
    <w:rsid w:val="00A91AFB"/>
    <w:rsid w:val="00A925B5"/>
    <w:rsid w:val="00A92642"/>
    <w:rsid w:val="00A92D1D"/>
    <w:rsid w:val="00A931D2"/>
    <w:rsid w:val="00A944BA"/>
    <w:rsid w:val="00A94511"/>
    <w:rsid w:val="00A94C30"/>
    <w:rsid w:val="00A96A4C"/>
    <w:rsid w:val="00A96B02"/>
    <w:rsid w:val="00A96CBE"/>
    <w:rsid w:val="00A97151"/>
    <w:rsid w:val="00A97BA6"/>
    <w:rsid w:val="00AA0737"/>
    <w:rsid w:val="00AA0E12"/>
    <w:rsid w:val="00AA1386"/>
    <w:rsid w:val="00AA17DA"/>
    <w:rsid w:val="00AA1B79"/>
    <w:rsid w:val="00AA207F"/>
    <w:rsid w:val="00AA283F"/>
    <w:rsid w:val="00AA2EF2"/>
    <w:rsid w:val="00AA49F4"/>
    <w:rsid w:val="00AA4FD8"/>
    <w:rsid w:val="00AA52D7"/>
    <w:rsid w:val="00AA5C1A"/>
    <w:rsid w:val="00AA6985"/>
    <w:rsid w:val="00AA6EB2"/>
    <w:rsid w:val="00AA784E"/>
    <w:rsid w:val="00AA7B19"/>
    <w:rsid w:val="00AB0008"/>
    <w:rsid w:val="00AB02A2"/>
    <w:rsid w:val="00AB07ED"/>
    <w:rsid w:val="00AB0BC4"/>
    <w:rsid w:val="00AB1002"/>
    <w:rsid w:val="00AB1677"/>
    <w:rsid w:val="00AB2081"/>
    <w:rsid w:val="00AB2AFB"/>
    <w:rsid w:val="00AB2C4A"/>
    <w:rsid w:val="00AB30E1"/>
    <w:rsid w:val="00AB3319"/>
    <w:rsid w:val="00AB342A"/>
    <w:rsid w:val="00AB3B1C"/>
    <w:rsid w:val="00AB3F0E"/>
    <w:rsid w:val="00AB406C"/>
    <w:rsid w:val="00AB4ADA"/>
    <w:rsid w:val="00AB4B0F"/>
    <w:rsid w:val="00AB595C"/>
    <w:rsid w:val="00AB5FA6"/>
    <w:rsid w:val="00AB6C14"/>
    <w:rsid w:val="00AB71FA"/>
    <w:rsid w:val="00AB740F"/>
    <w:rsid w:val="00AB7717"/>
    <w:rsid w:val="00AC0453"/>
    <w:rsid w:val="00AC12C1"/>
    <w:rsid w:val="00AC1B50"/>
    <w:rsid w:val="00AC1C00"/>
    <w:rsid w:val="00AC1CF9"/>
    <w:rsid w:val="00AC1DBC"/>
    <w:rsid w:val="00AC2412"/>
    <w:rsid w:val="00AC296B"/>
    <w:rsid w:val="00AC3308"/>
    <w:rsid w:val="00AC3429"/>
    <w:rsid w:val="00AC3F10"/>
    <w:rsid w:val="00AC418D"/>
    <w:rsid w:val="00AC475A"/>
    <w:rsid w:val="00AC51DF"/>
    <w:rsid w:val="00AC56DF"/>
    <w:rsid w:val="00AC5807"/>
    <w:rsid w:val="00AC5995"/>
    <w:rsid w:val="00AC6447"/>
    <w:rsid w:val="00AC6E86"/>
    <w:rsid w:val="00AC6EDD"/>
    <w:rsid w:val="00AC7875"/>
    <w:rsid w:val="00AC78C2"/>
    <w:rsid w:val="00AC7D20"/>
    <w:rsid w:val="00AD089F"/>
    <w:rsid w:val="00AD0AA1"/>
    <w:rsid w:val="00AD1535"/>
    <w:rsid w:val="00AD15EC"/>
    <w:rsid w:val="00AD168B"/>
    <w:rsid w:val="00AD193D"/>
    <w:rsid w:val="00AD1D74"/>
    <w:rsid w:val="00AD1F53"/>
    <w:rsid w:val="00AD2CF4"/>
    <w:rsid w:val="00AD3090"/>
    <w:rsid w:val="00AD3629"/>
    <w:rsid w:val="00AD41DE"/>
    <w:rsid w:val="00AD464A"/>
    <w:rsid w:val="00AD5C51"/>
    <w:rsid w:val="00AD5D17"/>
    <w:rsid w:val="00AD6861"/>
    <w:rsid w:val="00AD72E2"/>
    <w:rsid w:val="00AE00BC"/>
    <w:rsid w:val="00AE035B"/>
    <w:rsid w:val="00AE0574"/>
    <w:rsid w:val="00AE0768"/>
    <w:rsid w:val="00AE08FB"/>
    <w:rsid w:val="00AE0D4F"/>
    <w:rsid w:val="00AE17A8"/>
    <w:rsid w:val="00AE21A9"/>
    <w:rsid w:val="00AE2D51"/>
    <w:rsid w:val="00AE3D7D"/>
    <w:rsid w:val="00AE443C"/>
    <w:rsid w:val="00AE52B5"/>
    <w:rsid w:val="00AE603B"/>
    <w:rsid w:val="00AE64ED"/>
    <w:rsid w:val="00AE65D8"/>
    <w:rsid w:val="00AE678C"/>
    <w:rsid w:val="00AE7D26"/>
    <w:rsid w:val="00AF0F43"/>
    <w:rsid w:val="00AF0FF8"/>
    <w:rsid w:val="00AF292D"/>
    <w:rsid w:val="00AF3066"/>
    <w:rsid w:val="00AF3B5A"/>
    <w:rsid w:val="00AF4510"/>
    <w:rsid w:val="00AF4711"/>
    <w:rsid w:val="00AF4B4D"/>
    <w:rsid w:val="00AF4EB5"/>
    <w:rsid w:val="00AF55C2"/>
    <w:rsid w:val="00AF5F8B"/>
    <w:rsid w:val="00AF6733"/>
    <w:rsid w:val="00AF6763"/>
    <w:rsid w:val="00B001C4"/>
    <w:rsid w:val="00B00768"/>
    <w:rsid w:val="00B014E5"/>
    <w:rsid w:val="00B01CF1"/>
    <w:rsid w:val="00B040A6"/>
    <w:rsid w:val="00B042E6"/>
    <w:rsid w:val="00B0480A"/>
    <w:rsid w:val="00B059D0"/>
    <w:rsid w:val="00B061EF"/>
    <w:rsid w:val="00B06251"/>
    <w:rsid w:val="00B064AD"/>
    <w:rsid w:val="00B065DC"/>
    <w:rsid w:val="00B076F6"/>
    <w:rsid w:val="00B07E22"/>
    <w:rsid w:val="00B1093F"/>
    <w:rsid w:val="00B11787"/>
    <w:rsid w:val="00B119BB"/>
    <w:rsid w:val="00B1217E"/>
    <w:rsid w:val="00B121AB"/>
    <w:rsid w:val="00B137DD"/>
    <w:rsid w:val="00B13855"/>
    <w:rsid w:val="00B13FF3"/>
    <w:rsid w:val="00B14F55"/>
    <w:rsid w:val="00B15AE0"/>
    <w:rsid w:val="00B163A8"/>
    <w:rsid w:val="00B16578"/>
    <w:rsid w:val="00B16C61"/>
    <w:rsid w:val="00B16C76"/>
    <w:rsid w:val="00B17559"/>
    <w:rsid w:val="00B201CC"/>
    <w:rsid w:val="00B20430"/>
    <w:rsid w:val="00B2047C"/>
    <w:rsid w:val="00B21AC9"/>
    <w:rsid w:val="00B21B8A"/>
    <w:rsid w:val="00B2211E"/>
    <w:rsid w:val="00B2215B"/>
    <w:rsid w:val="00B22264"/>
    <w:rsid w:val="00B22997"/>
    <w:rsid w:val="00B232FD"/>
    <w:rsid w:val="00B23ACE"/>
    <w:rsid w:val="00B23FB5"/>
    <w:rsid w:val="00B24038"/>
    <w:rsid w:val="00B26105"/>
    <w:rsid w:val="00B27009"/>
    <w:rsid w:val="00B2705C"/>
    <w:rsid w:val="00B2772A"/>
    <w:rsid w:val="00B279C5"/>
    <w:rsid w:val="00B27C94"/>
    <w:rsid w:val="00B31061"/>
    <w:rsid w:val="00B31F88"/>
    <w:rsid w:val="00B324AC"/>
    <w:rsid w:val="00B32C27"/>
    <w:rsid w:val="00B32DB6"/>
    <w:rsid w:val="00B33038"/>
    <w:rsid w:val="00B33234"/>
    <w:rsid w:val="00B33B89"/>
    <w:rsid w:val="00B33E1A"/>
    <w:rsid w:val="00B33E46"/>
    <w:rsid w:val="00B33F52"/>
    <w:rsid w:val="00B34FBA"/>
    <w:rsid w:val="00B34FC3"/>
    <w:rsid w:val="00B35050"/>
    <w:rsid w:val="00B35099"/>
    <w:rsid w:val="00B3555C"/>
    <w:rsid w:val="00B3598C"/>
    <w:rsid w:val="00B35D58"/>
    <w:rsid w:val="00B361B9"/>
    <w:rsid w:val="00B364B5"/>
    <w:rsid w:val="00B37233"/>
    <w:rsid w:val="00B37630"/>
    <w:rsid w:val="00B37AA6"/>
    <w:rsid w:val="00B4040C"/>
    <w:rsid w:val="00B404A2"/>
    <w:rsid w:val="00B413F2"/>
    <w:rsid w:val="00B417D2"/>
    <w:rsid w:val="00B41F30"/>
    <w:rsid w:val="00B428A5"/>
    <w:rsid w:val="00B42DFA"/>
    <w:rsid w:val="00B4327D"/>
    <w:rsid w:val="00B43A6E"/>
    <w:rsid w:val="00B44256"/>
    <w:rsid w:val="00B44C29"/>
    <w:rsid w:val="00B458C8"/>
    <w:rsid w:val="00B45F1C"/>
    <w:rsid w:val="00B465F5"/>
    <w:rsid w:val="00B46912"/>
    <w:rsid w:val="00B46B0F"/>
    <w:rsid w:val="00B471DC"/>
    <w:rsid w:val="00B47243"/>
    <w:rsid w:val="00B47A4D"/>
    <w:rsid w:val="00B50AF8"/>
    <w:rsid w:val="00B518F0"/>
    <w:rsid w:val="00B51C1F"/>
    <w:rsid w:val="00B525B8"/>
    <w:rsid w:val="00B5346D"/>
    <w:rsid w:val="00B537FD"/>
    <w:rsid w:val="00B53C1C"/>
    <w:rsid w:val="00B54A68"/>
    <w:rsid w:val="00B54C5C"/>
    <w:rsid w:val="00B54F3B"/>
    <w:rsid w:val="00B55A92"/>
    <w:rsid w:val="00B560DA"/>
    <w:rsid w:val="00B5625C"/>
    <w:rsid w:val="00B56509"/>
    <w:rsid w:val="00B56669"/>
    <w:rsid w:val="00B60948"/>
    <w:rsid w:val="00B616AF"/>
    <w:rsid w:val="00B61C02"/>
    <w:rsid w:val="00B625B1"/>
    <w:rsid w:val="00B64C8F"/>
    <w:rsid w:val="00B64D0E"/>
    <w:rsid w:val="00B658AB"/>
    <w:rsid w:val="00B66EF8"/>
    <w:rsid w:val="00B67582"/>
    <w:rsid w:val="00B67AE7"/>
    <w:rsid w:val="00B700A9"/>
    <w:rsid w:val="00B703FA"/>
    <w:rsid w:val="00B71683"/>
    <w:rsid w:val="00B71876"/>
    <w:rsid w:val="00B71AB0"/>
    <w:rsid w:val="00B727B0"/>
    <w:rsid w:val="00B7289E"/>
    <w:rsid w:val="00B73BE8"/>
    <w:rsid w:val="00B748FC"/>
    <w:rsid w:val="00B755FA"/>
    <w:rsid w:val="00B75931"/>
    <w:rsid w:val="00B76D29"/>
    <w:rsid w:val="00B76FBA"/>
    <w:rsid w:val="00B7713B"/>
    <w:rsid w:val="00B77959"/>
    <w:rsid w:val="00B77C19"/>
    <w:rsid w:val="00B80026"/>
    <w:rsid w:val="00B802A0"/>
    <w:rsid w:val="00B8034E"/>
    <w:rsid w:val="00B808BD"/>
    <w:rsid w:val="00B80987"/>
    <w:rsid w:val="00B80A34"/>
    <w:rsid w:val="00B80A7E"/>
    <w:rsid w:val="00B80C2C"/>
    <w:rsid w:val="00B80E7D"/>
    <w:rsid w:val="00B81182"/>
    <w:rsid w:val="00B811E6"/>
    <w:rsid w:val="00B8162B"/>
    <w:rsid w:val="00B81E16"/>
    <w:rsid w:val="00B81FA8"/>
    <w:rsid w:val="00B830A2"/>
    <w:rsid w:val="00B8325E"/>
    <w:rsid w:val="00B83905"/>
    <w:rsid w:val="00B83C82"/>
    <w:rsid w:val="00B84F68"/>
    <w:rsid w:val="00B8568A"/>
    <w:rsid w:val="00B857D4"/>
    <w:rsid w:val="00B85821"/>
    <w:rsid w:val="00B86457"/>
    <w:rsid w:val="00B867D7"/>
    <w:rsid w:val="00B86AC5"/>
    <w:rsid w:val="00B86F5F"/>
    <w:rsid w:val="00B878B7"/>
    <w:rsid w:val="00B87AA0"/>
    <w:rsid w:val="00B87BD1"/>
    <w:rsid w:val="00B87F38"/>
    <w:rsid w:val="00B90171"/>
    <w:rsid w:val="00B901D9"/>
    <w:rsid w:val="00B90681"/>
    <w:rsid w:val="00B90966"/>
    <w:rsid w:val="00B90A7A"/>
    <w:rsid w:val="00B92AAE"/>
    <w:rsid w:val="00B936C5"/>
    <w:rsid w:val="00B93B3C"/>
    <w:rsid w:val="00B93BDA"/>
    <w:rsid w:val="00B93C37"/>
    <w:rsid w:val="00B93DB6"/>
    <w:rsid w:val="00B94786"/>
    <w:rsid w:val="00B94E37"/>
    <w:rsid w:val="00B9560F"/>
    <w:rsid w:val="00B95FA4"/>
    <w:rsid w:val="00B9638A"/>
    <w:rsid w:val="00B964F1"/>
    <w:rsid w:val="00B9691F"/>
    <w:rsid w:val="00B96DC6"/>
    <w:rsid w:val="00B96E48"/>
    <w:rsid w:val="00B96E62"/>
    <w:rsid w:val="00B96E8E"/>
    <w:rsid w:val="00B976AE"/>
    <w:rsid w:val="00B97CA0"/>
    <w:rsid w:val="00B97F04"/>
    <w:rsid w:val="00BA074E"/>
    <w:rsid w:val="00BA0BDF"/>
    <w:rsid w:val="00BA0DBC"/>
    <w:rsid w:val="00BA14DE"/>
    <w:rsid w:val="00BA154A"/>
    <w:rsid w:val="00BA3221"/>
    <w:rsid w:val="00BA37C3"/>
    <w:rsid w:val="00BA40DC"/>
    <w:rsid w:val="00BA40E6"/>
    <w:rsid w:val="00BA4717"/>
    <w:rsid w:val="00BA4784"/>
    <w:rsid w:val="00BA4832"/>
    <w:rsid w:val="00BA4EBF"/>
    <w:rsid w:val="00BA53F8"/>
    <w:rsid w:val="00BA5B7E"/>
    <w:rsid w:val="00BA61BB"/>
    <w:rsid w:val="00BA67E9"/>
    <w:rsid w:val="00BA68C1"/>
    <w:rsid w:val="00BA70BC"/>
    <w:rsid w:val="00BA7556"/>
    <w:rsid w:val="00BA77C5"/>
    <w:rsid w:val="00BA7B8F"/>
    <w:rsid w:val="00BA7E5F"/>
    <w:rsid w:val="00BB1ED3"/>
    <w:rsid w:val="00BB226D"/>
    <w:rsid w:val="00BB2A58"/>
    <w:rsid w:val="00BB2F33"/>
    <w:rsid w:val="00BB352A"/>
    <w:rsid w:val="00BB3C38"/>
    <w:rsid w:val="00BB4406"/>
    <w:rsid w:val="00BB474E"/>
    <w:rsid w:val="00BB494A"/>
    <w:rsid w:val="00BB4DBA"/>
    <w:rsid w:val="00BB5772"/>
    <w:rsid w:val="00BB5E1B"/>
    <w:rsid w:val="00BB5E69"/>
    <w:rsid w:val="00BB6165"/>
    <w:rsid w:val="00BB6818"/>
    <w:rsid w:val="00BB6A83"/>
    <w:rsid w:val="00BB6EC1"/>
    <w:rsid w:val="00BB73B2"/>
    <w:rsid w:val="00BB78B2"/>
    <w:rsid w:val="00BC0E81"/>
    <w:rsid w:val="00BC1674"/>
    <w:rsid w:val="00BC1D13"/>
    <w:rsid w:val="00BC2214"/>
    <w:rsid w:val="00BC238E"/>
    <w:rsid w:val="00BC28D7"/>
    <w:rsid w:val="00BC2C13"/>
    <w:rsid w:val="00BC34CF"/>
    <w:rsid w:val="00BC4024"/>
    <w:rsid w:val="00BC6C83"/>
    <w:rsid w:val="00BC6DBA"/>
    <w:rsid w:val="00BC73E4"/>
    <w:rsid w:val="00BC7539"/>
    <w:rsid w:val="00BC7837"/>
    <w:rsid w:val="00BC78E3"/>
    <w:rsid w:val="00BC7B6F"/>
    <w:rsid w:val="00BD0DC5"/>
    <w:rsid w:val="00BD13C4"/>
    <w:rsid w:val="00BD19E7"/>
    <w:rsid w:val="00BD1AB6"/>
    <w:rsid w:val="00BD1B28"/>
    <w:rsid w:val="00BD1DF5"/>
    <w:rsid w:val="00BD2273"/>
    <w:rsid w:val="00BD2BC2"/>
    <w:rsid w:val="00BD31DE"/>
    <w:rsid w:val="00BD3528"/>
    <w:rsid w:val="00BD3D09"/>
    <w:rsid w:val="00BD3FC4"/>
    <w:rsid w:val="00BD4936"/>
    <w:rsid w:val="00BD4DFE"/>
    <w:rsid w:val="00BD4F4B"/>
    <w:rsid w:val="00BD5DF1"/>
    <w:rsid w:val="00BD6538"/>
    <w:rsid w:val="00BD6BB2"/>
    <w:rsid w:val="00BD6C06"/>
    <w:rsid w:val="00BD7861"/>
    <w:rsid w:val="00BD78A3"/>
    <w:rsid w:val="00BD798B"/>
    <w:rsid w:val="00BD7C79"/>
    <w:rsid w:val="00BE038B"/>
    <w:rsid w:val="00BE03A4"/>
    <w:rsid w:val="00BE0B84"/>
    <w:rsid w:val="00BE0FDB"/>
    <w:rsid w:val="00BE1529"/>
    <w:rsid w:val="00BE15B0"/>
    <w:rsid w:val="00BE16FF"/>
    <w:rsid w:val="00BE1705"/>
    <w:rsid w:val="00BE1F9F"/>
    <w:rsid w:val="00BE21A0"/>
    <w:rsid w:val="00BE2295"/>
    <w:rsid w:val="00BE2BEE"/>
    <w:rsid w:val="00BE2F6D"/>
    <w:rsid w:val="00BE3208"/>
    <w:rsid w:val="00BE3AF3"/>
    <w:rsid w:val="00BE3B6D"/>
    <w:rsid w:val="00BE444C"/>
    <w:rsid w:val="00BE4C44"/>
    <w:rsid w:val="00BE4C9F"/>
    <w:rsid w:val="00BE4E7F"/>
    <w:rsid w:val="00BE4E97"/>
    <w:rsid w:val="00BE5807"/>
    <w:rsid w:val="00BE5BE5"/>
    <w:rsid w:val="00BE5E2E"/>
    <w:rsid w:val="00BE5FF5"/>
    <w:rsid w:val="00BE5FFF"/>
    <w:rsid w:val="00BE65DD"/>
    <w:rsid w:val="00BE72C1"/>
    <w:rsid w:val="00BE7C73"/>
    <w:rsid w:val="00BF0D54"/>
    <w:rsid w:val="00BF1641"/>
    <w:rsid w:val="00BF1787"/>
    <w:rsid w:val="00BF1F5D"/>
    <w:rsid w:val="00BF3130"/>
    <w:rsid w:val="00BF3477"/>
    <w:rsid w:val="00BF34DC"/>
    <w:rsid w:val="00BF36CC"/>
    <w:rsid w:val="00BF4D54"/>
    <w:rsid w:val="00BF52DF"/>
    <w:rsid w:val="00BF55E0"/>
    <w:rsid w:val="00BF56C1"/>
    <w:rsid w:val="00BF64A0"/>
    <w:rsid w:val="00BF64D6"/>
    <w:rsid w:val="00BF664D"/>
    <w:rsid w:val="00BF69C9"/>
    <w:rsid w:val="00BF6CDB"/>
    <w:rsid w:val="00BF73D5"/>
    <w:rsid w:val="00BF746C"/>
    <w:rsid w:val="00BF7A7B"/>
    <w:rsid w:val="00C00111"/>
    <w:rsid w:val="00C006E0"/>
    <w:rsid w:val="00C01218"/>
    <w:rsid w:val="00C01605"/>
    <w:rsid w:val="00C02A8B"/>
    <w:rsid w:val="00C031CB"/>
    <w:rsid w:val="00C03915"/>
    <w:rsid w:val="00C045E6"/>
    <w:rsid w:val="00C0563A"/>
    <w:rsid w:val="00C06085"/>
    <w:rsid w:val="00C06417"/>
    <w:rsid w:val="00C0663D"/>
    <w:rsid w:val="00C07493"/>
    <w:rsid w:val="00C07879"/>
    <w:rsid w:val="00C1068E"/>
    <w:rsid w:val="00C11421"/>
    <w:rsid w:val="00C11662"/>
    <w:rsid w:val="00C11B8E"/>
    <w:rsid w:val="00C11DEB"/>
    <w:rsid w:val="00C11F35"/>
    <w:rsid w:val="00C12F9F"/>
    <w:rsid w:val="00C12FFE"/>
    <w:rsid w:val="00C133FF"/>
    <w:rsid w:val="00C136C7"/>
    <w:rsid w:val="00C13B84"/>
    <w:rsid w:val="00C13C73"/>
    <w:rsid w:val="00C14D7C"/>
    <w:rsid w:val="00C14E5C"/>
    <w:rsid w:val="00C16D7A"/>
    <w:rsid w:val="00C17667"/>
    <w:rsid w:val="00C17DA6"/>
    <w:rsid w:val="00C20116"/>
    <w:rsid w:val="00C206E1"/>
    <w:rsid w:val="00C20CC4"/>
    <w:rsid w:val="00C21D12"/>
    <w:rsid w:val="00C22021"/>
    <w:rsid w:val="00C22081"/>
    <w:rsid w:val="00C22564"/>
    <w:rsid w:val="00C22C8D"/>
    <w:rsid w:val="00C23909"/>
    <w:rsid w:val="00C23A8E"/>
    <w:rsid w:val="00C23BBC"/>
    <w:rsid w:val="00C2413C"/>
    <w:rsid w:val="00C24194"/>
    <w:rsid w:val="00C244A5"/>
    <w:rsid w:val="00C24ACA"/>
    <w:rsid w:val="00C24F80"/>
    <w:rsid w:val="00C251EF"/>
    <w:rsid w:val="00C256FB"/>
    <w:rsid w:val="00C2577F"/>
    <w:rsid w:val="00C258EA"/>
    <w:rsid w:val="00C259BF"/>
    <w:rsid w:val="00C25C23"/>
    <w:rsid w:val="00C25EAC"/>
    <w:rsid w:val="00C25ECB"/>
    <w:rsid w:val="00C26296"/>
    <w:rsid w:val="00C262EB"/>
    <w:rsid w:val="00C265B5"/>
    <w:rsid w:val="00C26C6E"/>
    <w:rsid w:val="00C2727C"/>
    <w:rsid w:val="00C30720"/>
    <w:rsid w:val="00C3087D"/>
    <w:rsid w:val="00C308DC"/>
    <w:rsid w:val="00C315F1"/>
    <w:rsid w:val="00C3165F"/>
    <w:rsid w:val="00C3193B"/>
    <w:rsid w:val="00C31EF2"/>
    <w:rsid w:val="00C333FD"/>
    <w:rsid w:val="00C33698"/>
    <w:rsid w:val="00C344D7"/>
    <w:rsid w:val="00C34689"/>
    <w:rsid w:val="00C350C3"/>
    <w:rsid w:val="00C3533B"/>
    <w:rsid w:val="00C364C9"/>
    <w:rsid w:val="00C37912"/>
    <w:rsid w:val="00C40570"/>
    <w:rsid w:val="00C40B75"/>
    <w:rsid w:val="00C41393"/>
    <w:rsid w:val="00C41C9B"/>
    <w:rsid w:val="00C42649"/>
    <w:rsid w:val="00C42981"/>
    <w:rsid w:val="00C4350C"/>
    <w:rsid w:val="00C442CB"/>
    <w:rsid w:val="00C442EF"/>
    <w:rsid w:val="00C4444F"/>
    <w:rsid w:val="00C44B22"/>
    <w:rsid w:val="00C44DF0"/>
    <w:rsid w:val="00C452D6"/>
    <w:rsid w:val="00C454B5"/>
    <w:rsid w:val="00C45BD8"/>
    <w:rsid w:val="00C45D80"/>
    <w:rsid w:val="00C45E76"/>
    <w:rsid w:val="00C460F2"/>
    <w:rsid w:val="00C47AB1"/>
    <w:rsid w:val="00C5010D"/>
    <w:rsid w:val="00C50FF6"/>
    <w:rsid w:val="00C517C7"/>
    <w:rsid w:val="00C51B34"/>
    <w:rsid w:val="00C51BDC"/>
    <w:rsid w:val="00C51F8D"/>
    <w:rsid w:val="00C525A1"/>
    <w:rsid w:val="00C52710"/>
    <w:rsid w:val="00C543D8"/>
    <w:rsid w:val="00C54599"/>
    <w:rsid w:val="00C55CEF"/>
    <w:rsid w:val="00C56033"/>
    <w:rsid w:val="00C5683A"/>
    <w:rsid w:val="00C56A95"/>
    <w:rsid w:val="00C57D34"/>
    <w:rsid w:val="00C60F89"/>
    <w:rsid w:val="00C619E6"/>
    <w:rsid w:val="00C61DCC"/>
    <w:rsid w:val="00C622D3"/>
    <w:rsid w:val="00C62DED"/>
    <w:rsid w:val="00C62E7C"/>
    <w:rsid w:val="00C6310A"/>
    <w:rsid w:val="00C6340C"/>
    <w:rsid w:val="00C63532"/>
    <w:rsid w:val="00C64112"/>
    <w:rsid w:val="00C646B8"/>
    <w:rsid w:val="00C64B8E"/>
    <w:rsid w:val="00C659A6"/>
    <w:rsid w:val="00C65DBF"/>
    <w:rsid w:val="00C65E61"/>
    <w:rsid w:val="00C660F5"/>
    <w:rsid w:val="00C661F3"/>
    <w:rsid w:val="00C66839"/>
    <w:rsid w:val="00C66F12"/>
    <w:rsid w:val="00C673A9"/>
    <w:rsid w:val="00C67DA9"/>
    <w:rsid w:val="00C70469"/>
    <w:rsid w:val="00C709D8"/>
    <w:rsid w:val="00C70BD7"/>
    <w:rsid w:val="00C7158B"/>
    <w:rsid w:val="00C71E18"/>
    <w:rsid w:val="00C7237B"/>
    <w:rsid w:val="00C733A3"/>
    <w:rsid w:val="00C73D82"/>
    <w:rsid w:val="00C74D55"/>
    <w:rsid w:val="00C756B0"/>
    <w:rsid w:val="00C757F9"/>
    <w:rsid w:val="00C76AFC"/>
    <w:rsid w:val="00C776DD"/>
    <w:rsid w:val="00C80AFF"/>
    <w:rsid w:val="00C80B2B"/>
    <w:rsid w:val="00C8114B"/>
    <w:rsid w:val="00C81355"/>
    <w:rsid w:val="00C813FF"/>
    <w:rsid w:val="00C8142B"/>
    <w:rsid w:val="00C8153D"/>
    <w:rsid w:val="00C817F6"/>
    <w:rsid w:val="00C81860"/>
    <w:rsid w:val="00C81E59"/>
    <w:rsid w:val="00C83560"/>
    <w:rsid w:val="00C8371F"/>
    <w:rsid w:val="00C84558"/>
    <w:rsid w:val="00C84596"/>
    <w:rsid w:val="00C84BD8"/>
    <w:rsid w:val="00C84C59"/>
    <w:rsid w:val="00C84D98"/>
    <w:rsid w:val="00C84F15"/>
    <w:rsid w:val="00C85841"/>
    <w:rsid w:val="00C86753"/>
    <w:rsid w:val="00C8714D"/>
    <w:rsid w:val="00C874FD"/>
    <w:rsid w:val="00C877F4"/>
    <w:rsid w:val="00C87890"/>
    <w:rsid w:val="00C87991"/>
    <w:rsid w:val="00C87D88"/>
    <w:rsid w:val="00C87F82"/>
    <w:rsid w:val="00C9028F"/>
    <w:rsid w:val="00C902BC"/>
    <w:rsid w:val="00C90B53"/>
    <w:rsid w:val="00C91017"/>
    <w:rsid w:val="00C91818"/>
    <w:rsid w:val="00C92534"/>
    <w:rsid w:val="00C92EA5"/>
    <w:rsid w:val="00C93681"/>
    <w:rsid w:val="00C939D1"/>
    <w:rsid w:val="00C93DE3"/>
    <w:rsid w:val="00C9447A"/>
    <w:rsid w:val="00C947E9"/>
    <w:rsid w:val="00C94997"/>
    <w:rsid w:val="00C94A39"/>
    <w:rsid w:val="00C94D1C"/>
    <w:rsid w:val="00C94DF9"/>
    <w:rsid w:val="00C94EA6"/>
    <w:rsid w:val="00C94EE5"/>
    <w:rsid w:val="00C94F5F"/>
    <w:rsid w:val="00C9515D"/>
    <w:rsid w:val="00C95286"/>
    <w:rsid w:val="00C95358"/>
    <w:rsid w:val="00C95887"/>
    <w:rsid w:val="00C95F53"/>
    <w:rsid w:val="00C95FC2"/>
    <w:rsid w:val="00C96ACF"/>
    <w:rsid w:val="00C9761B"/>
    <w:rsid w:val="00CA01A4"/>
    <w:rsid w:val="00CA04A5"/>
    <w:rsid w:val="00CA0748"/>
    <w:rsid w:val="00CA0C9D"/>
    <w:rsid w:val="00CA24DB"/>
    <w:rsid w:val="00CA3612"/>
    <w:rsid w:val="00CA3C05"/>
    <w:rsid w:val="00CA3E59"/>
    <w:rsid w:val="00CA5CC4"/>
    <w:rsid w:val="00CA608A"/>
    <w:rsid w:val="00CA65E1"/>
    <w:rsid w:val="00CA6EC0"/>
    <w:rsid w:val="00CA70CC"/>
    <w:rsid w:val="00CA710C"/>
    <w:rsid w:val="00CB07ED"/>
    <w:rsid w:val="00CB1524"/>
    <w:rsid w:val="00CB15F2"/>
    <w:rsid w:val="00CB17F8"/>
    <w:rsid w:val="00CB1A75"/>
    <w:rsid w:val="00CB203D"/>
    <w:rsid w:val="00CB2AB1"/>
    <w:rsid w:val="00CB2DA3"/>
    <w:rsid w:val="00CB33BD"/>
    <w:rsid w:val="00CB35DF"/>
    <w:rsid w:val="00CB3E28"/>
    <w:rsid w:val="00CB47E7"/>
    <w:rsid w:val="00CB495C"/>
    <w:rsid w:val="00CB4E0C"/>
    <w:rsid w:val="00CB5ADE"/>
    <w:rsid w:val="00CB5BC6"/>
    <w:rsid w:val="00CB6F19"/>
    <w:rsid w:val="00CB7470"/>
    <w:rsid w:val="00CB7562"/>
    <w:rsid w:val="00CB7835"/>
    <w:rsid w:val="00CB78D3"/>
    <w:rsid w:val="00CB79A4"/>
    <w:rsid w:val="00CC075D"/>
    <w:rsid w:val="00CC0A25"/>
    <w:rsid w:val="00CC21DC"/>
    <w:rsid w:val="00CC2BB6"/>
    <w:rsid w:val="00CC316B"/>
    <w:rsid w:val="00CC3EA4"/>
    <w:rsid w:val="00CC4790"/>
    <w:rsid w:val="00CC49F5"/>
    <w:rsid w:val="00CC4DBE"/>
    <w:rsid w:val="00CC5AC5"/>
    <w:rsid w:val="00CC772C"/>
    <w:rsid w:val="00CC7CFE"/>
    <w:rsid w:val="00CC7F13"/>
    <w:rsid w:val="00CD0EA7"/>
    <w:rsid w:val="00CD11C4"/>
    <w:rsid w:val="00CD2B88"/>
    <w:rsid w:val="00CD2D37"/>
    <w:rsid w:val="00CD2D3A"/>
    <w:rsid w:val="00CD3126"/>
    <w:rsid w:val="00CD32A1"/>
    <w:rsid w:val="00CD36BD"/>
    <w:rsid w:val="00CD4219"/>
    <w:rsid w:val="00CD4D2A"/>
    <w:rsid w:val="00CD4E50"/>
    <w:rsid w:val="00CD52B6"/>
    <w:rsid w:val="00CD5532"/>
    <w:rsid w:val="00CD5792"/>
    <w:rsid w:val="00CD5C6A"/>
    <w:rsid w:val="00CD6D93"/>
    <w:rsid w:val="00CD735B"/>
    <w:rsid w:val="00CD78B2"/>
    <w:rsid w:val="00CE0520"/>
    <w:rsid w:val="00CE0841"/>
    <w:rsid w:val="00CE0F85"/>
    <w:rsid w:val="00CE1DEF"/>
    <w:rsid w:val="00CE1FFD"/>
    <w:rsid w:val="00CE3654"/>
    <w:rsid w:val="00CE59C4"/>
    <w:rsid w:val="00CE5E57"/>
    <w:rsid w:val="00CE5EF4"/>
    <w:rsid w:val="00CE5FA2"/>
    <w:rsid w:val="00CE6285"/>
    <w:rsid w:val="00CE62A6"/>
    <w:rsid w:val="00CE6FAC"/>
    <w:rsid w:val="00CE723B"/>
    <w:rsid w:val="00CE77BC"/>
    <w:rsid w:val="00CE77D1"/>
    <w:rsid w:val="00CE798F"/>
    <w:rsid w:val="00CF0310"/>
    <w:rsid w:val="00CF0505"/>
    <w:rsid w:val="00CF068B"/>
    <w:rsid w:val="00CF0722"/>
    <w:rsid w:val="00CF0DA2"/>
    <w:rsid w:val="00CF0FB7"/>
    <w:rsid w:val="00CF123D"/>
    <w:rsid w:val="00CF1630"/>
    <w:rsid w:val="00CF1C54"/>
    <w:rsid w:val="00CF1E84"/>
    <w:rsid w:val="00CF26D7"/>
    <w:rsid w:val="00CF2B40"/>
    <w:rsid w:val="00CF35EB"/>
    <w:rsid w:val="00CF415F"/>
    <w:rsid w:val="00CF4452"/>
    <w:rsid w:val="00CF475F"/>
    <w:rsid w:val="00CF4A4A"/>
    <w:rsid w:val="00CF58F9"/>
    <w:rsid w:val="00CF5BE9"/>
    <w:rsid w:val="00CF6D28"/>
    <w:rsid w:val="00D0111E"/>
    <w:rsid w:val="00D0116E"/>
    <w:rsid w:val="00D01197"/>
    <w:rsid w:val="00D01292"/>
    <w:rsid w:val="00D01448"/>
    <w:rsid w:val="00D01737"/>
    <w:rsid w:val="00D017F3"/>
    <w:rsid w:val="00D024CB"/>
    <w:rsid w:val="00D02A64"/>
    <w:rsid w:val="00D03BD4"/>
    <w:rsid w:val="00D045AC"/>
    <w:rsid w:val="00D04A8D"/>
    <w:rsid w:val="00D04C78"/>
    <w:rsid w:val="00D05896"/>
    <w:rsid w:val="00D05A44"/>
    <w:rsid w:val="00D05B87"/>
    <w:rsid w:val="00D0659B"/>
    <w:rsid w:val="00D06726"/>
    <w:rsid w:val="00D06DDF"/>
    <w:rsid w:val="00D0738C"/>
    <w:rsid w:val="00D10042"/>
    <w:rsid w:val="00D10267"/>
    <w:rsid w:val="00D105B1"/>
    <w:rsid w:val="00D10723"/>
    <w:rsid w:val="00D10A63"/>
    <w:rsid w:val="00D10C66"/>
    <w:rsid w:val="00D10DC6"/>
    <w:rsid w:val="00D10ED5"/>
    <w:rsid w:val="00D116A1"/>
    <w:rsid w:val="00D11931"/>
    <w:rsid w:val="00D13DDD"/>
    <w:rsid w:val="00D144AC"/>
    <w:rsid w:val="00D1484D"/>
    <w:rsid w:val="00D14C7A"/>
    <w:rsid w:val="00D14FC1"/>
    <w:rsid w:val="00D15793"/>
    <w:rsid w:val="00D16855"/>
    <w:rsid w:val="00D16857"/>
    <w:rsid w:val="00D16C8E"/>
    <w:rsid w:val="00D172E9"/>
    <w:rsid w:val="00D200E5"/>
    <w:rsid w:val="00D20182"/>
    <w:rsid w:val="00D207AC"/>
    <w:rsid w:val="00D20E92"/>
    <w:rsid w:val="00D21322"/>
    <w:rsid w:val="00D216F9"/>
    <w:rsid w:val="00D21903"/>
    <w:rsid w:val="00D21BD3"/>
    <w:rsid w:val="00D21C91"/>
    <w:rsid w:val="00D21CC0"/>
    <w:rsid w:val="00D22143"/>
    <w:rsid w:val="00D22FB1"/>
    <w:rsid w:val="00D234C3"/>
    <w:rsid w:val="00D2350C"/>
    <w:rsid w:val="00D23CC3"/>
    <w:rsid w:val="00D23DCB"/>
    <w:rsid w:val="00D23F65"/>
    <w:rsid w:val="00D24008"/>
    <w:rsid w:val="00D24923"/>
    <w:rsid w:val="00D251EC"/>
    <w:rsid w:val="00D25391"/>
    <w:rsid w:val="00D25553"/>
    <w:rsid w:val="00D25CF1"/>
    <w:rsid w:val="00D261C3"/>
    <w:rsid w:val="00D27578"/>
    <w:rsid w:val="00D275E9"/>
    <w:rsid w:val="00D27841"/>
    <w:rsid w:val="00D31CCD"/>
    <w:rsid w:val="00D31E25"/>
    <w:rsid w:val="00D31EBB"/>
    <w:rsid w:val="00D32518"/>
    <w:rsid w:val="00D33628"/>
    <w:rsid w:val="00D33A05"/>
    <w:rsid w:val="00D34090"/>
    <w:rsid w:val="00D348A8"/>
    <w:rsid w:val="00D34ABF"/>
    <w:rsid w:val="00D34CC2"/>
    <w:rsid w:val="00D35317"/>
    <w:rsid w:val="00D36316"/>
    <w:rsid w:val="00D36501"/>
    <w:rsid w:val="00D366DD"/>
    <w:rsid w:val="00D36C33"/>
    <w:rsid w:val="00D377ED"/>
    <w:rsid w:val="00D37A6C"/>
    <w:rsid w:val="00D40841"/>
    <w:rsid w:val="00D40F6F"/>
    <w:rsid w:val="00D42A29"/>
    <w:rsid w:val="00D43574"/>
    <w:rsid w:val="00D44058"/>
    <w:rsid w:val="00D4412B"/>
    <w:rsid w:val="00D4430E"/>
    <w:rsid w:val="00D44B70"/>
    <w:rsid w:val="00D45EEE"/>
    <w:rsid w:val="00D46485"/>
    <w:rsid w:val="00D46909"/>
    <w:rsid w:val="00D46DE5"/>
    <w:rsid w:val="00D477E1"/>
    <w:rsid w:val="00D5011C"/>
    <w:rsid w:val="00D5125D"/>
    <w:rsid w:val="00D513F0"/>
    <w:rsid w:val="00D51B96"/>
    <w:rsid w:val="00D52CEF"/>
    <w:rsid w:val="00D533E5"/>
    <w:rsid w:val="00D536B9"/>
    <w:rsid w:val="00D53801"/>
    <w:rsid w:val="00D53999"/>
    <w:rsid w:val="00D54BAA"/>
    <w:rsid w:val="00D54C36"/>
    <w:rsid w:val="00D55CBA"/>
    <w:rsid w:val="00D56FCC"/>
    <w:rsid w:val="00D57860"/>
    <w:rsid w:val="00D57BC4"/>
    <w:rsid w:val="00D57C1C"/>
    <w:rsid w:val="00D57EAE"/>
    <w:rsid w:val="00D57EEA"/>
    <w:rsid w:val="00D60D30"/>
    <w:rsid w:val="00D60F13"/>
    <w:rsid w:val="00D6110D"/>
    <w:rsid w:val="00D6229A"/>
    <w:rsid w:val="00D622C4"/>
    <w:rsid w:val="00D623A7"/>
    <w:rsid w:val="00D623FA"/>
    <w:rsid w:val="00D62732"/>
    <w:rsid w:val="00D62A33"/>
    <w:rsid w:val="00D62C1D"/>
    <w:rsid w:val="00D62EC5"/>
    <w:rsid w:val="00D6319B"/>
    <w:rsid w:val="00D63802"/>
    <w:rsid w:val="00D6465B"/>
    <w:rsid w:val="00D64B9E"/>
    <w:rsid w:val="00D67E88"/>
    <w:rsid w:val="00D70420"/>
    <w:rsid w:val="00D70A34"/>
    <w:rsid w:val="00D70AE2"/>
    <w:rsid w:val="00D70B69"/>
    <w:rsid w:val="00D70F6E"/>
    <w:rsid w:val="00D71EDC"/>
    <w:rsid w:val="00D71FD0"/>
    <w:rsid w:val="00D721C5"/>
    <w:rsid w:val="00D7287F"/>
    <w:rsid w:val="00D72D57"/>
    <w:rsid w:val="00D730A6"/>
    <w:rsid w:val="00D73527"/>
    <w:rsid w:val="00D73B64"/>
    <w:rsid w:val="00D73E2F"/>
    <w:rsid w:val="00D74744"/>
    <w:rsid w:val="00D74848"/>
    <w:rsid w:val="00D74993"/>
    <w:rsid w:val="00D749A3"/>
    <w:rsid w:val="00D74C1A"/>
    <w:rsid w:val="00D74E3D"/>
    <w:rsid w:val="00D75204"/>
    <w:rsid w:val="00D76604"/>
    <w:rsid w:val="00D76D83"/>
    <w:rsid w:val="00D7762F"/>
    <w:rsid w:val="00D776B9"/>
    <w:rsid w:val="00D80628"/>
    <w:rsid w:val="00D814D2"/>
    <w:rsid w:val="00D81509"/>
    <w:rsid w:val="00D816FC"/>
    <w:rsid w:val="00D81C62"/>
    <w:rsid w:val="00D81F22"/>
    <w:rsid w:val="00D820B4"/>
    <w:rsid w:val="00D82765"/>
    <w:rsid w:val="00D82C71"/>
    <w:rsid w:val="00D82F5E"/>
    <w:rsid w:val="00D83807"/>
    <w:rsid w:val="00D83B1D"/>
    <w:rsid w:val="00D8437E"/>
    <w:rsid w:val="00D84D53"/>
    <w:rsid w:val="00D85094"/>
    <w:rsid w:val="00D8630E"/>
    <w:rsid w:val="00D86D78"/>
    <w:rsid w:val="00D87B3E"/>
    <w:rsid w:val="00D87F59"/>
    <w:rsid w:val="00D90464"/>
    <w:rsid w:val="00D922A9"/>
    <w:rsid w:val="00D925F8"/>
    <w:rsid w:val="00D93114"/>
    <w:rsid w:val="00D93E91"/>
    <w:rsid w:val="00D93EC9"/>
    <w:rsid w:val="00D94065"/>
    <w:rsid w:val="00D9491D"/>
    <w:rsid w:val="00D9496D"/>
    <w:rsid w:val="00D94A7E"/>
    <w:rsid w:val="00D9513B"/>
    <w:rsid w:val="00D95CC4"/>
    <w:rsid w:val="00D960DD"/>
    <w:rsid w:val="00D96772"/>
    <w:rsid w:val="00D96AC5"/>
    <w:rsid w:val="00D96DFD"/>
    <w:rsid w:val="00D974DA"/>
    <w:rsid w:val="00D97CBA"/>
    <w:rsid w:val="00DA040E"/>
    <w:rsid w:val="00DA042F"/>
    <w:rsid w:val="00DA17CC"/>
    <w:rsid w:val="00DA186F"/>
    <w:rsid w:val="00DA18E9"/>
    <w:rsid w:val="00DA1D08"/>
    <w:rsid w:val="00DA2CD0"/>
    <w:rsid w:val="00DA32CB"/>
    <w:rsid w:val="00DA3381"/>
    <w:rsid w:val="00DA368B"/>
    <w:rsid w:val="00DA36D7"/>
    <w:rsid w:val="00DA3D3E"/>
    <w:rsid w:val="00DA48F9"/>
    <w:rsid w:val="00DA5D44"/>
    <w:rsid w:val="00DA6304"/>
    <w:rsid w:val="00DA639F"/>
    <w:rsid w:val="00DA67D1"/>
    <w:rsid w:val="00DA688A"/>
    <w:rsid w:val="00DA6C89"/>
    <w:rsid w:val="00DA6DC1"/>
    <w:rsid w:val="00DA74FD"/>
    <w:rsid w:val="00DA7C9A"/>
    <w:rsid w:val="00DB00B3"/>
    <w:rsid w:val="00DB01A1"/>
    <w:rsid w:val="00DB1805"/>
    <w:rsid w:val="00DB20B2"/>
    <w:rsid w:val="00DB273D"/>
    <w:rsid w:val="00DB3B05"/>
    <w:rsid w:val="00DB3BD8"/>
    <w:rsid w:val="00DB3EEC"/>
    <w:rsid w:val="00DB41CE"/>
    <w:rsid w:val="00DB4BBE"/>
    <w:rsid w:val="00DB5497"/>
    <w:rsid w:val="00DB5581"/>
    <w:rsid w:val="00DB5992"/>
    <w:rsid w:val="00DB5FFE"/>
    <w:rsid w:val="00DB6AA4"/>
    <w:rsid w:val="00DB70F8"/>
    <w:rsid w:val="00DB7255"/>
    <w:rsid w:val="00DB76CF"/>
    <w:rsid w:val="00DB7B47"/>
    <w:rsid w:val="00DC05C3"/>
    <w:rsid w:val="00DC0B89"/>
    <w:rsid w:val="00DC0C96"/>
    <w:rsid w:val="00DC0E9D"/>
    <w:rsid w:val="00DC1564"/>
    <w:rsid w:val="00DC1719"/>
    <w:rsid w:val="00DC1828"/>
    <w:rsid w:val="00DC19EF"/>
    <w:rsid w:val="00DC1C4D"/>
    <w:rsid w:val="00DC1F42"/>
    <w:rsid w:val="00DC1FD0"/>
    <w:rsid w:val="00DC20A9"/>
    <w:rsid w:val="00DC2876"/>
    <w:rsid w:val="00DC2933"/>
    <w:rsid w:val="00DC3189"/>
    <w:rsid w:val="00DC3208"/>
    <w:rsid w:val="00DC5329"/>
    <w:rsid w:val="00DC5CAA"/>
    <w:rsid w:val="00DC744B"/>
    <w:rsid w:val="00DC760F"/>
    <w:rsid w:val="00DC798D"/>
    <w:rsid w:val="00DC7CD5"/>
    <w:rsid w:val="00DD0B43"/>
    <w:rsid w:val="00DD112C"/>
    <w:rsid w:val="00DD1288"/>
    <w:rsid w:val="00DD28AF"/>
    <w:rsid w:val="00DD2BF3"/>
    <w:rsid w:val="00DD2D1B"/>
    <w:rsid w:val="00DD32E4"/>
    <w:rsid w:val="00DD42FE"/>
    <w:rsid w:val="00DD470C"/>
    <w:rsid w:val="00DD4F9F"/>
    <w:rsid w:val="00DD545C"/>
    <w:rsid w:val="00DD54AD"/>
    <w:rsid w:val="00DD5C23"/>
    <w:rsid w:val="00DD6FC9"/>
    <w:rsid w:val="00DD71E0"/>
    <w:rsid w:val="00DE00DD"/>
    <w:rsid w:val="00DE021B"/>
    <w:rsid w:val="00DE0AB3"/>
    <w:rsid w:val="00DE0CAA"/>
    <w:rsid w:val="00DE0F27"/>
    <w:rsid w:val="00DE1309"/>
    <w:rsid w:val="00DE1384"/>
    <w:rsid w:val="00DE1B8F"/>
    <w:rsid w:val="00DE1FB5"/>
    <w:rsid w:val="00DE2112"/>
    <w:rsid w:val="00DE22C0"/>
    <w:rsid w:val="00DE343E"/>
    <w:rsid w:val="00DE35A2"/>
    <w:rsid w:val="00DE3D1F"/>
    <w:rsid w:val="00DE3D36"/>
    <w:rsid w:val="00DE3D5C"/>
    <w:rsid w:val="00DE4E45"/>
    <w:rsid w:val="00DE50F3"/>
    <w:rsid w:val="00DE5DFB"/>
    <w:rsid w:val="00DE60D0"/>
    <w:rsid w:val="00DE6672"/>
    <w:rsid w:val="00DE67AE"/>
    <w:rsid w:val="00DE702B"/>
    <w:rsid w:val="00DE7051"/>
    <w:rsid w:val="00DE7620"/>
    <w:rsid w:val="00DE7A28"/>
    <w:rsid w:val="00DF0228"/>
    <w:rsid w:val="00DF04AA"/>
    <w:rsid w:val="00DF095F"/>
    <w:rsid w:val="00DF0AF0"/>
    <w:rsid w:val="00DF0FD4"/>
    <w:rsid w:val="00DF10B8"/>
    <w:rsid w:val="00DF135B"/>
    <w:rsid w:val="00DF1729"/>
    <w:rsid w:val="00DF1A9A"/>
    <w:rsid w:val="00DF1C18"/>
    <w:rsid w:val="00DF1E3B"/>
    <w:rsid w:val="00DF1FE8"/>
    <w:rsid w:val="00DF22F7"/>
    <w:rsid w:val="00DF2555"/>
    <w:rsid w:val="00DF27EA"/>
    <w:rsid w:val="00DF2D72"/>
    <w:rsid w:val="00DF32A8"/>
    <w:rsid w:val="00DF496C"/>
    <w:rsid w:val="00DF4E69"/>
    <w:rsid w:val="00DF5321"/>
    <w:rsid w:val="00DF5A6A"/>
    <w:rsid w:val="00DF66D9"/>
    <w:rsid w:val="00DF6779"/>
    <w:rsid w:val="00DF6B9B"/>
    <w:rsid w:val="00E0015E"/>
    <w:rsid w:val="00E0037F"/>
    <w:rsid w:val="00E00627"/>
    <w:rsid w:val="00E00A5C"/>
    <w:rsid w:val="00E00D7E"/>
    <w:rsid w:val="00E01044"/>
    <w:rsid w:val="00E010D0"/>
    <w:rsid w:val="00E01420"/>
    <w:rsid w:val="00E0176E"/>
    <w:rsid w:val="00E01AB0"/>
    <w:rsid w:val="00E02D84"/>
    <w:rsid w:val="00E02DDC"/>
    <w:rsid w:val="00E03202"/>
    <w:rsid w:val="00E03C6F"/>
    <w:rsid w:val="00E04092"/>
    <w:rsid w:val="00E042FF"/>
    <w:rsid w:val="00E0438A"/>
    <w:rsid w:val="00E045B5"/>
    <w:rsid w:val="00E0516A"/>
    <w:rsid w:val="00E05DDE"/>
    <w:rsid w:val="00E07D36"/>
    <w:rsid w:val="00E10087"/>
    <w:rsid w:val="00E100E6"/>
    <w:rsid w:val="00E1092F"/>
    <w:rsid w:val="00E10AB8"/>
    <w:rsid w:val="00E10E33"/>
    <w:rsid w:val="00E10EED"/>
    <w:rsid w:val="00E114CC"/>
    <w:rsid w:val="00E11A12"/>
    <w:rsid w:val="00E11B12"/>
    <w:rsid w:val="00E11BAB"/>
    <w:rsid w:val="00E11EA4"/>
    <w:rsid w:val="00E1215B"/>
    <w:rsid w:val="00E12973"/>
    <w:rsid w:val="00E12FF3"/>
    <w:rsid w:val="00E1402F"/>
    <w:rsid w:val="00E14443"/>
    <w:rsid w:val="00E1473C"/>
    <w:rsid w:val="00E148ED"/>
    <w:rsid w:val="00E14CB4"/>
    <w:rsid w:val="00E14ECE"/>
    <w:rsid w:val="00E154C7"/>
    <w:rsid w:val="00E15719"/>
    <w:rsid w:val="00E15E2B"/>
    <w:rsid w:val="00E164CB"/>
    <w:rsid w:val="00E16655"/>
    <w:rsid w:val="00E1681D"/>
    <w:rsid w:val="00E16884"/>
    <w:rsid w:val="00E16C33"/>
    <w:rsid w:val="00E2049C"/>
    <w:rsid w:val="00E216F6"/>
    <w:rsid w:val="00E21995"/>
    <w:rsid w:val="00E222F3"/>
    <w:rsid w:val="00E22C4D"/>
    <w:rsid w:val="00E241E5"/>
    <w:rsid w:val="00E2429D"/>
    <w:rsid w:val="00E242C0"/>
    <w:rsid w:val="00E251B7"/>
    <w:rsid w:val="00E25BAE"/>
    <w:rsid w:val="00E25BEB"/>
    <w:rsid w:val="00E25F0B"/>
    <w:rsid w:val="00E26CDA"/>
    <w:rsid w:val="00E26F3F"/>
    <w:rsid w:val="00E303F0"/>
    <w:rsid w:val="00E3093D"/>
    <w:rsid w:val="00E30D0C"/>
    <w:rsid w:val="00E32374"/>
    <w:rsid w:val="00E32384"/>
    <w:rsid w:val="00E32B35"/>
    <w:rsid w:val="00E33313"/>
    <w:rsid w:val="00E337C6"/>
    <w:rsid w:val="00E337C9"/>
    <w:rsid w:val="00E3395F"/>
    <w:rsid w:val="00E342BE"/>
    <w:rsid w:val="00E34364"/>
    <w:rsid w:val="00E3444C"/>
    <w:rsid w:val="00E35279"/>
    <w:rsid w:val="00E37069"/>
    <w:rsid w:val="00E37405"/>
    <w:rsid w:val="00E375E6"/>
    <w:rsid w:val="00E37B15"/>
    <w:rsid w:val="00E37C6A"/>
    <w:rsid w:val="00E37D7A"/>
    <w:rsid w:val="00E40A34"/>
    <w:rsid w:val="00E41B5B"/>
    <w:rsid w:val="00E41FA7"/>
    <w:rsid w:val="00E4301E"/>
    <w:rsid w:val="00E4405B"/>
    <w:rsid w:val="00E4481C"/>
    <w:rsid w:val="00E44874"/>
    <w:rsid w:val="00E46076"/>
    <w:rsid w:val="00E4675E"/>
    <w:rsid w:val="00E47491"/>
    <w:rsid w:val="00E474C5"/>
    <w:rsid w:val="00E477D4"/>
    <w:rsid w:val="00E47E12"/>
    <w:rsid w:val="00E50002"/>
    <w:rsid w:val="00E529BC"/>
    <w:rsid w:val="00E52AFB"/>
    <w:rsid w:val="00E52E14"/>
    <w:rsid w:val="00E535B7"/>
    <w:rsid w:val="00E53851"/>
    <w:rsid w:val="00E541FB"/>
    <w:rsid w:val="00E54555"/>
    <w:rsid w:val="00E545AA"/>
    <w:rsid w:val="00E54E56"/>
    <w:rsid w:val="00E552D8"/>
    <w:rsid w:val="00E55477"/>
    <w:rsid w:val="00E554D0"/>
    <w:rsid w:val="00E5667B"/>
    <w:rsid w:val="00E56CAA"/>
    <w:rsid w:val="00E5715C"/>
    <w:rsid w:val="00E572AC"/>
    <w:rsid w:val="00E57F3C"/>
    <w:rsid w:val="00E60753"/>
    <w:rsid w:val="00E609B6"/>
    <w:rsid w:val="00E61406"/>
    <w:rsid w:val="00E6178E"/>
    <w:rsid w:val="00E61883"/>
    <w:rsid w:val="00E6188A"/>
    <w:rsid w:val="00E61CE0"/>
    <w:rsid w:val="00E61EBF"/>
    <w:rsid w:val="00E62B81"/>
    <w:rsid w:val="00E6355F"/>
    <w:rsid w:val="00E63CE3"/>
    <w:rsid w:val="00E63E5A"/>
    <w:rsid w:val="00E64433"/>
    <w:rsid w:val="00E651FB"/>
    <w:rsid w:val="00E65403"/>
    <w:rsid w:val="00E654F0"/>
    <w:rsid w:val="00E65D55"/>
    <w:rsid w:val="00E65F4F"/>
    <w:rsid w:val="00E65FB9"/>
    <w:rsid w:val="00E665C1"/>
    <w:rsid w:val="00E672B0"/>
    <w:rsid w:val="00E67C65"/>
    <w:rsid w:val="00E70459"/>
    <w:rsid w:val="00E70BD5"/>
    <w:rsid w:val="00E70E99"/>
    <w:rsid w:val="00E71300"/>
    <w:rsid w:val="00E71643"/>
    <w:rsid w:val="00E72DB0"/>
    <w:rsid w:val="00E735A0"/>
    <w:rsid w:val="00E73821"/>
    <w:rsid w:val="00E74526"/>
    <w:rsid w:val="00E7571A"/>
    <w:rsid w:val="00E76C64"/>
    <w:rsid w:val="00E770CD"/>
    <w:rsid w:val="00E77133"/>
    <w:rsid w:val="00E776B5"/>
    <w:rsid w:val="00E77AE4"/>
    <w:rsid w:val="00E77E1E"/>
    <w:rsid w:val="00E77EB5"/>
    <w:rsid w:val="00E81D3A"/>
    <w:rsid w:val="00E82E80"/>
    <w:rsid w:val="00E837F0"/>
    <w:rsid w:val="00E84050"/>
    <w:rsid w:val="00E841F6"/>
    <w:rsid w:val="00E84E03"/>
    <w:rsid w:val="00E85455"/>
    <w:rsid w:val="00E85C52"/>
    <w:rsid w:val="00E85D56"/>
    <w:rsid w:val="00E85F14"/>
    <w:rsid w:val="00E8601A"/>
    <w:rsid w:val="00E86241"/>
    <w:rsid w:val="00E869F5"/>
    <w:rsid w:val="00E86DB8"/>
    <w:rsid w:val="00E86DE8"/>
    <w:rsid w:val="00E86E4C"/>
    <w:rsid w:val="00E87067"/>
    <w:rsid w:val="00E8776D"/>
    <w:rsid w:val="00E90AE6"/>
    <w:rsid w:val="00E90F8C"/>
    <w:rsid w:val="00E91359"/>
    <w:rsid w:val="00E920D7"/>
    <w:rsid w:val="00E92261"/>
    <w:rsid w:val="00E92D6D"/>
    <w:rsid w:val="00E92F48"/>
    <w:rsid w:val="00E93018"/>
    <w:rsid w:val="00E93876"/>
    <w:rsid w:val="00E938FA"/>
    <w:rsid w:val="00E93D3D"/>
    <w:rsid w:val="00E93DA8"/>
    <w:rsid w:val="00E95276"/>
    <w:rsid w:val="00E95C1F"/>
    <w:rsid w:val="00E95D13"/>
    <w:rsid w:val="00E95FCA"/>
    <w:rsid w:val="00E9632A"/>
    <w:rsid w:val="00E9694B"/>
    <w:rsid w:val="00E96A10"/>
    <w:rsid w:val="00E96C64"/>
    <w:rsid w:val="00E973E3"/>
    <w:rsid w:val="00E97AE6"/>
    <w:rsid w:val="00E97CC2"/>
    <w:rsid w:val="00E97D32"/>
    <w:rsid w:val="00EA023F"/>
    <w:rsid w:val="00EA0BEE"/>
    <w:rsid w:val="00EA10A8"/>
    <w:rsid w:val="00EA28C4"/>
    <w:rsid w:val="00EA3150"/>
    <w:rsid w:val="00EA39C4"/>
    <w:rsid w:val="00EA3B4C"/>
    <w:rsid w:val="00EA419A"/>
    <w:rsid w:val="00EA5341"/>
    <w:rsid w:val="00EA56ED"/>
    <w:rsid w:val="00EA5701"/>
    <w:rsid w:val="00EA6AE0"/>
    <w:rsid w:val="00EA6E5E"/>
    <w:rsid w:val="00EB0183"/>
    <w:rsid w:val="00EB0BD7"/>
    <w:rsid w:val="00EB2D23"/>
    <w:rsid w:val="00EB3033"/>
    <w:rsid w:val="00EB364D"/>
    <w:rsid w:val="00EB3979"/>
    <w:rsid w:val="00EB3C10"/>
    <w:rsid w:val="00EB4584"/>
    <w:rsid w:val="00EB483C"/>
    <w:rsid w:val="00EB5254"/>
    <w:rsid w:val="00EB5A52"/>
    <w:rsid w:val="00EB621A"/>
    <w:rsid w:val="00EB63C1"/>
    <w:rsid w:val="00EB6592"/>
    <w:rsid w:val="00EB6B36"/>
    <w:rsid w:val="00EC016E"/>
    <w:rsid w:val="00EC04C2"/>
    <w:rsid w:val="00EC08B2"/>
    <w:rsid w:val="00EC105F"/>
    <w:rsid w:val="00EC13E6"/>
    <w:rsid w:val="00EC1D59"/>
    <w:rsid w:val="00EC2E15"/>
    <w:rsid w:val="00EC2F4E"/>
    <w:rsid w:val="00EC424D"/>
    <w:rsid w:val="00EC439C"/>
    <w:rsid w:val="00EC5023"/>
    <w:rsid w:val="00EC53A1"/>
    <w:rsid w:val="00EC59C9"/>
    <w:rsid w:val="00EC5C9F"/>
    <w:rsid w:val="00EC6593"/>
    <w:rsid w:val="00EC6B9B"/>
    <w:rsid w:val="00EC74D0"/>
    <w:rsid w:val="00EC7584"/>
    <w:rsid w:val="00EC76DF"/>
    <w:rsid w:val="00ED005C"/>
    <w:rsid w:val="00ED0402"/>
    <w:rsid w:val="00ED067B"/>
    <w:rsid w:val="00ED076D"/>
    <w:rsid w:val="00ED082D"/>
    <w:rsid w:val="00ED0D0A"/>
    <w:rsid w:val="00ED1096"/>
    <w:rsid w:val="00ED19DA"/>
    <w:rsid w:val="00ED235B"/>
    <w:rsid w:val="00ED259C"/>
    <w:rsid w:val="00ED2711"/>
    <w:rsid w:val="00ED2A9E"/>
    <w:rsid w:val="00ED3019"/>
    <w:rsid w:val="00ED30D3"/>
    <w:rsid w:val="00ED32AB"/>
    <w:rsid w:val="00ED461E"/>
    <w:rsid w:val="00ED463F"/>
    <w:rsid w:val="00ED4800"/>
    <w:rsid w:val="00ED5939"/>
    <w:rsid w:val="00ED5D60"/>
    <w:rsid w:val="00ED647B"/>
    <w:rsid w:val="00ED67DB"/>
    <w:rsid w:val="00ED7208"/>
    <w:rsid w:val="00ED735E"/>
    <w:rsid w:val="00ED79EF"/>
    <w:rsid w:val="00ED7BA4"/>
    <w:rsid w:val="00ED7EEE"/>
    <w:rsid w:val="00EE049D"/>
    <w:rsid w:val="00EE100F"/>
    <w:rsid w:val="00EE10CC"/>
    <w:rsid w:val="00EE1C11"/>
    <w:rsid w:val="00EE1D26"/>
    <w:rsid w:val="00EE1D6E"/>
    <w:rsid w:val="00EE1FD3"/>
    <w:rsid w:val="00EE21C0"/>
    <w:rsid w:val="00EE229C"/>
    <w:rsid w:val="00EE28AC"/>
    <w:rsid w:val="00EE2E0B"/>
    <w:rsid w:val="00EE3149"/>
    <w:rsid w:val="00EE344F"/>
    <w:rsid w:val="00EE359E"/>
    <w:rsid w:val="00EE383F"/>
    <w:rsid w:val="00EE3D51"/>
    <w:rsid w:val="00EE3E17"/>
    <w:rsid w:val="00EE41EC"/>
    <w:rsid w:val="00EE4879"/>
    <w:rsid w:val="00EE49A1"/>
    <w:rsid w:val="00EE4B64"/>
    <w:rsid w:val="00EE4FB9"/>
    <w:rsid w:val="00EE54D5"/>
    <w:rsid w:val="00EE5BAF"/>
    <w:rsid w:val="00EE5F96"/>
    <w:rsid w:val="00EE698E"/>
    <w:rsid w:val="00EE6D35"/>
    <w:rsid w:val="00EE723E"/>
    <w:rsid w:val="00EE73E7"/>
    <w:rsid w:val="00EF0870"/>
    <w:rsid w:val="00EF144E"/>
    <w:rsid w:val="00EF17EB"/>
    <w:rsid w:val="00EF18EF"/>
    <w:rsid w:val="00EF2CFC"/>
    <w:rsid w:val="00EF3508"/>
    <w:rsid w:val="00EF48ED"/>
    <w:rsid w:val="00EF4DDA"/>
    <w:rsid w:val="00EF4E75"/>
    <w:rsid w:val="00EF501F"/>
    <w:rsid w:val="00EF5819"/>
    <w:rsid w:val="00EF597C"/>
    <w:rsid w:val="00EF5AE4"/>
    <w:rsid w:val="00EF6CFC"/>
    <w:rsid w:val="00EF6DAA"/>
    <w:rsid w:val="00EF6FAC"/>
    <w:rsid w:val="00EF7253"/>
    <w:rsid w:val="00EF79DD"/>
    <w:rsid w:val="00F00046"/>
    <w:rsid w:val="00F002F8"/>
    <w:rsid w:val="00F004FE"/>
    <w:rsid w:val="00F00C3B"/>
    <w:rsid w:val="00F00DE2"/>
    <w:rsid w:val="00F00F82"/>
    <w:rsid w:val="00F01A6A"/>
    <w:rsid w:val="00F0295F"/>
    <w:rsid w:val="00F02F7F"/>
    <w:rsid w:val="00F03464"/>
    <w:rsid w:val="00F03C90"/>
    <w:rsid w:val="00F03E8F"/>
    <w:rsid w:val="00F04190"/>
    <w:rsid w:val="00F05F85"/>
    <w:rsid w:val="00F06D55"/>
    <w:rsid w:val="00F06E79"/>
    <w:rsid w:val="00F06EFB"/>
    <w:rsid w:val="00F07288"/>
    <w:rsid w:val="00F078AF"/>
    <w:rsid w:val="00F10FD5"/>
    <w:rsid w:val="00F11179"/>
    <w:rsid w:val="00F111B1"/>
    <w:rsid w:val="00F112D9"/>
    <w:rsid w:val="00F113D6"/>
    <w:rsid w:val="00F116D8"/>
    <w:rsid w:val="00F116FF"/>
    <w:rsid w:val="00F119E4"/>
    <w:rsid w:val="00F11CF0"/>
    <w:rsid w:val="00F11FC5"/>
    <w:rsid w:val="00F11FE0"/>
    <w:rsid w:val="00F121F1"/>
    <w:rsid w:val="00F12499"/>
    <w:rsid w:val="00F12BC0"/>
    <w:rsid w:val="00F12FD8"/>
    <w:rsid w:val="00F138F4"/>
    <w:rsid w:val="00F13B0F"/>
    <w:rsid w:val="00F13B14"/>
    <w:rsid w:val="00F13D5E"/>
    <w:rsid w:val="00F1449D"/>
    <w:rsid w:val="00F14616"/>
    <w:rsid w:val="00F15E3A"/>
    <w:rsid w:val="00F16844"/>
    <w:rsid w:val="00F1686C"/>
    <w:rsid w:val="00F16F7B"/>
    <w:rsid w:val="00F1764D"/>
    <w:rsid w:val="00F2119B"/>
    <w:rsid w:val="00F2143B"/>
    <w:rsid w:val="00F21B10"/>
    <w:rsid w:val="00F21C31"/>
    <w:rsid w:val="00F2216A"/>
    <w:rsid w:val="00F22330"/>
    <w:rsid w:val="00F224F3"/>
    <w:rsid w:val="00F2338E"/>
    <w:rsid w:val="00F239A1"/>
    <w:rsid w:val="00F23A3C"/>
    <w:rsid w:val="00F23B18"/>
    <w:rsid w:val="00F23C9F"/>
    <w:rsid w:val="00F25858"/>
    <w:rsid w:val="00F25B55"/>
    <w:rsid w:val="00F25D65"/>
    <w:rsid w:val="00F26794"/>
    <w:rsid w:val="00F26F04"/>
    <w:rsid w:val="00F27243"/>
    <w:rsid w:val="00F27A1E"/>
    <w:rsid w:val="00F3020D"/>
    <w:rsid w:val="00F30BE8"/>
    <w:rsid w:val="00F31483"/>
    <w:rsid w:val="00F316BA"/>
    <w:rsid w:val="00F32237"/>
    <w:rsid w:val="00F32B63"/>
    <w:rsid w:val="00F3385B"/>
    <w:rsid w:val="00F33F9A"/>
    <w:rsid w:val="00F3479F"/>
    <w:rsid w:val="00F3492D"/>
    <w:rsid w:val="00F34D8B"/>
    <w:rsid w:val="00F35139"/>
    <w:rsid w:val="00F35195"/>
    <w:rsid w:val="00F3536E"/>
    <w:rsid w:val="00F353D9"/>
    <w:rsid w:val="00F35779"/>
    <w:rsid w:val="00F35AA1"/>
    <w:rsid w:val="00F363F9"/>
    <w:rsid w:val="00F36520"/>
    <w:rsid w:val="00F36DF9"/>
    <w:rsid w:val="00F3724C"/>
    <w:rsid w:val="00F372F4"/>
    <w:rsid w:val="00F3735A"/>
    <w:rsid w:val="00F37C6C"/>
    <w:rsid w:val="00F40DEC"/>
    <w:rsid w:val="00F40FCF"/>
    <w:rsid w:val="00F414DF"/>
    <w:rsid w:val="00F41C7E"/>
    <w:rsid w:val="00F426AD"/>
    <w:rsid w:val="00F42879"/>
    <w:rsid w:val="00F42948"/>
    <w:rsid w:val="00F42E68"/>
    <w:rsid w:val="00F43049"/>
    <w:rsid w:val="00F43149"/>
    <w:rsid w:val="00F44F24"/>
    <w:rsid w:val="00F45074"/>
    <w:rsid w:val="00F4558A"/>
    <w:rsid w:val="00F45A5D"/>
    <w:rsid w:val="00F45E64"/>
    <w:rsid w:val="00F46165"/>
    <w:rsid w:val="00F471EA"/>
    <w:rsid w:val="00F478C4"/>
    <w:rsid w:val="00F478FF"/>
    <w:rsid w:val="00F502F9"/>
    <w:rsid w:val="00F50377"/>
    <w:rsid w:val="00F508F1"/>
    <w:rsid w:val="00F50C1C"/>
    <w:rsid w:val="00F50CD1"/>
    <w:rsid w:val="00F50D71"/>
    <w:rsid w:val="00F51736"/>
    <w:rsid w:val="00F51F7D"/>
    <w:rsid w:val="00F52C85"/>
    <w:rsid w:val="00F52F90"/>
    <w:rsid w:val="00F53030"/>
    <w:rsid w:val="00F531FA"/>
    <w:rsid w:val="00F53DD1"/>
    <w:rsid w:val="00F54798"/>
    <w:rsid w:val="00F54979"/>
    <w:rsid w:val="00F55417"/>
    <w:rsid w:val="00F5563B"/>
    <w:rsid w:val="00F55A2B"/>
    <w:rsid w:val="00F55ACF"/>
    <w:rsid w:val="00F55EBB"/>
    <w:rsid w:val="00F560C0"/>
    <w:rsid w:val="00F565EF"/>
    <w:rsid w:val="00F56737"/>
    <w:rsid w:val="00F567A4"/>
    <w:rsid w:val="00F56AE6"/>
    <w:rsid w:val="00F56E22"/>
    <w:rsid w:val="00F57290"/>
    <w:rsid w:val="00F57733"/>
    <w:rsid w:val="00F609C5"/>
    <w:rsid w:val="00F60E8F"/>
    <w:rsid w:val="00F61238"/>
    <w:rsid w:val="00F61265"/>
    <w:rsid w:val="00F63A46"/>
    <w:rsid w:val="00F63B29"/>
    <w:rsid w:val="00F6544A"/>
    <w:rsid w:val="00F65BC8"/>
    <w:rsid w:val="00F664C9"/>
    <w:rsid w:val="00F66838"/>
    <w:rsid w:val="00F671E0"/>
    <w:rsid w:val="00F67305"/>
    <w:rsid w:val="00F70861"/>
    <w:rsid w:val="00F70C10"/>
    <w:rsid w:val="00F7102A"/>
    <w:rsid w:val="00F719E8"/>
    <w:rsid w:val="00F71E51"/>
    <w:rsid w:val="00F720BD"/>
    <w:rsid w:val="00F720FA"/>
    <w:rsid w:val="00F723AE"/>
    <w:rsid w:val="00F726D6"/>
    <w:rsid w:val="00F74F8E"/>
    <w:rsid w:val="00F757D6"/>
    <w:rsid w:val="00F75CC9"/>
    <w:rsid w:val="00F76382"/>
    <w:rsid w:val="00F76475"/>
    <w:rsid w:val="00F77293"/>
    <w:rsid w:val="00F77716"/>
    <w:rsid w:val="00F77782"/>
    <w:rsid w:val="00F7787F"/>
    <w:rsid w:val="00F77A40"/>
    <w:rsid w:val="00F77CEB"/>
    <w:rsid w:val="00F8142E"/>
    <w:rsid w:val="00F81F29"/>
    <w:rsid w:val="00F82120"/>
    <w:rsid w:val="00F8252B"/>
    <w:rsid w:val="00F82BA2"/>
    <w:rsid w:val="00F82E13"/>
    <w:rsid w:val="00F83330"/>
    <w:rsid w:val="00F8334C"/>
    <w:rsid w:val="00F83475"/>
    <w:rsid w:val="00F839EC"/>
    <w:rsid w:val="00F83E25"/>
    <w:rsid w:val="00F85271"/>
    <w:rsid w:val="00F85489"/>
    <w:rsid w:val="00F8571C"/>
    <w:rsid w:val="00F85958"/>
    <w:rsid w:val="00F87384"/>
    <w:rsid w:val="00F87CF7"/>
    <w:rsid w:val="00F90FE8"/>
    <w:rsid w:val="00F91017"/>
    <w:rsid w:val="00F91E14"/>
    <w:rsid w:val="00F91E20"/>
    <w:rsid w:val="00F91EF0"/>
    <w:rsid w:val="00F92831"/>
    <w:rsid w:val="00F93058"/>
    <w:rsid w:val="00F93190"/>
    <w:rsid w:val="00F93531"/>
    <w:rsid w:val="00F94F53"/>
    <w:rsid w:val="00F95478"/>
    <w:rsid w:val="00F95783"/>
    <w:rsid w:val="00F9678B"/>
    <w:rsid w:val="00F96798"/>
    <w:rsid w:val="00F9683C"/>
    <w:rsid w:val="00F96A22"/>
    <w:rsid w:val="00F96A6C"/>
    <w:rsid w:val="00F9750D"/>
    <w:rsid w:val="00F975DE"/>
    <w:rsid w:val="00F978DC"/>
    <w:rsid w:val="00F97C4E"/>
    <w:rsid w:val="00FA00AB"/>
    <w:rsid w:val="00FA0C8A"/>
    <w:rsid w:val="00FA0DDF"/>
    <w:rsid w:val="00FA1008"/>
    <w:rsid w:val="00FA110A"/>
    <w:rsid w:val="00FA11D5"/>
    <w:rsid w:val="00FA1412"/>
    <w:rsid w:val="00FA144D"/>
    <w:rsid w:val="00FA1BEA"/>
    <w:rsid w:val="00FA40F0"/>
    <w:rsid w:val="00FA4132"/>
    <w:rsid w:val="00FA42BB"/>
    <w:rsid w:val="00FA46AC"/>
    <w:rsid w:val="00FA4D6D"/>
    <w:rsid w:val="00FA536D"/>
    <w:rsid w:val="00FA542B"/>
    <w:rsid w:val="00FA585E"/>
    <w:rsid w:val="00FA6F30"/>
    <w:rsid w:val="00FA7E7E"/>
    <w:rsid w:val="00FA7EFF"/>
    <w:rsid w:val="00FB0407"/>
    <w:rsid w:val="00FB06B2"/>
    <w:rsid w:val="00FB06C5"/>
    <w:rsid w:val="00FB0928"/>
    <w:rsid w:val="00FB09A3"/>
    <w:rsid w:val="00FB109C"/>
    <w:rsid w:val="00FB11B6"/>
    <w:rsid w:val="00FB1509"/>
    <w:rsid w:val="00FB1800"/>
    <w:rsid w:val="00FB2A76"/>
    <w:rsid w:val="00FB3E58"/>
    <w:rsid w:val="00FB4398"/>
    <w:rsid w:val="00FB44C6"/>
    <w:rsid w:val="00FB4889"/>
    <w:rsid w:val="00FB796A"/>
    <w:rsid w:val="00FB7D6E"/>
    <w:rsid w:val="00FC0596"/>
    <w:rsid w:val="00FC11D4"/>
    <w:rsid w:val="00FC2133"/>
    <w:rsid w:val="00FC28EE"/>
    <w:rsid w:val="00FC2AC7"/>
    <w:rsid w:val="00FC2B9A"/>
    <w:rsid w:val="00FC2D9F"/>
    <w:rsid w:val="00FC32A9"/>
    <w:rsid w:val="00FC3BBD"/>
    <w:rsid w:val="00FC55B6"/>
    <w:rsid w:val="00FC571B"/>
    <w:rsid w:val="00FC5AEF"/>
    <w:rsid w:val="00FC7B65"/>
    <w:rsid w:val="00FC7D52"/>
    <w:rsid w:val="00FD08B5"/>
    <w:rsid w:val="00FD0CCA"/>
    <w:rsid w:val="00FD28C5"/>
    <w:rsid w:val="00FD361B"/>
    <w:rsid w:val="00FD381A"/>
    <w:rsid w:val="00FD4512"/>
    <w:rsid w:val="00FD4812"/>
    <w:rsid w:val="00FD54E4"/>
    <w:rsid w:val="00FD5530"/>
    <w:rsid w:val="00FD5AF2"/>
    <w:rsid w:val="00FD5B8D"/>
    <w:rsid w:val="00FD6BE3"/>
    <w:rsid w:val="00FD70B0"/>
    <w:rsid w:val="00FD73B5"/>
    <w:rsid w:val="00FD7B61"/>
    <w:rsid w:val="00FD7EAC"/>
    <w:rsid w:val="00FE0CA0"/>
    <w:rsid w:val="00FE0CB2"/>
    <w:rsid w:val="00FE10ED"/>
    <w:rsid w:val="00FE14A4"/>
    <w:rsid w:val="00FE178D"/>
    <w:rsid w:val="00FE18B5"/>
    <w:rsid w:val="00FE1D98"/>
    <w:rsid w:val="00FE1DAB"/>
    <w:rsid w:val="00FE21CB"/>
    <w:rsid w:val="00FE2DBC"/>
    <w:rsid w:val="00FE34EB"/>
    <w:rsid w:val="00FE3794"/>
    <w:rsid w:val="00FE4039"/>
    <w:rsid w:val="00FE5473"/>
    <w:rsid w:val="00FE5BF0"/>
    <w:rsid w:val="00FE6819"/>
    <w:rsid w:val="00FE6B70"/>
    <w:rsid w:val="00FE7493"/>
    <w:rsid w:val="00FE78E4"/>
    <w:rsid w:val="00FE7F7B"/>
    <w:rsid w:val="00FF030F"/>
    <w:rsid w:val="00FF0937"/>
    <w:rsid w:val="00FF0A77"/>
    <w:rsid w:val="00FF127C"/>
    <w:rsid w:val="00FF13E6"/>
    <w:rsid w:val="00FF146F"/>
    <w:rsid w:val="00FF234F"/>
    <w:rsid w:val="00FF27BD"/>
    <w:rsid w:val="00FF2E1E"/>
    <w:rsid w:val="00FF33E5"/>
    <w:rsid w:val="00FF33E7"/>
    <w:rsid w:val="00FF35D9"/>
    <w:rsid w:val="00FF3B6C"/>
    <w:rsid w:val="00FF3DDF"/>
    <w:rsid w:val="00FF4022"/>
    <w:rsid w:val="00FF480D"/>
    <w:rsid w:val="00FF494F"/>
    <w:rsid w:val="00FF5238"/>
    <w:rsid w:val="00FF5B13"/>
    <w:rsid w:val="00FF5BAB"/>
    <w:rsid w:val="00FF60AB"/>
    <w:rsid w:val="00FF6D63"/>
    <w:rsid w:val="00FF6EAA"/>
    <w:rsid w:val="00FF700E"/>
    <w:rsid w:val="00FF702C"/>
    <w:rsid w:val="012B6FF2"/>
    <w:rsid w:val="017899EE"/>
    <w:rsid w:val="02295BEE"/>
    <w:rsid w:val="024C6970"/>
    <w:rsid w:val="02902B37"/>
    <w:rsid w:val="029293AF"/>
    <w:rsid w:val="02E5FE32"/>
    <w:rsid w:val="0323AAA6"/>
    <w:rsid w:val="04579759"/>
    <w:rsid w:val="05475E3D"/>
    <w:rsid w:val="054A20C4"/>
    <w:rsid w:val="0634A6DA"/>
    <w:rsid w:val="063A2511"/>
    <w:rsid w:val="068C9831"/>
    <w:rsid w:val="06F76965"/>
    <w:rsid w:val="07315277"/>
    <w:rsid w:val="076EE2E4"/>
    <w:rsid w:val="0833E1ED"/>
    <w:rsid w:val="09AF0CA5"/>
    <w:rsid w:val="09FF4A1E"/>
    <w:rsid w:val="0AB68F8D"/>
    <w:rsid w:val="0B78CC0F"/>
    <w:rsid w:val="0BCB1391"/>
    <w:rsid w:val="0BEC2CD9"/>
    <w:rsid w:val="0C026983"/>
    <w:rsid w:val="0C4A84D2"/>
    <w:rsid w:val="0D164B77"/>
    <w:rsid w:val="0D24E1FF"/>
    <w:rsid w:val="0DA06186"/>
    <w:rsid w:val="0DCF5841"/>
    <w:rsid w:val="0E528151"/>
    <w:rsid w:val="0EB6CCF8"/>
    <w:rsid w:val="0ED21931"/>
    <w:rsid w:val="1017B7CC"/>
    <w:rsid w:val="1085561F"/>
    <w:rsid w:val="10C4BD68"/>
    <w:rsid w:val="1105B848"/>
    <w:rsid w:val="110D0E56"/>
    <w:rsid w:val="1195B5E3"/>
    <w:rsid w:val="11FBB71A"/>
    <w:rsid w:val="122B44F1"/>
    <w:rsid w:val="1237E665"/>
    <w:rsid w:val="125B1993"/>
    <w:rsid w:val="12F8FF8A"/>
    <w:rsid w:val="13E43D7F"/>
    <w:rsid w:val="1433D8E8"/>
    <w:rsid w:val="149106AD"/>
    <w:rsid w:val="149AEB76"/>
    <w:rsid w:val="15E3EEA8"/>
    <w:rsid w:val="166E0F57"/>
    <w:rsid w:val="166E73FE"/>
    <w:rsid w:val="1733FEEC"/>
    <w:rsid w:val="177FBF09"/>
    <w:rsid w:val="1837A688"/>
    <w:rsid w:val="18BD9857"/>
    <w:rsid w:val="1AA8129A"/>
    <w:rsid w:val="1ACA6742"/>
    <w:rsid w:val="1AFDB780"/>
    <w:rsid w:val="1B3C7CB9"/>
    <w:rsid w:val="1B4E92A9"/>
    <w:rsid w:val="1D163297"/>
    <w:rsid w:val="1D82F5D1"/>
    <w:rsid w:val="1DE19439"/>
    <w:rsid w:val="1DF9E8A8"/>
    <w:rsid w:val="1E2A39F1"/>
    <w:rsid w:val="1EA41055"/>
    <w:rsid w:val="1EE67693"/>
    <w:rsid w:val="1F03B706"/>
    <w:rsid w:val="1F0B0B82"/>
    <w:rsid w:val="1F1619F6"/>
    <w:rsid w:val="20157D82"/>
    <w:rsid w:val="20AEB891"/>
    <w:rsid w:val="20E40840"/>
    <w:rsid w:val="23044171"/>
    <w:rsid w:val="23296B02"/>
    <w:rsid w:val="25958F9A"/>
    <w:rsid w:val="25C2330D"/>
    <w:rsid w:val="25E3AC9C"/>
    <w:rsid w:val="2662B437"/>
    <w:rsid w:val="266C3F90"/>
    <w:rsid w:val="26D54020"/>
    <w:rsid w:val="271EFD0B"/>
    <w:rsid w:val="27381A85"/>
    <w:rsid w:val="278D279F"/>
    <w:rsid w:val="2794E254"/>
    <w:rsid w:val="283ED98E"/>
    <w:rsid w:val="285F5F38"/>
    <w:rsid w:val="28BE526A"/>
    <w:rsid w:val="29D6F9BB"/>
    <w:rsid w:val="29E60446"/>
    <w:rsid w:val="2AF0B8F4"/>
    <w:rsid w:val="2B94D4EB"/>
    <w:rsid w:val="2CC4AC5B"/>
    <w:rsid w:val="2CC97618"/>
    <w:rsid w:val="2D5B9CE7"/>
    <w:rsid w:val="2F3947A1"/>
    <w:rsid w:val="2F3CE21A"/>
    <w:rsid w:val="2FF9ABF5"/>
    <w:rsid w:val="3038C36E"/>
    <w:rsid w:val="30A58DDB"/>
    <w:rsid w:val="31BB61D5"/>
    <w:rsid w:val="31E78A76"/>
    <w:rsid w:val="320B39AC"/>
    <w:rsid w:val="322EF015"/>
    <w:rsid w:val="32B4819D"/>
    <w:rsid w:val="3300D3D7"/>
    <w:rsid w:val="33987A5C"/>
    <w:rsid w:val="33BF73B4"/>
    <w:rsid w:val="3527F2DC"/>
    <w:rsid w:val="35486A14"/>
    <w:rsid w:val="356D8143"/>
    <w:rsid w:val="35700AC1"/>
    <w:rsid w:val="35A929E6"/>
    <w:rsid w:val="36025B40"/>
    <w:rsid w:val="36683902"/>
    <w:rsid w:val="3676A6BA"/>
    <w:rsid w:val="36E83D5B"/>
    <w:rsid w:val="37BF1274"/>
    <w:rsid w:val="37D2AB2B"/>
    <w:rsid w:val="38AB42EB"/>
    <w:rsid w:val="38C673FA"/>
    <w:rsid w:val="39030848"/>
    <w:rsid w:val="3A65BFBC"/>
    <w:rsid w:val="3A99ADAA"/>
    <w:rsid w:val="3C3E3F77"/>
    <w:rsid w:val="3CB9886C"/>
    <w:rsid w:val="3CE2E84E"/>
    <w:rsid w:val="3D795D15"/>
    <w:rsid w:val="3D8F94D6"/>
    <w:rsid w:val="3DBD1E3D"/>
    <w:rsid w:val="3F22AA03"/>
    <w:rsid w:val="3F4EAB66"/>
    <w:rsid w:val="3FC39894"/>
    <w:rsid w:val="3FC94F78"/>
    <w:rsid w:val="406C0BA4"/>
    <w:rsid w:val="409CBC39"/>
    <w:rsid w:val="40F5EDEF"/>
    <w:rsid w:val="40FEE864"/>
    <w:rsid w:val="4166232B"/>
    <w:rsid w:val="41DC4581"/>
    <w:rsid w:val="41FA7F72"/>
    <w:rsid w:val="421194D4"/>
    <w:rsid w:val="425AAF6C"/>
    <w:rsid w:val="42753257"/>
    <w:rsid w:val="44915818"/>
    <w:rsid w:val="44A3E3D8"/>
    <w:rsid w:val="453DABC7"/>
    <w:rsid w:val="4561F94C"/>
    <w:rsid w:val="45B65DD3"/>
    <w:rsid w:val="46275CFC"/>
    <w:rsid w:val="46BF2BB2"/>
    <w:rsid w:val="46E6BAF0"/>
    <w:rsid w:val="472BBC77"/>
    <w:rsid w:val="4790FF00"/>
    <w:rsid w:val="47DAC5BA"/>
    <w:rsid w:val="49CE9E50"/>
    <w:rsid w:val="4A3231D2"/>
    <w:rsid w:val="4A8B955E"/>
    <w:rsid w:val="4B96BA46"/>
    <w:rsid w:val="4BB97434"/>
    <w:rsid w:val="4BE03929"/>
    <w:rsid w:val="4CA2DA52"/>
    <w:rsid w:val="4DA48550"/>
    <w:rsid w:val="4DB69EAD"/>
    <w:rsid w:val="4E63EE7B"/>
    <w:rsid w:val="4E65BF7B"/>
    <w:rsid w:val="4E70147E"/>
    <w:rsid w:val="4FF16101"/>
    <w:rsid w:val="501D1FB6"/>
    <w:rsid w:val="506C884E"/>
    <w:rsid w:val="50F11957"/>
    <w:rsid w:val="511409D7"/>
    <w:rsid w:val="518F52CC"/>
    <w:rsid w:val="51ECD9A5"/>
    <w:rsid w:val="5284CA5C"/>
    <w:rsid w:val="53209FB9"/>
    <w:rsid w:val="53A69188"/>
    <w:rsid w:val="53C61D71"/>
    <w:rsid w:val="53E86781"/>
    <w:rsid w:val="54741ACC"/>
    <w:rsid w:val="547E2C87"/>
    <w:rsid w:val="54CBEB60"/>
    <w:rsid w:val="559B3ED5"/>
    <w:rsid w:val="56375A04"/>
    <w:rsid w:val="563EA8DF"/>
    <w:rsid w:val="5741AE6B"/>
    <w:rsid w:val="57A86C2F"/>
    <w:rsid w:val="586FF149"/>
    <w:rsid w:val="58A65E1D"/>
    <w:rsid w:val="58B0B320"/>
    <w:rsid w:val="58DBBF3B"/>
    <w:rsid w:val="597092BD"/>
    <w:rsid w:val="5A0FB781"/>
    <w:rsid w:val="5AF73270"/>
    <w:rsid w:val="5BCB9FB0"/>
    <w:rsid w:val="5C0057E7"/>
    <w:rsid w:val="5D301D8C"/>
    <w:rsid w:val="5DD7B7AF"/>
    <w:rsid w:val="5E315218"/>
    <w:rsid w:val="5E3EDFB8"/>
    <w:rsid w:val="5E428297"/>
    <w:rsid w:val="5E46F83D"/>
    <w:rsid w:val="5E641CA9"/>
    <w:rsid w:val="5E797ACD"/>
    <w:rsid w:val="5E95DB28"/>
    <w:rsid w:val="5EE9E1DF"/>
    <w:rsid w:val="5FD37B6D"/>
    <w:rsid w:val="601B7884"/>
    <w:rsid w:val="603080F9"/>
    <w:rsid w:val="610B4A9F"/>
    <w:rsid w:val="61485408"/>
    <w:rsid w:val="6163A09D"/>
    <w:rsid w:val="618EDDEF"/>
    <w:rsid w:val="621143E9"/>
    <w:rsid w:val="622F5D41"/>
    <w:rsid w:val="6289F6F0"/>
    <w:rsid w:val="62D5FF51"/>
    <w:rsid w:val="62E520E4"/>
    <w:rsid w:val="63E455FF"/>
    <w:rsid w:val="64443AB8"/>
    <w:rsid w:val="64633561"/>
    <w:rsid w:val="648B674E"/>
    <w:rsid w:val="64A43B78"/>
    <w:rsid w:val="64F4DDF4"/>
    <w:rsid w:val="651F775E"/>
    <w:rsid w:val="6558BE60"/>
    <w:rsid w:val="65A927D3"/>
    <w:rsid w:val="665072CA"/>
    <w:rsid w:val="666FBA73"/>
    <w:rsid w:val="66B68262"/>
    <w:rsid w:val="66FCAE79"/>
    <w:rsid w:val="6777B82D"/>
    <w:rsid w:val="67B9C14B"/>
    <w:rsid w:val="67C4D910"/>
    <w:rsid w:val="69AB8FF1"/>
    <w:rsid w:val="69BA3536"/>
    <w:rsid w:val="6A097595"/>
    <w:rsid w:val="6AEBFDB1"/>
    <w:rsid w:val="6B7130CA"/>
    <w:rsid w:val="6B74D714"/>
    <w:rsid w:val="6D86A4BE"/>
    <w:rsid w:val="6E709D5D"/>
    <w:rsid w:val="6F452836"/>
    <w:rsid w:val="6FA83FB0"/>
    <w:rsid w:val="70C7DBCD"/>
    <w:rsid w:val="70CE2A29"/>
    <w:rsid w:val="71418693"/>
    <w:rsid w:val="719C8216"/>
    <w:rsid w:val="71F76EA1"/>
    <w:rsid w:val="71F9CC81"/>
    <w:rsid w:val="7247637A"/>
    <w:rsid w:val="7272EA67"/>
    <w:rsid w:val="7294465D"/>
    <w:rsid w:val="729FE7E9"/>
    <w:rsid w:val="73495B78"/>
    <w:rsid w:val="73966630"/>
    <w:rsid w:val="73BDD507"/>
    <w:rsid w:val="74BF1A63"/>
    <w:rsid w:val="7526B3AA"/>
    <w:rsid w:val="756491E3"/>
    <w:rsid w:val="75739713"/>
    <w:rsid w:val="75974649"/>
    <w:rsid w:val="7774E66B"/>
    <w:rsid w:val="7783377D"/>
    <w:rsid w:val="77979982"/>
    <w:rsid w:val="78124AFF"/>
    <w:rsid w:val="7889CF16"/>
    <w:rsid w:val="789D34FC"/>
    <w:rsid w:val="789F9D18"/>
    <w:rsid w:val="796298AC"/>
    <w:rsid w:val="79867B52"/>
    <w:rsid w:val="79B04037"/>
    <w:rsid w:val="7A79955E"/>
    <w:rsid w:val="7B89576A"/>
    <w:rsid w:val="7C04FECE"/>
    <w:rsid w:val="7C71FB11"/>
    <w:rsid w:val="7C7587E1"/>
    <w:rsid w:val="7C898133"/>
    <w:rsid w:val="7CCBCA77"/>
    <w:rsid w:val="7D3C4C57"/>
    <w:rsid w:val="7D62C547"/>
    <w:rsid w:val="7DD2F350"/>
    <w:rsid w:val="7DFB5713"/>
    <w:rsid w:val="7EEE5B50"/>
    <w:rsid w:val="7FA4E10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9EC73"/>
  <w15:docId w15:val="{C3F2E6DB-1ACD-452F-9ACC-B1DA8D771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32FD5"/>
    <w:pPr>
      <w:keepNext/>
      <w:keepLines/>
      <w:spacing w:before="240" w:after="0"/>
      <w:outlineLvl w:val="0"/>
    </w:pPr>
    <w:rPr>
      <w:rFonts w:asciiTheme="majorHAnsi" w:eastAsiaTheme="majorEastAsia" w:hAnsiTheme="majorHAnsi" w:cstheme="majorBidi"/>
      <w:color w:val="2F5496" w:themeColor="accent1" w:themeShade="BF"/>
      <w:sz w:val="32"/>
      <w:szCs w:val="32"/>
      <w:lang w:val="pt-BR"/>
    </w:rPr>
  </w:style>
  <w:style w:type="paragraph" w:styleId="Ttulo2">
    <w:name w:val="heading 2"/>
    <w:basedOn w:val="Normal"/>
    <w:next w:val="Normal"/>
    <w:link w:val="Ttulo2Char"/>
    <w:uiPriority w:val="9"/>
    <w:unhideWhenUsed/>
    <w:qFormat/>
    <w:rsid w:val="006C3622"/>
    <w:pPr>
      <w:keepNext/>
      <w:keepLines/>
      <w:spacing w:before="40" w:after="0"/>
      <w:outlineLvl w:val="1"/>
    </w:pPr>
    <w:rPr>
      <w:rFonts w:asciiTheme="majorHAnsi" w:eastAsiaTheme="majorEastAsia" w:hAnsiTheme="majorHAnsi" w:cstheme="majorBidi"/>
      <w:color w:val="2F5496" w:themeColor="accent1" w:themeShade="BF"/>
      <w:sz w:val="26"/>
      <w:szCs w:val="26"/>
      <w:lang w:val="pt-BR"/>
    </w:rPr>
  </w:style>
  <w:style w:type="paragraph" w:styleId="Ttulo3">
    <w:name w:val="heading 3"/>
    <w:basedOn w:val="Normal"/>
    <w:next w:val="Normal"/>
    <w:link w:val="Ttulo3Char"/>
    <w:uiPriority w:val="9"/>
    <w:unhideWhenUsed/>
    <w:qFormat/>
    <w:rsid w:val="00B137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unhideWhenUsed/>
    <w:qFormat/>
    <w:rsid w:val="00CD4E5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32FD5"/>
    <w:rPr>
      <w:rFonts w:asciiTheme="majorHAnsi" w:eastAsiaTheme="majorEastAsia" w:hAnsiTheme="majorHAnsi" w:cstheme="majorBidi"/>
      <w:color w:val="2F5496" w:themeColor="accent1" w:themeShade="BF"/>
      <w:sz w:val="32"/>
      <w:szCs w:val="32"/>
      <w:lang w:val="pt-BR"/>
    </w:rPr>
  </w:style>
  <w:style w:type="paragraph" w:customStyle="1" w:styleId="HSText">
    <w:name w:val="HS_Text"/>
    <w:basedOn w:val="Normal"/>
    <w:link w:val="HSTextChar"/>
    <w:qFormat/>
    <w:rsid w:val="00720F7D"/>
    <w:pPr>
      <w:jc w:val="both"/>
    </w:pPr>
    <w:rPr>
      <w:lang w:val="en-GB"/>
    </w:rPr>
  </w:style>
  <w:style w:type="paragraph" w:styleId="Ttulo">
    <w:name w:val="Title"/>
    <w:basedOn w:val="Normal"/>
    <w:next w:val="Normal"/>
    <w:link w:val="TtuloChar"/>
    <w:uiPriority w:val="10"/>
    <w:qFormat/>
    <w:rsid w:val="00032FD5"/>
    <w:pPr>
      <w:spacing w:after="0" w:line="240" w:lineRule="auto"/>
      <w:contextualSpacing/>
    </w:pPr>
    <w:rPr>
      <w:rFonts w:asciiTheme="majorHAnsi" w:eastAsiaTheme="majorEastAsia" w:hAnsiTheme="majorHAnsi" w:cstheme="majorBidi"/>
      <w:spacing w:val="-10"/>
      <w:kern w:val="28"/>
      <w:sz w:val="56"/>
      <w:szCs w:val="56"/>
      <w:lang w:val="pt-BR"/>
    </w:rPr>
  </w:style>
  <w:style w:type="character" w:customStyle="1" w:styleId="TtuloChar">
    <w:name w:val="Título Char"/>
    <w:basedOn w:val="Fontepargpadro"/>
    <w:link w:val="Ttulo"/>
    <w:uiPriority w:val="10"/>
    <w:rsid w:val="00032FD5"/>
    <w:rPr>
      <w:rFonts w:asciiTheme="majorHAnsi" w:eastAsiaTheme="majorEastAsia" w:hAnsiTheme="majorHAnsi" w:cstheme="majorBidi"/>
      <w:spacing w:val="-10"/>
      <w:kern w:val="28"/>
      <w:sz w:val="56"/>
      <w:szCs w:val="56"/>
      <w:lang w:val="pt-BR"/>
    </w:rPr>
  </w:style>
  <w:style w:type="character" w:customStyle="1" w:styleId="HSTextChar">
    <w:name w:val="HS_Text Char"/>
    <w:basedOn w:val="Fontepargpadro"/>
    <w:link w:val="HSText"/>
    <w:rsid w:val="00720F7D"/>
    <w:rPr>
      <w:lang w:val="en-GB"/>
    </w:rPr>
  </w:style>
  <w:style w:type="character" w:styleId="Refdecomentrio">
    <w:name w:val="annotation reference"/>
    <w:basedOn w:val="Fontepargpadro"/>
    <w:uiPriority w:val="99"/>
    <w:semiHidden/>
    <w:unhideWhenUsed/>
    <w:rsid w:val="00032FD5"/>
    <w:rPr>
      <w:sz w:val="16"/>
      <w:szCs w:val="16"/>
    </w:rPr>
  </w:style>
  <w:style w:type="paragraph" w:styleId="Textodecomentrio">
    <w:name w:val="annotation text"/>
    <w:basedOn w:val="Normal"/>
    <w:link w:val="TextodecomentrioChar"/>
    <w:uiPriority w:val="99"/>
    <w:unhideWhenUsed/>
    <w:rsid w:val="00032FD5"/>
    <w:pPr>
      <w:spacing w:line="240" w:lineRule="auto"/>
    </w:pPr>
    <w:rPr>
      <w:sz w:val="20"/>
      <w:szCs w:val="20"/>
      <w:lang w:val="pt-BR"/>
    </w:rPr>
  </w:style>
  <w:style w:type="character" w:customStyle="1" w:styleId="TextodecomentrioChar">
    <w:name w:val="Texto de comentário Char"/>
    <w:basedOn w:val="Fontepargpadro"/>
    <w:link w:val="Textodecomentrio"/>
    <w:uiPriority w:val="99"/>
    <w:rsid w:val="00032FD5"/>
    <w:rPr>
      <w:sz w:val="20"/>
      <w:szCs w:val="20"/>
      <w:lang w:val="pt-BR"/>
    </w:rPr>
  </w:style>
  <w:style w:type="paragraph" w:styleId="Textodebalo">
    <w:name w:val="Balloon Text"/>
    <w:basedOn w:val="Normal"/>
    <w:link w:val="TextodebaloChar"/>
    <w:uiPriority w:val="99"/>
    <w:semiHidden/>
    <w:unhideWhenUsed/>
    <w:rsid w:val="00032FD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32FD5"/>
    <w:rPr>
      <w:rFonts w:ascii="Segoe UI" w:hAnsi="Segoe UI" w:cs="Segoe UI"/>
      <w:sz w:val="18"/>
      <w:szCs w:val="18"/>
    </w:rPr>
  </w:style>
  <w:style w:type="paragraph" w:customStyle="1" w:styleId="HollandsSpoor">
    <w:name w:val="HollandsSpoor"/>
    <w:basedOn w:val="Normal"/>
    <w:link w:val="HollandsSpoorChar"/>
    <w:qFormat/>
    <w:rsid w:val="00032FD5"/>
    <w:pPr>
      <w:numPr>
        <w:numId w:val="1"/>
      </w:numPr>
    </w:pPr>
    <w:rPr>
      <w:rFonts w:asciiTheme="majorHAnsi" w:hAnsiTheme="majorHAnsi"/>
      <w:bCs/>
      <w:color w:val="2F5496" w:themeColor="accent1" w:themeShade="BF"/>
      <w:sz w:val="32"/>
      <w:lang w:val="en-GB"/>
    </w:rPr>
  </w:style>
  <w:style w:type="character" w:customStyle="1" w:styleId="HollandsSpoorChar">
    <w:name w:val="HollandsSpoor Char"/>
    <w:basedOn w:val="Fontepargpadro"/>
    <w:link w:val="HollandsSpoor"/>
    <w:rsid w:val="00032FD5"/>
    <w:rPr>
      <w:rFonts w:asciiTheme="majorHAnsi" w:hAnsiTheme="majorHAnsi"/>
      <w:bCs/>
      <w:color w:val="2F5496" w:themeColor="accent1" w:themeShade="BF"/>
      <w:sz w:val="32"/>
      <w:lang w:val="en-GB"/>
    </w:rPr>
  </w:style>
  <w:style w:type="paragraph" w:customStyle="1" w:styleId="HollandsSpoor2">
    <w:name w:val="HollandsSpoor2"/>
    <w:basedOn w:val="HollandsSpoor"/>
    <w:link w:val="HollandsSpoor2Char"/>
    <w:rsid w:val="00032FD5"/>
    <w:pPr>
      <w:numPr>
        <w:ilvl w:val="1"/>
      </w:numPr>
      <w:tabs>
        <w:tab w:val="num" w:pos="360"/>
      </w:tabs>
    </w:pPr>
    <w:rPr>
      <w:bCs w:val="0"/>
      <w:sz w:val="28"/>
      <w:szCs w:val="30"/>
    </w:rPr>
  </w:style>
  <w:style w:type="paragraph" w:customStyle="1" w:styleId="HollandsSpoor3">
    <w:name w:val="HollandsSpoor3"/>
    <w:basedOn w:val="HollandsSpoor2"/>
    <w:qFormat/>
    <w:rsid w:val="00032FD5"/>
    <w:pPr>
      <w:numPr>
        <w:ilvl w:val="2"/>
      </w:numPr>
      <w:tabs>
        <w:tab w:val="num" w:pos="360"/>
      </w:tabs>
    </w:pPr>
    <w:rPr>
      <w:rFonts w:eastAsiaTheme="majorEastAsia" w:cstheme="majorBidi"/>
      <w:i/>
      <w:iCs/>
      <w:sz w:val="26"/>
    </w:rPr>
  </w:style>
  <w:style w:type="paragraph" w:styleId="Textodenotaderodap">
    <w:name w:val="footnote text"/>
    <w:basedOn w:val="Normal"/>
    <w:link w:val="TextodenotaderodapChar"/>
    <w:uiPriority w:val="99"/>
    <w:unhideWhenUsed/>
    <w:rsid w:val="008B4F3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8B4F3E"/>
    <w:rPr>
      <w:sz w:val="20"/>
      <w:szCs w:val="20"/>
    </w:rPr>
  </w:style>
  <w:style w:type="character" w:styleId="Refdenotaderodap">
    <w:name w:val="footnote reference"/>
    <w:basedOn w:val="Fontepargpadro"/>
    <w:uiPriority w:val="99"/>
    <w:semiHidden/>
    <w:unhideWhenUsed/>
    <w:rsid w:val="008B4F3E"/>
    <w:rPr>
      <w:vertAlign w:val="superscript"/>
    </w:rPr>
  </w:style>
  <w:style w:type="paragraph" w:styleId="Assuntodocomentrio">
    <w:name w:val="annotation subject"/>
    <w:basedOn w:val="Textodecomentrio"/>
    <w:next w:val="Textodecomentrio"/>
    <w:link w:val="AssuntodocomentrioChar"/>
    <w:uiPriority w:val="99"/>
    <w:semiHidden/>
    <w:unhideWhenUsed/>
    <w:rsid w:val="005D0387"/>
    <w:rPr>
      <w:b/>
      <w:bCs/>
      <w:lang w:val="nl-NL"/>
    </w:rPr>
  </w:style>
  <w:style w:type="character" w:customStyle="1" w:styleId="AssuntodocomentrioChar">
    <w:name w:val="Assunto do comentário Char"/>
    <w:basedOn w:val="TextodecomentrioChar"/>
    <w:link w:val="Assuntodocomentrio"/>
    <w:uiPriority w:val="99"/>
    <w:semiHidden/>
    <w:rsid w:val="005D0387"/>
    <w:rPr>
      <w:b/>
      <w:bCs/>
      <w:sz w:val="20"/>
      <w:szCs w:val="20"/>
      <w:lang w:val="pt-BR"/>
    </w:rPr>
  </w:style>
  <w:style w:type="table" w:customStyle="1" w:styleId="TabeladeLista3-nfase51">
    <w:name w:val="Tabela de Lista 3 - Ênfase 51"/>
    <w:basedOn w:val="Tabelanormal"/>
    <w:uiPriority w:val="48"/>
    <w:rsid w:val="00650ECE"/>
    <w:pPr>
      <w:spacing w:after="0" w:line="240" w:lineRule="auto"/>
    </w:pPr>
    <w:rPr>
      <w:lang w:val="pt-BR"/>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Legenda">
    <w:name w:val="caption"/>
    <w:basedOn w:val="Normal"/>
    <w:next w:val="Normal"/>
    <w:uiPriority w:val="35"/>
    <w:unhideWhenUsed/>
    <w:qFormat/>
    <w:rsid w:val="003C794E"/>
    <w:pPr>
      <w:spacing w:after="200" w:line="240" w:lineRule="auto"/>
    </w:pPr>
    <w:rPr>
      <w:i/>
      <w:iCs/>
      <w:color w:val="44546A" w:themeColor="text2"/>
      <w:sz w:val="18"/>
      <w:szCs w:val="18"/>
    </w:rPr>
  </w:style>
  <w:style w:type="character" w:customStyle="1" w:styleId="Ttulo2Char">
    <w:name w:val="Título 2 Char"/>
    <w:basedOn w:val="Fontepargpadro"/>
    <w:link w:val="Ttulo2"/>
    <w:uiPriority w:val="9"/>
    <w:rsid w:val="006C3622"/>
    <w:rPr>
      <w:rFonts w:asciiTheme="majorHAnsi" w:eastAsiaTheme="majorEastAsia" w:hAnsiTheme="majorHAnsi" w:cstheme="majorBidi"/>
      <w:color w:val="2F5496" w:themeColor="accent1" w:themeShade="BF"/>
      <w:sz w:val="26"/>
      <w:szCs w:val="26"/>
      <w:lang w:val="pt-BR"/>
    </w:rPr>
  </w:style>
  <w:style w:type="table" w:styleId="Tabelacomgrade">
    <w:name w:val="Table Grid"/>
    <w:basedOn w:val="Tabelanormal"/>
    <w:uiPriority w:val="39"/>
    <w:rsid w:val="006C3622"/>
    <w:pPr>
      <w:spacing w:after="0" w:line="240" w:lineRule="auto"/>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ollandsSpoor2Char">
    <w:name w:val="HollandsSpoor2 Char"/>
    <w:basedOn w:val="HollandsSpoorChar"/>
    <w:link w:val="HollandsSpoor2"/>
    <w:rsid w:val="006C3622"/>
    <w:rPr>
      <w:rFonts w:asciiTheme="majorHAnsi" w:hAnsiTheme="majorHAnsi"/>
      <w:bCs w:val="0"/>
      <w:color w:val="2F5496" w:themeColor="accent1" w:themeShade="BF"/>
      <w:sz w:val="28"/>
      <w:szCs w:val="30"/>
      <w:lang w:val="en-GB"/>
    </w:rPr>
  </w:style>
  <w:style w:type="table" w:customStyle="1" w:styleId="TabeladeLista1Clara-nfase51">
    <w:name w:val="Tabela de Lista 1 Clara - Ênfase 51"/>
    <w:basedOn w:val="Tabelanormal"/>
    <w:uiPriority w:val="46"/>
    <w:rsid w:val="00E56CAA"/>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Cabealho">
    <w:name w:val="header"/>
    <w:basedOn w:val="Normal"/>
    <w:link w:val="CabealhoChar"/>
    <w:uiPriority w:val="99"/>
    <w:unhideWhenUsed/>
    <w:rsid w:val="00A4642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46429"/>
  </w:style>
  <w:style w:type="paragraph" w:styleId="Rodap">
    <w:name w:val="footer"/>
    <w:basedOn w:val="Normal"/>
    <w:link w:val="RodapChar"/>
    <w:uiPriority w:val="99"/>
    <w:unhideWhenUsed/>
    <w:rsid w:val="00A46429"/>
    <w:pPr>
      <w:tabs>
        <w:tab w:val="center" w:pos="4252"/>
        <w:tab w:val="right" w:pos="8504"/>
      </w:tabs>
      <w:spacing w:after="0" w:line="240" w:lineRule="auto"/>
    </w:pPr>
  </w:style>
  <w:style w:type="character" w:customStyle="1" w:styleId="RodapChar">
    <w:name w:val="Rodapé Char"/>
    <w:basedOn w:val="Fontepargpadro"/>
    <w:link w:val="Rodap"/>
    <w:uiPriority w:val="99"/>
    <w:rsid w:val="00A46429"/>
  </w:style>
  <w:style w:type="table" w:customStyle="1" w:styleId="TabeladeLista2-nfase11">
    <w:name w:val="Tabela de Lista 2 - Ênfase 11"/>
    <w:basedOn w:val="Tabelanormal"/>
    <w:uiPriority w:val="47"/>
    <w:rsid w:val="0013158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2-nfase51">
    <w:name w:val="Tabela de Lista 2 - Ênfase 51"/>
    <w:basedOn w:val="Tabelanormal"/>
    <w:uiPriority w:val="47"/>
    <w:rsid w:val="0013158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11">
    <w:name w:val="Tabela de Lista 4 - Ênfase 11"/>
    <w:basedOn w:val="Tabelanormal"/>
    <w:uiPriority w:val="49"/>
    <w:rsid w:val="00427A7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
    <w:name w:val="Tabela de Grade 2 - Ênfase 51"/>
    <w:basedOn w:val="Tabelanormal"/>
    <w:uiPriority w:val="47"/>
    <w:rsid w:val="00427A7F"/>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2-nfase61">
    <w:name w:val="Tabela de Grade 2 - Ênfase 61"/>
    <w:basedOn w:val="Tabelanormal"/>
    <w:uiPriority w:val="47"/>
    <w:rsid w:val="008B04E6"/>
    <w:pPr>
      <w:spacing w:after="0" w:line="240" w:lineRule="auto"/>
    </w:pPr>
    <w:rPr>
      <w:lang w:val="pt-BR"/>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argrafodaLista">
    <w:name w:val="List Paragraph"/>
    <w:basedOn w:val="Normal"/>
    <w:uiPriority w:val="34"/>
    <w:qFormat/>
    <w:rsid w:val="009163A2"/>
    <w:pPr>
      <w:ind w:left="720"/>
      <w:contextualSpacing/>
    </w:pPr>
  </w:style>
  <w:style w:type="table" w:customStyle="1" w:styleId="TabeladeGrade2-nfase11">
    <w:name w:val="Tabela de Grade 2 - Ênfase 11"/>
    <w:basedOn w:val="Tabelanormal"/>
    <w:uiPriority w:val="47"/>
    <w:rsid w:val="001522BC"/>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1Clara-nfase51">
    <w:name w:val="Tabela de Grade 1 Clara - Ênfase 51"/>
    <w:basedOn w:val="Tabelanormal"/>
    <w:uiPriority w:val="46"/>
    <w:rsid w:val="00575C9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nfaseIntensa">
    <w:name w:val="Intense Emphasis"/>
    <w:basedOn w:val="Fontepargpadro"/>
    <w:uiPriority w:val="21"/>
    <w:qFormat/>
    <w:rsid w:val="00EC04C2"/>
    <w:rPr>
      <w:i/>
      <w:iCs/>
      <w:color w:val="4472C4" w:themeColor="accent1"/>
    </w:rPr>
  </w:style>
  <w:style w:type="character" w:styleId="Refdenotadefim">
    <w:name w:val="endnote reference"/>
    <w:basedOn w:val="Fontepargpadro"/>
    <w:uiPriority w:val="99"/>
    <w:semiHidden/>
    <w:unhideWhenUsed/>
    <w:rsid w:val="00115F53"/>
    <w:rPr>
      <w:vertAlign w:val="superscript"/>
    </w:rPr>
  </w:style>
  <w:style w:type="character" w:customStyle="1" w:styleId="tlid-translation">
    <w:name w:val="tlid-translation"/>
    <w:basedOn w:val="Fontepargpadro"/>
    <w:rsid w:val="00794424"/>
  </w:style>
  <w:style w:type="character" w:customStyle="1" w:styleId="jlqj4b">
    <w:name w:val="jlqj4b"/>
    <w:basedOn w:val="Fontepargpadro"/>
    <w:rsid w:val="00983B39"/>
  </w:style>
  <w:style w:type="table" w:customStyle="1" w:styleId="TabeladeGrade1Clara-nfase52">
    <w:name w:val="Tabela de Grade 1 Clara - Ênfase 52"/>
    <w:basedOn w:val="Tabelanormal"/>
    <w:uiPriority w:val="46"/>
    <w:rsid w:val="00D06DDF"/>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Reviso">
    <w:name w:val="Revision"/>
    <w:hidden/>
    <w:uiPriority w:val="99"/>
    <w:semiHidden/>
    <w:rsid w:val="00936197"/>
    <w:pPr>
      <w:spacing w:after="0" w:line="240" w:lineRule="auto"/>
    </w:pPr>
  </w:style>
  <w:style w:type="character" w:styleId="Hyperlink">
    <w:name w:val="Hyperlink"/>
    <w:basedOn w:val="Fontepargpadro"/>
    <w:uiPriority w:val="99"/>
    <w:unhideWhenUsed/>
    <w:rsid w:val="00300A9F"/>
    <w:rPr>
      <w:color w:val="0563C1" w:themeColor="hyperlink"/>
      <w:u w:val="single"/>
    </w:rPr>
  </w:style>
  <w:style w:type="character" w:customStyle="1" w:styleId="MenoPendente1">
    <w:name w:val="Menção Pendente1"/>
    <w:basedOn w:val="Fontepargpadro"/>
    <w:uiPriority w:val="99"/>
    <w:semiHidden/>
    <w:unhideWhenUsed/>
    <w:rsid w:val="00300A9F"/>
    <w:rPr>
      <w:color w:val="605E5C"/>
      <w:shd w:val="clear" w:color="auto" w:fill="E1DFDD"/>
    </w:rPr>
  </w:style>
  <w:style w:type="table" w:customStyle="1" w:styleId="TabeladeLista1Clara-nfase11">
    <w:name w:val="Tabela de Lista 1 Clara - Ênfase 11"/>
    <w:basedOn w:val="Tabelanormal"/>
    <w:uiPriority w:val="46"/>
    <w:rsid w:val="00964E41"/>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2-nfase52">
    <w:name w:val="Tabela de Lista 2 - Ênfase 52"/>
    <w:basedOn w:val="Tabelanormal"/>
    <w:uiPriority w:val="47"/>
    <w:rsid w:val="00964E41"/>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2-nfase52">
    <w:name w:val="Tabela de Grade 2 - Ênfase 52"/>
    <w:basedOn w:val="Tabelanormal"/>
    <w:uiPriority w:val="47"/>
    <w:rsid w:val="00137C06"/>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2">
    <w:name w:val="Tabela de Lista 2 - Ênfase 12"/>
    <w:basedOn w:val="Tabelanormal"/>
    <w:uiPriority w:val="47"/>
    <w:rsid w:val="003F71D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nfase">
    <w:name w:val="Emphasis"/>
    <w:basedOn w:val="Fontepargpadro"/>
    <w:uiPriority w:val="20"/>
    <w:qFormat/>
    <w:rsid w:val="00B137DD"/>
    <w:rPr>
      <w:i/>
      <w:iCs/>
    </w:rPr>
  </w:style>
  <w:style w:type="character" w:styleId="TtulodoLivro">
    <w:name w:val="Book Title"/>
    <w:basedOn w:val="Fontepargpadro"/>
    <w:uiPriority w:val="33"/>
    <w:qFormat/>
    <w:rsid w:val="00B137DD"/>
    <w:rPr>
      <w:b/>
      <w:bCs/>
      <w:i/>
      <w:iCs/>
      <w:spacing w:val="5"/>
    </w:rPr>
  </w:style>
  <w:style w:type="character" w:customStyle="1" w:styleId="Ttulo3Char">
    <w:name w:val="Título 3 Char"/>
    <w:basedOn w:val="Fontepargpadro"/>
    <w:link w:val="Ttulo3"/>
    <w:uiPriority w:val="9"/>
    <w:rsid w:val="00B137DD"/>
    <w:rPr>
      <w:rFonts w:asciiTheme="majorHAnsi" w:eastAsiaTheme="majorEastAsia" w:hAnsiTheme="majorHAnsi" w:cstheme="majorBidi"/>
      <w:color w:val="1F3763" w:themeColor="accent1" w:themeShade="7F"/>
      <w:sz w:val="24"/>
      <w:szCs w:val="24"/>
    </w:rPr>
  </w:style>
  <w:style w:type="character" w:styleId="HiperlinkVisitado">
    <w:name w:val="FollowedHyperlink"/>
    <w:basedOn w:val="Fontepargpadro"/>
    <w:uiPriority w:val="99"/>
    <w:semiHidden/>
    <w:unhideWhenUsed/>
    <w:rsid w:val="00B2705C"/>
    <w:rPr>
      <w:color w:val="954F72" w:themeColor="followedHyperlink"/>
      <w:u w:val="single"/>
    </w:rPr>
  </w:style>
  <w:style w:type="character" w:customStyle="1" w:styleId="viiyi">
    <w:name w:val="viiyi"/>
    <w:basedOn w:val="Fontepargpadro"/>
    <w:rsid w:val="00AC1B50"/>
  </w:style>
  <w:style w:type="table" w:customStyle="1" w:styleId="TabeladeLista2-nfase521">
    <w:name w:val="Tabela de Lista 2 - Ênfase 521"/>
    <w:basedOn w:val="Tabelanormal"/>
    <w:uiPriority w:val="47"/>
    <w:rsid w:val="00B83C82"/>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title-text">
    <w:name w:val="title-text"/>
    <w:basedOn w:val="Fontepargpadro"/>
    <w:rsid w:val="00F2216A"/>
  </w:style>
  <w:style w:type="table" w:customStyle="1" w:styleId="TabeladeLista2-nfase121">
    <w:name w:val="Tabela de Lista 2 - Ênfase 121"/>
    <w:basedOn w:val="Tabelanormal"/>
    <w:uiPriority w:val="47"/>
    <w:rsid w:val="008A2BA3"/>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enoPendente2">
    <w:name w:val="Menção Pendente2"/>
    <w:basedOn w:val="Fontepargpadro"/>
    <w:uiPriority w:val="99"/>
    <w:semiHidden/>
    <w:unhideWhenUsed/>
    <w:rsid w:val="00C87F82"/>
    <w:rPr>
      <w:color w:val="605E5C"/>
      <w:shd w:val="clear" w:color="auto" w:fill="E1DFDD"/>
    </w:rPr>
  </w:style>
  <w:style w:type="character" w:customStyle="1" w:styleId="UnresolvedMention1">
    <w:name w:val="Unresolved Mention1"/>
    <w:basedOn w:val="Fontepargpadro"/>
    <w:uiPriority w:val="99"/>
    <w:semiHidden/>
    <w:unhideWhenUsed/>
    <w:rsid w:val="00754440"/>
    <w:rPr>
      <w:color w:val="605E5C"/>
      <w:shd w:val="clear" w:color="auto" w:fill="E1DFDD"/>
    </w:rPr>
  </w:style>
  <w:style w:type="character" w:customStyle="1" w:styleId="MenoPendente3">
    <w:name w:val="Menção Pendente3"/>
    <w:basedOn w:val="Fontepargpadro"/>
    <w:uiPriority w:val="99"/>
    <w:semiHidden/>
    <w:unhideWhenUsed/>
    <w:rsid w:val="0046005A"/>
    <w:rPr>
      <w:color w:val="605E5C"/>
      <w:shd w:val="clear" w:color="auto" w:fill="E1DFDD"/>
    </w:rPr>
  </w:style>
  <w:style w:type="character" w:customStyle="1" w:styleId="MenoPendente4">
    <w:name w:val="Menção Pendente4"/>
    <w:basedOn w:val="Fontepargpadro"/>
    <w:uiPriority w:val="99"/>
    <w:semiHidden/>
    <w:unhideWhenUsed/>
    <w:rsid w:val="005F1FEA"/>
    <w:rPr>
      <w:color w:val="605E5C"/>
      <w:shd w:val="clear" w:color="auto" w:fill="E1DFDD"/>
    </w:rPr>
  </w:style>
  <w:style w:type="paragraph" w:customStyle="1" w:styleId="pf0">
    <w:name w:val="pf0"/>
    <w:basedOn w:val="Normal"/>
    <w:rsid w:val="0016780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01">
    <w:name w:val="fontstyle01"/>
    <w:basedOn w:val="Fontepargpadro"/>
    <w:rsid w:val="0016780E"/>
    <w:rPr>
      <w:rFonts w:ascii="Calibri" w:hAnsi="Calibri" w:cs="Calibri" w:hint="default"/>
      <w:b w:val="0"/>
      <w:bCs w:val="0"/>
      <w:i w:val="0"/>
      <w:iCs w:val="0"/>
      <w:color w:val="000000"/>
      <w:sz w:val="24"/>
      <w:szCs w:val="24"/>
    </w:rPr>
  </w:style>
  <w:style w:type="character" w:customStyle="1" w:styleId="Ttulo4Char">
    <w:name w:val="Título 4 Char"/>
    <w:basedOn w:val="Fontepargpadro"/>
    <w:link w:val="Ttulo4"/>
    <w:uiPriority w:val="9"/>
    <w:rsid w:val="00CD4E50"/>
    <w:rPr>
      <w:rFonts w:asciiTheme="majorHAnsi" w:eastAsiaTheme="majorEastAsia" w:hAnsiTheme="majorHAnsi" w:cstheme="majorBidi"/>
      <w:i/>
      <w:iCs/>
      <w:color w:val="2F5496" w:themeColor="accent1" w:themeShade="BF"/>
    </w:rPr>
  </w:style>
  <w:style w:type="paragraph" w:styleId="CabealhodoSumrio">
    <w:name w:val="TOC Heading"/>
    <w:basedOn w:val="Ttulo1"/>
    <w:next w:val="Normal"/>
    <w:uiPriority w:val="39"/>
    <w:unhideWhenUsed/>
    <w:qFormat/>
    <w:rsid w:val="00BC0E81"/>
    <w:pPr>
      <w:outlineLvl w:val="9"/>
    </w:pPr>
    <w:rPr>
      <w:lang w:eastAsia="pt-BR"/>
    </w:rPr>
  </w:style>
  <w:style w:type="paragraph" w:styleId="Sumrio1">
    <w:name w:val="toc 1"/>
    <w:basedOn w:val="Normal"/>
    <w:next w:val="Normal"/>
    <w:autoRedefine/>
    <w:uiPriority w:val="39"/>
    <w:unhideWhenUsed/>
    <w:rsid w:val="00BC0E81"/>
    <w:pPr>
      <w:spacing w:after="100"/>
    </w:pPr>
  </w:style>
  <w:style w:type="paragraph" w:styleId="Sumrio2">
    <w:name w:val="toc 2"/>
    <w:basedOn w:val="Normal"/>
    <w:next w:val="Normal"/>
    <w:autoRedefine/>
    <w:uiPriority w:val="39"/>
    <w:unhideWhenUsed/>
    <w:rsid w:val="00BC0E81"/>
    <w:pPr>
      <w:spacing w:after="100"/>
      <w:ind w:left="220"/>
    </w:pPr>
  </w:style>
  <w:style w:type="paragraph" w:styleId="Sumrio3">
    <w:name w:val="toc 3"/>
    <w:basedOn w:val="Normal"/>
    <w:next w:val="Normal"/>
    <w:autoRedefine/>
    <w:uiPriority w:val="39"/>
    <w:unhideWhenUsed/>
    <w:rsid w:val="00BC0E8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7682">
      <w:bodyDiv w:val="1"/>
      <w:marLeft w:val="0"/>
      <w:marRight w:val="0"/>
      <w:marTop w:val="0"/>
      <w:marBottom w:val="0"/>
      <w:divBdr>
        <w:top w:val="none" w:sz="0" w:space="0" w:color="auto"/>
        <w:left w:val="none" w:sz="0" w:space="0" w:color="auto"/>
        <w:bottom w:val="none" w:sz="0" w:space="0" w:color="auto"/>
        <w:right w:val="none" w:sz="0" w:space="0" w:color="auto"/>
      </w:divBdr>
      <w:divsChild>
        <w:div w:id="674263774">
          <w:marLeft w:val="0"/>
          <w:marRight w:val="0"/>
          <w:marTop w:val="0"/>
          <w:marBottom w:val="0"/>
          <w:divBdr>
            <w:top w:val="none" w:sz="0" w:space="0" w:color="auto"/>
            <w:left w:val="none" w:sz="0" w:space="0" w:color="auto"/>
            <w:bottom w:val="none" w:sz="0" w:space="0" w:color="auto"/>
            <w:right w:val="none" w:sz="0" w:space="0" w:color="auto"/>
          </w:divBdr>
          <w:divsChild>
            <w:div w:id="1418207282">
              <w:marLeft w:val="0"/>
              <w:marRight w:val="0"/>
              <w:marTop w:val="0"/>
              <w:marBottom w:val="0"/>
              <w:divBdr>
                <w:top w:val="none" w:sz="0" w:space="0" w:color="auto"/>
                <w:left w:val="none" w:sz="0" w:space="0" w:color="auto"/>
                <w:bottom w:val="none" w:sz="0" w:space="0" w:color="auto"/>
                <w:right w:val="none" w:sz="0" w:space="0" w:color="auto"/>
              </w:divBdr>
              <w:divsChild>
                <w:div w:id="2028479950">
                  <w:marLeft w:val="0"/>
                  <w:marRight w:val="0"/>
                  <w:marTop w:val="0"/>
                  <w:marBottom w:val="0"/>
                  <w:divBdr>
                    <w:top w:val="none" w:sz="0" w:space="0" w:color="auto"/>
                    <w:left w:val="none" w:sz="0" w:space="0" w:color="auto"/>
                    <w:bottom w:val="none" w:sz="0" w:space="0" w:color="auto"/>
                    <w:right w:val="none" w:sz="0" w:space="0" w:color="auto"/>
                  </w:divBdr>
                  <w:divsChild>
                    <w:div w:id="1766995184">
                      <w:marLeft w:val="0"/>
                      <w:marRight w:val="0"/>
                      <w:marTop w:val="0"/>
                      <w:marBottom w:val="0"/>
                      <w:divBdr>
                        <w:top w:val="none" w:sz="0" w:space="0" w:color="auto"/>
                        <w:left w:val="none" w:sz="0" w:space="0" w:color="auto"/>
                        <w:bottom w:val="none" w:sz="0" w:space="0" w:color="auto"/>
                        <w:right w:val="none" w:sz="0" w:space="0" w:color="auto"/>
                      </w:divBdr>
                      <w:divsChild>
                        <w:div w:id="1319459599">
                          <w:marLeft w:val="0"/>
                          <w:marRight w:val="0"/>
                          <w:marTop w:val="0"/>
                          <w:marBottom w:val="0"/>
                          <w:divBdr>
                            <w:top w:val="none" w:sz="0" w:space="0" w:color="auto"/>
                            <w:left w:val="none" w:sz="0" w:space="0" w:color="auto"/>
                            <w:bottom w:val="none" w:sz="0" w:space="0" w:color="auto"/>
                            <w:right w:val="none" w:sz="0" w:space="0" w:color="auto"/>
                          </w:divBdr>
                          <w:divsChild>
                            <w:div w:id="1344212381">
                              <w:marLeft w:val="0"/>
                              <w:marRight w:val="300"/>
                              <w:marTop w:val="180"/>
                              <w:marBottom w:val="0"/>
                              <w:divBdr>
                                <w:top w:val="none" w:sz="0" w:space="0" w:color="auto"/>
                                <w:left w:val="none" w:sz="0" w:space="0" w:color="auto"/>
                                <w:bottom w:val="none" w:sz="0" w:space="0" w:color="auto"/>
                                <w:right w:val="none" w:sz="0" w:space="0" w:color="auto"/>
                              </w:divBdr>
                              <w:divsChild>
                                <w:div w:id="141952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349509">
          <w:marLeft w:val="0"/>
          <w:marRight w:val="0"/>
          <w:marTop w:val="0"/>
          <w:marBottom w:val="0"/>
          <w:divBdr>
            <w:top w:val="none" w:sz="0" w:space="0" w:color="auto"/>
            <w:left w:val="none" w:sz="0" w:space="0" w:color="auto"/>
            <w:bottom w:val="none" w:sz="0" w:space="0" w:color="auto"/>
            <w:right w:val="none" w:sz="0" w:space="0" w:color="auto"/>
          </w:divBdr>
          <w:divsChild>
            <w:div w:id="1108354997">
              <w:marLeft w:val="0"/>
              <w:marRight w:val="0"/>
              <w:marTop w:val="0"/>
              <w:marBottom w:val="0"/>
              <w:divBdr>
                <w:top w:val="none" w:sz="0" w:space="0" w:color="auto"/>
                <w:left w:val="none" w:sz="0" w:space="0" w:color="auto"/>
                <w:bottom w:val="none" w:sz="0" w:space="0" w:color="auto"/>
                <w:right w:val="none" w:sz="0" w:space="0" w:color="auto"/>
              </w:divBdr>
              <w:divsChild>
                <w:div w:id="710811058">
                  <w:marLeft w:val="0"/>
                  <w:marRight w:val="0"/>
                  <w:marTop w:val="0"/>
                  <w:marBottom w:val="0"/>
                  <w:divBdr>
                    <w:top w:val="none" w:sz="0" w:space="0" w:color="auto"/>
                    <w:left w:val="none" w:sz="0" w:space="0" w:color="auto"/>
                    <w:bottom w:val="none" w:sz="0" w:space="0" w:color="auto"/>
                    <w:right w:val="none" w:sz="0" w:space="0" w:color="auto"/>
                  </w:divBdr>
                  <w:divsChild>
                    <w:div w:id="992634942">
                      <w:marLeft w:val="0"/>
                      <w:marRight w:val="0"/>
                      <w:marTop w:val="0"/>
                      <w:marBottom w:val="0"/>
                      <w:divBdr>
                        <w:top w:val="none" w:sz="0" w:space="0" w:color="auto"/>
                        <w:left w:val="none" w:sz="0" w:space="0" w:color="auto"/>
                        <w:bottom w:val="none" w:sz="0" w:space="0" w:color="auto"/>
                        <w:right w:val="none" w:sz="0" w:space="0" w:color="auto"/>
                      </w:divBdr>
                      <w:divsChild>
                        <w:div w:id="130700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01318">
      <w:bodyDiv w:val="1"/>
      <w:marLeft w:val="0"/>
      <w:marRight w:val="0"/>
      <w:marTop w:val="0"/>
      <w:marBottom w:val="0"/>
      <w:divBdr>
        <w:top w:val="none" w:sz="0" w:space="0" w:color="auto"/>
        <w:left w:val="none" w:sz="0" w:space="0" w:color="auto"/>
        <w:bottom w:val="none" w:sz="0" w:space="0" w:color="auto"/>
        <w:right w:val="none" w:sz="0" w:space="0" w:color="auto"/>
      </w:divBdr>
    </w:div>
    <w:div w:id="406850710">
      <w:bodyDiv w:val="1"/>
      <w:marLeft w:val="0"/>
      <w:marRight w:val="0"/>
      <w:marTop w:val="0"/>
      <w:marBottom w:val="0"/>
      <w:divBdr>
        <w:top w:val="none" w:sz="0" w:space="0" w:color="auto"/>
        <w:left w:val="none" w:sz="0" w:space="0" w:color="auto"/>
        <w:bottom w:val="none" w:sz="0" w:space="0" w:color="auto"/>
        <w:right w:val="none" w:sz="0" w:space="0" w:color="auto"/>
      </w:divBdr>
    </w:div>
    <w:div w:id="444927100">
      <w:bodyDiv w:val="1"/>
      <w:marLeft w:val="0"/>
      <w:marRight w:val="0"/>
      <w:marTop w:val="0"/>
      <w:marBottom w:val="0"/>
      <w:divBdr>
        <w:top w:val="none" w:sz="0" w:space="0" w:color="auto"/>
        <w:left w:val="none" w:sz="0" w:space="0" w:color="auto"/>
        <w:bottom w:val="none" w:sz="0" w:space="0" w:color="auto"/>
        <w:right w:val="none" w:sz="0" w:space="0" w:color="auto"/>
      </w:divBdr>
    </w:div>
    <w:div w:id="473643284">
      <w:bodyDiv w:val="1"/>
      <w:marLeft w:val="0"/>
      <w:marRight w:val="0"/>
      <w:marTop w:val="0"/>
      <w:marBottom w:val="0"/>
      <w:divBdr>
        <w:top w:val="none" w:sz="0" w:space="0" w:color="auto"/>
        <w:left w:val="none" w:sz="0" w:space="0" w:color="auto"/>
        <w:bottom w:val="none" w:sz="0" w:space="0" w:color="auto"/>
        <w:right w:val="none" w:sz="0" w:space="0" w:color="auto"/>
      </w:divBdr>
    </w:div>
    <w:div w:id="615255720">
      <w:bodyDiv w:val="1"/>
      <w:marLeft w:val="0"/>
      <w:marRight w:val="0"/>
      <w:marTop w:val="0"/>
      <w:marBottom w:val="0"/>
      <w:divBdr>
        <w:top w:val="none" w:sz="0" w:space="0" w:color="auto"/>
        <w:left w:val="none" w:sz="0" w:space="0" w:color="auto"/>
        <w:bottom w:val="none" w:sz="0" w:space="0" w:color="auto"/>
        <w:right w:val="none" w:sz="0" w:space="0" w:color="auto"/>
      </w:divBdr>
      <w:divsChild>
        <w:div w:id="729109645">
          <w:marLeft w:val="0"/>
          <w:marRight w:val="0"/>
          <w:marTop w:val="0"/>
          <w:marBottom w:val="0"/>
          <w:divBdr>
            <w:top w:val="none" w:sz="0" w:space="0" w:color="auto"/>
            <w:left w:val="none" w:sz="0" w:space="0" w:color="auto"/>
            <w:bottom w:val="none" w:sz="0" w:space="0" w:color="auto"/>
            <w:right w:val="none" w:sz="0" w:space="0" w:color="auto"/>
          </w:divBdr>
          <w:divsChild>
            <w:div w:id="153493841">
              <w:marLeft w:val="0"/>
              <w:marRight w:val="0"/>
              <w:marTop w:val="0"/>
              <w:marBottom w:val="0"/>
              <w:divBdr>
                <w:top w:val="none" w:sz="0" w:space="0" w:color="auto"/>
                <w:left w:val="none" w:sz="0" w:space="0" w:color="auto"/>
                <w:bottom w:val="none" w:sz="0" w:space="0" w:color="auto"/>
                <w:right w:val="none" w:sz="0" w:space="0" w:color="auto"/>
              </w:divBdr>
              <w:divsChild>
                <w:div w:id="247740734">
                  <w:marLeft w:val="0"/>
                  <w:marRight w:val="0"/>
                  <w:marTop w:val="0"/>
                  <w:marBottom w:val="0"/>
                  <w:divBdr>
                    <w:top w:val="none" w:sz="0" w:space="0" w:color="auto"/>
                    <w:left w:val="none" w:sz="0" w:space="0" w:color="auto"/>
                    <w:bottom w:val="none" w:sz="0" w:space="0" w:color="auto"/>
                    <w:right w:val="none" w:sz="0" w:space="0" w:color="auto"/>
                  </w:divBdr>
                  <w:divsChild>
                    <w:div w:id="416831141">
                      <w:marLeft w:val="0"/>
                      <w:marRight w:val="0"/>
                      <w:marTop w:val="0"/>
                      <w:marBottom w:val="0"/>
                      <w:divBdr>
                        <w:top w:val="none" w:sz="0" w:space="0" w:color="auto"/>
                        <w:left w:val="none" w:sz="0" w:space="0" w:color="auto"/>
                        <w:bottom w:val="none" w:sz="0" w:space="0" w:color="auto"/>
                        <w:right w:val="none" w:sz="0" w:space="0" w:color="auto"/>
                      </w:divBdr>
                      <w:divsChild>
                        <w:div w:id="2118332707">
                          <w:marLeft w:val="0"/>
                          <w:marRight w:val="0"/>
                          <w:marTop w:val="0"/>
                          <w:marBottom w:val="0"/>
                          <w:divBdr>
                            <w:top w:val="none" w:sz="0" w:space="0" w:color="auto"/>
                            <w:left w:val="none" w:sz="0" w:space="0" w:color="auto"/>
                            <w:bottom w:val="none" w:sz="0" w:space="0" w:color="auto"/>
                            <w:right w:val="none" w:sz="0" w:space="0" w:color="auto"/>
                          </w:divBdr>
                          <w:divsChild>
                            <w:div w:id="876746944">
                              <w:marLeft w:val="0"/>
                              <w:marRight w:val="300"/>
                              <w:marTop w:val="180"/>
                              <w:marBottom w:val="0"/>
                              <w:divBdr>
                                <w:top w:val="none" w:sz="0" w:space="0" w:color="auto"/>
                                <w:left w:val="none" w:sz="0" w:space="0" w:color="auto"/>
                                <w:bottom w:val="none" w:sz="0" w:space="0" w:color="auto"/>
                                <w:right w:val="none" w:sz="0" w:space="0" w:color="auto"/>
                              </w:divBdr>
                              <w:divsChild>
                                <w:div w:id="180473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769794">
          <w:marLeft w:val="0"/>
          <w:marRight w:val="0"/>
          <w:marTop w:val="0"/>
          <w:marBottom w:val="0"/>
          <w:divBdr>
            <w:top w:val="none" w:sz="0" w:space="0" w:color="auto"/>
            <w:left w:val="none" w:sz="0" w:space="0" w:color="auto"/>
            <w:bottom w:val="none" w:sz="0" w:space="0" w:color="auto"/>
            <w:right w:val="none" w:sz="0" w:space="0" w:color="auto"/>
          </w:divBdr>
          <w:divsChild>
            <w:div w:id="2136747967">
              <w:marLeft w:val="0"/>
              <w:marRight w:val="0"/>
              <w:marTop w:val="0"/>
              <w:marBottom w:val="0"/>
              <w:divBdr>
                <w:top w:val="none" w:sz="0" w:space="0" w:color="auto"/>
                <w:left w:val="none" w:sz="0" w:space="0" w:color="auto"/>
                <w:bottom w:val="none" w:sz="0" w:space="0" w:color="auto"/>
                <w:right w:val="none" w:sz="0" w:space="0" w:color="auto"/>
              </w:divBdr>
              <w:divsChild>
                <w:div w:id="614292299">
                  <w:marLeft w:val="0"/>
                  <w:marRight w:val="0"/>
                  <w:marTop w:val="0"/>
                  <w:marBottom w:val="0"/>
                  <w:divBdr>
                    <w:top w:val="none" w:sz="0" w:space="0" w:color="auto"/>
                    <w:left w:val="none" w:sz="0" w:space="0" w:color="auto"/>
                    <w:bottom w:val="none" w:sz="0" w:space="0" w:color="auto"/>
                    <w:right w:val="none" w:sz="0" w:space="0" w:color="auto"/>
                  </w:divBdr>
                  <w:divsChild>
                    <w:div w:id="461726000">
                      <w:marLeft w:val="0"/>
                      <w:marRight w:val="0"/>
                      <w:marTop w:val="0"/>
                      <w:marBottom w:val="0"/>
                      <w:divBdr>
                        <w:top w:val="none" w:sz="0" w:space="0" w:color="auto"/>
                        <w:left w:val="none" w:sz="0" w:space="0" w:color="auto"/>
                        <w:bottom w:val="none" w:sz="0" w:space="0" w:color="auto"/>
                        <w:right w:val="none" w:sz="0" w:space="0" w:color="auto"/>
                      </w:divBdr>
                      <w:divsChild>
                        <w:div w:id="9882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963550">
      <w:bodyDiv w:val="1"/>
      <w:marLeft w:val="0"/>
      <w:marRight w:val="0"/>
      <w:marTop w:val="0"/>
      <w:marBottom w:val="0"/>
      <w:divBdr>
        <w:top w:val="none" w:sz="0" w:space="0" w:color="auto"/>
        <w:left w:val="none" w:sz="0" w:space="0" w:color="auto"/>
        <w:bottom w:val="none" w:sz="0" w:space="0" w:color="auto"/>
        <w:right w:val="none" w:sz="0" w:space="0" w:color="auto"/>
      </w:divBdr>
      <w:divsChild>
        <w:div w:id="1892423283">
          <w:marLeft w:val="1080"/>
          <w:marRight w:val="0"/>
          <w:marTop w:val="100"/>
          <w:marBottom w:val="0"/>
          <w:divBdr>
            <w:top w:val="none" w:sz="0" w:space="0" w:color="auto"/>
            <w:left w:val="none" w:sz="0" w:space="0" w:color="auto"/>
            <w:bottom w:val="none" w:sz="0" w:space="0" w:color="auto"/>
            <w:right w:val="none" w:sz="0" w:space="0" w:color="auto"/>
          </w:divBdr>
        </w:div>
      </w:divsChild>
    </w:div>
    <w:div w:id="1066689403">
      <w:bodyDiv w:val="1"/>
      <w:marLeft w:val="0"/>
      <w:marRight w:val="0"/>
      <w:marTop w:val="0"/>
      <w:marBottom w:val="0"/>
      <w:divBdr>
        <w:top w:val="none" w:sz="0" w:space="0" w:color="auto"/>
        <w:left w:val="none" w:sz="0" w:space="0" w:color="auto"/>
        <w:bottom w:val="none" w:sz="0" w:space="0" w:color="auto"/>
        <w:right w:val="none" w:sz="0" w:space="0" w:color="auto"/>
      </w:divBdr>
    </w:div>
    <w:div w:id="1072510199">
      <w:bodyDiv w:val="1"/>
      <w:marLeft w:val="0"/>
      <w:marRight w:val="0"/>
      <w:marTop w:val="0"/>
      <w:marBottom w:val="0"/>
      <w:divBdr>
        <w:top w:val="none" w:sz="0" w:space="0" w:color="auto"/>
        <w:left w:val="none" w:sz="0" w:space="0" w:color="auto"/>
        <w:bottom w:val="none" w:sz="0" w:space="0" w:color="auto"/>
        <w:right w:val="none" w:sz="0" w:space="0" w:color="auto"/>
      </w:divBdr>
      <w:divsChild>
        <w:div w:id="715662167">
          <w:marLeft w:val="1080"/>
          <w:marRight w:val="0"/>
          <w:marTop w:val="100"/>
          <w:marBottom w:val="0"/>
          <w:divBdr>
            <w:top w:val="none" w:sz="0" w:space="0" w:color="auto"/>
            <w:left w:val="none" w:sz="0" w:space="0" w:color="auto"/>
            <w:bottom w:val="none" w:sz="0" w:space="0" w:color="auto"/>
            <w:right w:val="none" w:sz="0" w:space="0" w:color="auto"/>
          </w:divBdr>
        </w:div>
      </w:divsChild>
    </w:div>
    <w:div w:id="1162693536">
      <w:bodyDiv w:val="1"/>
      <w:marLeft w:val="0"/>
      <w:marRight w:val="0"/>
      <w:marTop w:val="0"/>
      <w:marBottom w:val="0"/>
      <w:divBdr>
        <w:top w:val="none" w:sz="0" w:space="0" w:color="auto"/>
        <w:left w:val="none" w:sz="0" w:space="0" w:color="auto"/>
        <w:bottom w:val="none" w:sz="0" w:space="0" w:color="auto"/>
        <w:right w:val="none" w:sz="0" w:space="0" w:color="auto"/>
      </w:divBdr>
    </w:div>
    <w:div w:id="1861158875">
      <w:bodyDiv w:val="1"/>
      <w:marLeft w:val="0"/>
      <w:marRight w:val="0"/>
      <w:marTop w:val="0"/>
      <w:marBottom w:val="0"/>
      <w:divBdr>
        <w:top w:val="none" w:sz="0" w:space="0" w:color="auto"/>
        <w:left w:val="none" w:sz="0" w:space="0" w:color="auto"/>
        <w:bottom w:val="none" w:sz="0" w:space="0" w:color="auto"/>
        <w:right w:val="none" w:sz="0" w:space="0" w:color="auto"/>
      </w:divBdr>
    </w:div>
    <w:div w:id="2002274280">
      <w:bodyDiv w:val="1"/>
      <w:marLeft w:val="0"/>
      <w:marRight w:val="0"/>
      <w:marTop w:val="0"/>
      <w:marBottom w:val="0"/>
      <w:divBdr>
        <w:top w:val="none" w:sz="0" w:space="0" w:color="auto"/>
        <w:left w:val="none" w:sz="0" w:space="0" w:color="auto"/>
        <w:bottom w:val="none" w:sz="0" w:space="0" w:color="auto"/>
        <w:right w:val="none" w:sz="0" w:space="0" w:color="auto"/>
      </w:divBdr>
    </w:div>
    <w:div w:id="207692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oleObject" Target="file:///G:\Meu%20Drive\01_PPE\01_Cenergia_compartilhada\02_Projetos\Projeto%20NAVIGATE%20T3.3\Shipping\0_Paper\Results%20template\2023-01-12_Resul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G:\Meu%20Drive\01_PPE\01_Cenergia_compartilhada\02_Projetos\Projeto%20NAVIGATE%20T3.3\Shipping\0_Paper\Results%20template\2023-01-12_Result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G:\Meu%20Drive\01_PPE\01_Cenergia_compartilhada\02_Projetos\Projeto%20NAVIGATE%20T3.3\Shipping\0_Paper\Results%20template\2023-01-12_Results.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G:\Meu%20Drive\01_PPE\01_Cenergia_compartilhada\02_Projetos\Projeto%20NAVIGATE%20T3.3\Shipping\0_Paper\Results%20template\2023-01-12_Results.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G:\Meu%20Drive\01_PPE\01_Cenergia_compartilhada\02_Projetos\Projeto%20NAVIGATE%20T3.3\Shipping\0_Paper\Results%20template\2023-01-12_Results.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G:\Meu%20Drive\01_PPE\01_Cenergia_compartilhada\02_Projetos\Projeto%20NAVIGATE%20T3.3\Shipping\0_Paper\Results%20template\2023-01-12_Resul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'BECCS-FIG'!$F$1</c:f>
              <c:strCache>
                <c:ptCount val="1"/>
                <c:pt idx="0">
                  <c:v>Int. shipping</c:v>
                </c:pt>
              </c:strCache>
            </c:strRef>
          </c:tx>
          <c:spPr>
            <a:solidFill>
              <a:schemeClr val="accent5">
                <a:lumMod val="75000"/>
              </a:schemeClr>
            </a:solidFill>
            <a:ln>
              <a:noFill/>
            </a:ln>
            <a:effectLst/>
          </c:spPr>
          <c:invertIfNegative val="0"/>
          <c:cat>
            <c:strRef>
              <c:f>'BECCS-FIG'!$E$2:$E$6</c:f>
              <c:strCache>
                <c:ptCount val="5"/>
                <c:pt idx="0">
                  <c:v>COFFEE</c:v>
                </c:pt>
                <c:pt idx="1">
                  <c:v>IMACLIM-R</c:v>
                </c:pt>
                <c:pt idx="2">
                  <c:v>IMAGE</c:v>
                </c:pt>
                <c:pt idx="3">
                  <c:v>TIAM</c:v>
                </c:pt>
                <c:pt idx="4">
                  <c:v>WITCH</c:v>
                </c:pt>
              </c:strCache>
            </c:strRef>
          </c:cat>
          <c:val>
            <c:numRef>
              <c:f>'BECCS-FIG'!$F$2:$F$6</c:f>
              <c:numCache>
                <c:formatCode>0.00</c:formatCode>
                <c:ptCount val="5"/>
                <c:pt idx="0">
                  <c:v>0.58579409999999998</c:v>
                </c:pt>
                <c:pt idx="1">
                  <c:v>0.72439999999999993</c:v>
                </c:pt>
                <c:pt idx="2">
                  <c:v>0.52407049976000009</c:v>
                </c:pt>
                <c:pt idx="3">
                  <c:v>1.1845202219586586</c:v>
                </c:pt>
                <c:pt idx="4">
                  <c:v>0.91753719172830406</c:v>
                </c:pt>
              </c:numCache>
            </c:numRef>
          </c:val>
          <c:extLst>
            <c:ext xmlns:c16="http://schemas.microsoft.com/office/drawing/2014/chart" uri="{C3380CC4-5D6E-409C-BE32-E72D297353CC}">
              <c16:uniqueId val="{00000000-D3F0-46AA-8B34-CFBFC6052502}"/>
            </c:ext>
          </c:extLst>
        </c:ser>
        <c:ser>
          <c:idx val="1"/>
          <c:order val="1"/>
          <c:tx>
            <c:strRef>
              <c:f>'BECCS-FIG'!$G$1</c:f>
              <c:strCache>
                <c:ptCount val="1"/>
                <c:pt idx="0">
                  <c:v>BECCS</c:v>
                </c:pt>
              </c:strCache>
            </c:strRef>
          </c:tx>
          <c:spPr>
            <a:solidFill>
              <a:schemeClr val="accent5">
                <a:lumMod val="40000"/>
                <a:lumOff val="60000"/>
              </a:schemeClr>
            </a:solidFill>
            <a:ln>
              <a:noFill/>
            </a:ln>
            <a:effectLst/>
          </c:spPr>
          <c:invertIfNegative val="0"/>
          <c:cat>
            <c:strRef>
              <c:f>'BECCS-FIG'!$E$2:$E$6</c:f>
              <c:strCache>
                <c:ptCount val="5"/>
                <c:pt idx="0">
                  <c:v>COFFEE</c:v>
                </c:pt>
                <c:pt idx="1">
                  <c:v>IMACLIM-R</c:v>
                </c:pt>
                <c:pt idx="2">
                  <c:v>IMAGE</c:v>
                </c:pt>
                <c:pt idx="3">
                  <c:v>TIAM</c:v>
                </c:pt>
                <c:pt idx="4">
                  <c:v>WITCH</c:v>
                </c:pt>
              </c:strCache>
            </c:strRef>
          </c:cat>
          <c:val>
            <c:numRef>
              <c:f>'BECCS-FIG'!$G$2:$G$6</c:f>
              <c:numCache>
                <c:formatCode>#,#00</c:formatCode>
                <c:ptCount val="5"/>
                <c:pt idx="0">
                  <c:v>4.04</c:v>
                </c:pt>
                <c:pt idx="1">
                  <c:v>1.7030000000000001</c:v>
                </c:pt>
                <c:pt idx="2">
                  <c:v>9.6122309088660867</c:v>
                </c:pt>
                <c:pt idx="3">
                  <c:v>1.5910113057812212</c:v>
                </c:pt>
                <c:pt idx="4">
                  <c:v>2.2146037732003303</c:v>
                </c:pt>
              </c:numCache>
            </c:numRef>
          </c:val>
          <c:extLst>
            <c:ext xmlns:c16="http://schemas.microsoft.com/office/drawing/2014/chart" uri="{C3380CC4-5D6E-409C-BE32-E72D297353CC}">
              <c16:uniqueId val="{00000001-D3F0-46AA-8B34-CFBFC6052502}"/>
            </c:ext>
          </c:extLst>
        </c:ser>
        <c:dLbls>
          <c:showLegendKey val="0"/>
          <c:showVal val="0"/>
          <c:showCatName val="0"/>
          <c:showSerName val="0"/>
          <c:showPercent val="0"/>
          <c:showBubbleSize val="0"/>
        </c:dLbls>
        <c:gapWidth val="219"/>
        <c:axId val="739526351"/>
        <c:axId val="739529679"/>
      </c:barChart>
      <c:scatterChart>
        <c:scatterStyle val="lineMarker"/>
        <c:varyColors val="0"/>
        <c:ser>
          <c:idx val="2"/>
          <c:order val="2"/>
          <c:tx>
            <c:strRef>
              <c:f>'BECCS-FIG'!$H$1</c:f>
              <c:strCache>
                <c:ptCount val="1"/>
                <c:pt idx="0">
                  <c:v>%</c:v>
                </c:pt>
              </c:strCache>
            </c:strRef>
          </c:tx>
          <c:spPr>
            <a:ln w="25400" cap="rnd">
              <a:noFill/>
              <a:round/>
            </a:ln>
            <a:effectLst/>
          </c:spPr>
          <c:marker>
            <c:symbol val="triangle"/>
            <c:size val="8"/>
            <c:spPr>
              <a:solidFill>
                <a:srgbClr val="C00000"/>
              </a:solidFill>
              <a:ln w="9525">
                <a:noFill/>
              </a:ln>
              <a:effectLst/>
            </c:spPr>
          </c:marker>
          <c:dLbls>
            <c:dLbl>
              <c:idx val="1"/>
              <c:layout>
                <c:manualLayout>
                  <c:x val="-6.7564418224811684E-2"/>
                  <c:y val="-5.53007436570428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3F0-46AA-8B34-CFBFC6052502}"/>
                </c:ext>
              </c:extLst>
            </c:dLbl>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Kigelia" panose="020B0503040502020203" pitchFamily="34" charset="0"/>
                    <a:ea typeface="Kigelia" panose="020B0503040502020203" pitchFamily="34" charset="0"/>
                    <a:cs typeface="Kigelia" panose="020B0503040502020203" pitchFamily="34" charset="0"/>
                  </a:defRPr>
                </a:pPr>
                <a:endParaRPr lang="pt-B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'BECCS-FIG'!$E$2:$E$6</c:f>
              <c:strCache>
                <c:ptCount val="5"/>
                <c:pt idx="0">
                  <c:v>COFFEE</c:v>
                </c:pt>
                <c:pt idx="1">
                  <c:v>IMACLIM-R</c:v>
                </c:pt>
                <c:pt idx="2">
                  <c:v>IMAGE</c:v>
                </c:pt>
                <c:pt idx="3">
                  <c:v>TIAM</c:v>
                </c:pt>
                <c:pt idx="4">
                  <c:v>WITCH</c:v>
                </c:pt>
              </c:strCache>
            </c:strRef>
          </c:xVal>
          <c:yVal>
            <c:numRef>
              <c:f>'BECCS-FIG'!$H$2:$H$6</c:f>
              <c:numCache>
                <c:formatCode>0%</c:formatCode>
                <c:ptCount val="5"/>
                <c:pt idx="0">
                  <c:v>0.14499853960396039</c:v>
                </c:pt>
                <c:pt idx="1">
                  <c:v>0.42536699941280087</c:v>
                </c:pt>
                <c:pt idx="2">
                  <c:v>5.4521214141517373E-2</c:v>
                </c:pt>
                <c:pt idx="3">
                  <c:v>0.74450773395166625</c:v>
                </c:pt>
                <c:pt idx="4">
                  <c:v>0.41431212338375473</c:v>
                </c:pt>
              </c:numCache>
            </c:numRef>
          </c:yVal>
          <c:smooth val="0"/>
          <c:extLst>
            <c:ext xmlns:c16="http://schemas.microsoft.com/office/drawing/2014/chart" uri="{C3380CC4-5D6E-409C-BE32-E72D297353CC}">
              <c16:uniqueId val="{00000003-D3F0-46AA-8B34-CFBFC6052502}"/>
            </c:ext>
          </c:extLst>
        </c:ser>
        <c:dLbls>
          <c:showLegendKey val="0"/>
          <c:showVal val="0"/>
          <c:showCatName val="0"/>
          <c:showSerName val="0"/>
          <c:showPercent val="0"/>
          <c:showBubbleSize val="0"/>
        </c:dLbls>
        <c:axId val="1078578831"/>
        <c:axId val="1078577583"/>
      </c:scatterChart>
      <c:catAx>
        <c:axId val="7395263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Kigelia" panose="020B0503040502020203" pitchFamily="34" charset="0"/>
                <a:ea typeface="Kigelia" panose="020B0503040502020203" pitchFamily="34" charset="0"/>
                <a:cs typeface="Kigelia" panose="020B0503040502020203" pitchFamily="34" charset="0"/>
              </a:defRPr>
            </a:pPr>
            <a:endParaRPr lang="pt-BR"/>
          </a:p>
        </c:txPr>
        <c:crossAx val="739529679"/>
        <c:crosses val="autoZero"/>
        <c:auto val="1"/>
        <c:lblAlgn val="ctr"/>
        <c:lblOffset val="100"/>
        <c:noMultiLvlLbl val="0"/>
      </c:catAx>
      <c:valAx>
        <c:axId val="739529679"/>
        <c:scaling>
          <c:orientation val="minMax"/>
          <c:max val="2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Kigelia" panose="020B0503040502020203" pitchFamily="34" charset="0"/>
                    <a:ea typeface="Kigelia" panose="020B0503040502020203" pitchFamily="34" charset="0"/>
                    <a:cs typeface="Kigelia" panose="020B0503040502020203" pitchFamily="34" charset="0"/>
                  </a:defRPr>
                </a:pPr>
                <a:r>
                  <a:rPr lang="pt-BR"/>
                  <a:t>GtCO</a:t>
                </a:r>
                <a:r>
                  <a:rPr lang="pt-BR" baseline="-25000"/>
                  <a:t>2</a:t>
                </a:r>
                <a:r>
                  <a:rPr lang="pt-BR"/>
                  <a:t>/yr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Kigelia" panose="020B0503040502020203" pitchFamily="34" charset="0"/>
                  <a:ea typeface="Kigelia" panose="020B0503040502020203" pitchFamily="34" charset="0"/>
                  <a:cs typeface="Kigelia" panose="020B0503040502020203" pitchFamily="34" charset="0"/>
                </a:defRPr>
              </a:pPr>
              <a:endParaRPr lang="pt-BR"/>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Kigelia" panose="020B0503040502020203" pitchFamily="34" charset="0"/>
                <a:ea typeface="Kigelia" panose="020B0503040502020203" pitchFamily="34" charset="0"/>
                <a:cs typeface="Kigelia" panose="020B0503040502020203" pitchFamily="34" charset="0"/>
              </a:defRPr>
            </a:pPr>
            <a:endParaRPr lang="pt-BR"/>
          </a:p>
        </c:txPr>
        <c:crossAx val="739526351"/>
        <c:crosses val="autoZero"/>
        <c:crossBetween val="between"/>
        <c:majorUnit val="4"/>
      </c:valAx>
      <c:valAx>
        <c:axId val="1078577583"/>
        <c:scaling>
          <c:orientation val="minMax"/>
          <c:max val="1"/>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Kigelia" panose="020B0503040502020203" pitchFamily="34" charset="0"/>
                <a:ea typeface="Kigelia" panose="020B0503040502020203" pitchFamily="34" charset="0"/>
                <a:cs typeface="Kigelia" panose="020B0503040502020203" pitchFamily="34" charset="0"/>
              </a:defRPr>
            </a:pPr>
            <a:endParaRPr lang="pt-BR"/>
          </a:p>
        </c:txPr>
        <c:crossAx val="1078578831"/>
        <c:crosses val="max"/>
        <c:crossBetween val="midCat"/>
        <c:majorUnit val="0.25"/>
      </c:valAx>
      <c:valAx>
        <c:axId val="1078578831"/>
        <c:scaling>
          <c:orientation val="minMax"/>
        </c:scaling>
        <c:delete val="1"/>
        <c:axPos val="t"/>
        <c:majorTickMark val="out"/>
        <c:minorTickMark val="none"/>
        <c:tickLblPos val="nextTo"/>
        <c:crossAx val="1078577583"/>
        <c:crosses val="max"/>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Kigelia" panose="020B0503040502020203" pitchFamily="34" charset="0"/>
          <a:ea typeface="Kigelia" panose="020B0503040502020203" pitchFamily="34" charset="0"/>
          <a:cs typeface="Kigelia" panose="020B0503040502020203" pitchFamily="34" charset="0"/>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'BECCS-FIG'!$F$1</c:f>
              <c:strCache>
                <c:ptCount val="1"/>
                <c:pt idx="0">
                  <c:v>Int. shipping</c:v>
                </c:pt>
              </c:strCache>
            </c:strRef>
          </c:tx>
          <c:spPr>
            <a:solidFill>
              <a:schemeClr val="accent5">
                <a:lumMod val="75000"/>
              </a:schemeClr>
            </a:solidFill>
            <a:ln>
              <a:noFill/>
            </a:ln>
            <a:effectLst/>
          </c:spPr>
          <c:invertIfNegative val="0"/>
          <c:cat>
            <c:strRef>
              <c:f>'BECCS-FIG'!$E$17:$E$21</c:f>
              <c:strCache>
                <c:ptCount val="5"/>
                <c:pt idx="0">
                  <c:v>COFFEE</c:v>
                </c:pt>
                <c:pt idx="1">
                  <c:v>IMACLIM-R</c:v>
                </c:pt>
                <c:pt idx="2">
                  <c:v>IMAGE</c:v>
                </c:pt>
                <c:pt idx="3">
                  <c:v>TIAM</c:v>
                </c:pt>
                <c:pt idx="4">
                  <c:v>WITCH</c:v>
                </c:pt>
              </c:strCache>
            </c:strRef>
          </c:cat>
          <c:val>
            <c:numRef>
              <c:f>'BECCS-FIG'!$F$17:$F$21</c:f>
              <c:numCache>
                <c:formatCode>0.00</c:formatCode>
                <c:ptCount val="5"/>
                <c:pt idx="0">
                  <c:v>0.44220700000000002</c:v>
                </c:pt>
                <c:pt idx="1">
                  <c:v>0.87809999999999999</c:v>
                </c:pt>
                <c:pt idx="2">
                  <c:v>0.62143421320000003</c:v>
                </c:pt>
                <c:pt idx="3">
                  <c:v>0.33272167810997727</c:v>
                </c:pt>
                <c:pt idx="4">
                  <c:v>0.94952018787287895</c:v>
                </c:pt>
              </c:numCache>
            </c:numRef>
          </c:val>
          <c:extLst>
            <c:ext xmlns:c16="http://schemas.microsoft.com/office/drawing/2014/chart" uri="{C3380CC4-5D6E-409C-BE32-E72D297353CC}">
              <c16:uniqueId val="{00000000-DA72-4C5E-B21E-B2CBE4889A02}"/>
            </c:ext>
          </c:extLst>
        </c:ser>
        <c:ser>
          <c:idx val="1"/>
          <c:order val="1"/>
          <c:tx>
            <c:strRef>
              <c:f>'BECCS-FIG'!$G$1</c:f>
              <c:strCache>
                <c:ptCount val="1"/>
                <c:pt idx="0">
                  <c:v>BECCS</c:v>
                </c:pt>
              </c:strCache>
            </c:strRef>
          </c:tx>
          <c:spPr>
            <a:solidFill>
              <a:schemeClr val="accent5">
                <a:lumMod val="40000"/>
                <a:lumOff val="60000"/>
              </a:schemeClr>
            </a:solidFill>
            <a:ln>
              <a:noFill/>
            </a:ln>
            <a:effectLst/>
          </c:spPr>
          <c:invertIfNegative val="0"/>
          <c:cat>
            <c:strRef>
              <c:f>'BECCS-FIG'!$E$17:$E$21</c:f>
              <c:strCache>
                <c:ptCount val="5"/>
                <c:pt idx="0">
                  <c:v>COFFEE</c:v>
                </c:pt>
                <c:pt idx="1">
                  <c:v>IMACLIM-R</c:v>
                </c:pt>
                <c:pt idx="2">
                  <c:v>IMAGE</c:v>
                </c:pt>
                <c:pt idx="3">
                  <c:v>TIAM</c:v>
                </c:pt>
                <c:pt idx="4">
                  <c:v>WITCH</c:v>
                </c:pt>
              </c:strCache>
            </c:strRef>
          </c:cat>
          <c:val>
            <c:numRef>
              <c:f>'BECCS-FIG'!$G$17:$G$21</c:f>
              <c:numCache>
                <c:formatCode>#,#00</c:formatCode>
                <c:ptCount val="5"/>
                <c:pt idx="0">
                  <c:v>9.07</c:v>
                </c:pt>
                <c:pt idx="1">
                  <c:v>4.1399999999999997</c:v>
                </c:pt>
                <c:pt idx="2">
                  <c:v>14.477039882258149</c:v>
                </c:pt>
                <c:pt idx="3">
                  <c:v>4.5163401805628336</c:v>
                </c:pt>
                <c:pt idx="4">
                  <c:v>7.6612717784191604</c:v>
                </c:pt>
              </c:numCache>
            </c:numRef>
          </c:val>
          <c:extLst>
            <c:ext xmlns:c16="http://schemas.microsoft.com/office/drawing/2014/chart" uri="{C3380CC4-5D6E-409C-BE32-E72D297353CC}">
              <c16:uniqueId val="{00000001-DA72-4C5E-B21E-B2CBE4889A02}"/>
            </c:ext>
          </c:extLst>
        </c:ser>
        <c:dLbls>
          <c:showLegendKey val="0"/>
          <c:showVal val="0"/>
          <c:showCatName val="0"/>
          <c:showSerName val="0"/>
          <c:showPercent val="0"/>
          <c:showBubbleSize val="0"/>
        </c:dLbls>
        <c:gapWidth val="219"/>
        <c:axId val="739526351"/>
        <c:axId val="739529679"/>
      </c:barChart>
      <c:scatterChart>
        <c:scatterStyle val="lineMarker"/>
        <c:varyColors val="0"/>
        <c:ser>
          <c:idx val="2"/>
          <c:order val="2"/>
          <c:tx>
            <c:strRef>
              <c:f>'BECCS-FIG'!$H$1</c:f>
              <c:strCache>
                <c:ptCount val="1"/>
                <c:pt idx="0">
                  <c:v>%</c:v>
                </c:pt>
              </c:strCache>
            </c:strRef>
          </c:tx>
          <c:spPr>
            <a:ln w="25400" cap="rnd">
              <a:noFill/>
              <a:round/>
            </a:ln>
            <a:effectLst/>
          </c:spPr>
          <c:marker>
            <c:symbol val="triangle"/>
            <c:size val="8"/>
            <c:spPr>
              <a:solidFill>
                <a:srgbClr val="C00000"/>
              </a:solidFill>
              <a:ln w="9525">
                <a:noFill/>
              </a:ln>
              <a:effectLst/>
            </c:spPr>
          </c:marker>
          <c:dLbls>
            <c:dLbl>
              <c:idx val="1"/>
              <c:layout>
                <c:manualLayout>
                  <c:x val="-6.7564418224811684E-2"/>
                  <c:y val="-5.53007436570428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A72-4C5E-B21E-B2CBE4889A02}"/>
                </c:ext>
              </c:extLst>
            </c:dLbl>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Kigelia" panose="020B0503040502020203" pitchFamily="34" charset="0"/>
                    <a:ea typeface="Kigelia" panose="020B0503040502020203" pitchFamily="34" charset="0"/>
                    <a:cs typeface="Kigelia" panose="020B0503040502020203" pitchFamily="34" charset="0"/>
                  </a:defRPr>
                </a:pPr>
                <a:endParaRPr lang="pt-B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'BECCS-FIG'!$E$17:$E$21</c:f>
              <c:strCache>
                <c:ptCount val="5"/>
                <c:pt idx="0">
                  <c:v>COFFEE</c:v>
                </c:pt>
                <c:pt idx="1">
                  <c:v>IMACLIM-R</c:v>
                </c:pt>
                <c:pt idx="2">
                  <c:v>IMAGE</c:v>
                </c:pt>
                <c:pt idx="3">
                  <c:v>TIAM</c:v>
                </c:pt>
                <c:pt idx="4">
                  <c:v>WITCH</c:v>
                </c:pt>
              </c:strCache>
            </c:strRef>
          </c:xVal>
          <c:yVal>
            <c:numRef>
              <c:f>'BECCS-FIG'!$H$17:$H$21</c:f>
              <c:numCache>
                <c:formatCode>0%</c:formatCode>
                <c:ptCount val="5"/>
                <c:pt idx="0">
                  <c:v>4.8754906284454246E-2</c:v>
                </c:pt>
                <c:pt idx="1">
                  <c:v>0.21210144927536234</c:v>
                </c:pt>
                <c:pt idx="2">
                  <c:v>4.2925502606480898E-2</c:v>
                </c:pt>
                <c:pt idx="3">
                  <c:v>7.3670641450333127E-2</c:v>
                </c:pt>
                <c:pt idx="4">
                  <c:v>0.12393767188204417</c:v>
                </c:pt>
              </c:numCache>
            </c:numRef>
          </c:yVal>
          <c:smooth val="0"/>
          <c:extLst>
            <c:ext xmlns:c16="http://schemas.microsoft.com/office/drawing/2014/chart" uri="{C3380CC4-5D6E-409C-BE32-E72D297353CC}">
              <c16:uniqueId val="{00000003-DA72-4C5E-B21E-B2CBE4889A02}"/>
            </c:ext>
          </c:extLst>
        </c:ser>
        <c:dLbls>
          <c:showLegendKey val="0"/>
          <c:showVal val="0"/>
          <c:showCatName val="0"/>
          <c:showSerName val="0"/>
          <c:showPercent val="0"/>
          <c:showBubbleSize val="0"/>
        </c:dLbls>
        <c:axId val="1078578831"/>
        <c:axId val="1078577583"/>
      </c:scatterChart>
      <c:catAx>
        <c:axId val="7395263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Kigelia" panose="020B0503040502020203" pitchFamily="34" charset="0"/>
                <a:ea typeface="Kigelia" panose="020B0503040502020203" pitchFamily="34" charset="0"/>
                <a:cs typeface="Kigelia" panose="020B0503040502020203" pitchFamily="34" charset="0"/>
              </a:defRPr>
            </a:pPr>
            <a:endParaRPr lang="pt-BR"/>
          </a:p>
        </c:txPr>
        <c:crossAx val="739529679"/>
        <c:crosses val="autoZero"/>
        <c:auto val="1"/>
        <c:lblAlgn val="ctr"/>
        <c:lblOffset val="100"/>
        <c:noMultiLvlLbl val="0"/>
      </c:catAx>
      <c:valAx>
        <c:axId val="739529679"/>
        <c:scaling>
          <c:orientation val="minMax"/>
          <c:max val="2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Kigelia" panose="020B0503040502020203" pitchFamily="34" charset="0"/>
                    <a:ea typeface="Kigelia" panose="020B0503040502020203" pitchFamily="34" charset="0"/>
                    <a:cs typeface="Kigelia" panose="020B0503040502020203" pitchFamily="34" charset="0"/>
                  </a:defRPr>
                </a:pPr>
                <a:r>
                  <a:rPr lang="pt-BR"/>
                  <a:t>GtCO</a:t>
                </a:r>
                <a:r>
                  <a:rPr lang="pt-BR" baseline="-25000"/>
                  <a:t>2</a:t>
                </a:r>
                <a:r>
                  <a:rPr lang="pt-BR"/>
                  <a:t>/yr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Kigelia" panose="020B0503040502020203" pitchFamily="34" charset="0"/>
                  <a:ea typeface="Kigelia" panose="020B0503040502020203" pitchFamily="34" charset="0"/>
                  <a:cs typeface="Kigelia" panose="020B0503040502020203" pitchFamily="34" charset="0"/>
                </a:defRPr>
              </a:pPr>
              <a:endParaRPr lang="pt-BR"/>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Kigelia" panose="020B0503040502020203" pitchFamily="34" charset="0"/>
                <a:ea typeface="Kigelia" panose="020B0503040502020203" pitchFamily="34" charset="0"/>
                <a:cs typeface="Kigelia" panose="020B0503040502020203" pitchFamily="34" charset="0"/>
              </a:defRPr>
            </a:pPr>
            <a:endParaRPr lang="pt-BR"/>
          </a:p>
        </c:txPr>
        <c:crossAx val="739526351"/>
        <c:crosses val="autoZero"/>
        <c:crossBetween val="between"/>
        <c:majorUnit val="4"/>
      </c:valAx>
      <c:valAx>
        <c:axId val="1078577583"/>
        <c:scaling>
          <c:orientation val="minMax"/>
          <c:max val="1"/>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Kigelia" panose="020B0503040502020203" pitchFamily="34" charset="0"/>
                <a:ea typeface="Kigelia" panose="020B0503040502020203" pitchFamily="34" charset="0"/>
                <a:cs typeface="Kigelia" panose="020B0503040502020203" pitchFamily="34" charset="0"/>
              </a:defRPr>
            </a:pPr>
            <a:endParaRPr lang="pt-BR"/>
          </a:p>
        </c:txPr>
        <c:crossAx val="1078578831"/>
        <c:crosses val="max"/>
        <c:crossBetween val="midCat"/>
        <c:majorUnit val="0.25"/>
      </c:valAx>
      <c:valAx>
        <c:axId val="1078578831"/>
        <c:scaling>
          <c:orientation val="minMax"/>
        </c:scaling>
        <c:delete val="1"/>
        <c:axPos val="t"/>
        <c:majorTickMark val="out"/>
        <c:minorTickMark val="none"/>
        <c:tickLblPos val="nextTo"/>
        <c:crossAx val="1078577583"/>
        <c:crosses val="max"/>
        <c:crossBetween val="midCat"/>
      </c:valAx>
      <c:spPr>
        <a:noFill/>
        <a:ln>
          <a:noFill/>
        </a:ln>
        <a:effectLst/>
      </c:spPr>
    </c:plotArea>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sz="1000">
          <a:latin typeface="Kigelia" panose="020B0503040502020203" pitchFamily="34" charset="0"/>
          <a:ea typeface="Kigelia" panose="020B0503040502020203" pitchFamily="34" charset="0"/>
          <a:cs typeface="Kigelia" panose="020B0503040502020203" pitchFamily="34" charset="0"/>
        </a:defRPr>
      </a:pPr>
      <a:endParaRPr lang="pt-BR"/>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'BECCS-FIG'!$F$1</c:f>
              <c:strCache>
                <c:ptCount val="1"/>
                <c:pt idx="0">
                  <c:v>Int. shipping</c:v>
                </c:pt>
              </c:strCache>
            </c:strRef>
          </c:tx>
          <c:spPr>
            <a:solidFill>
              <a:schemeClr val="accent5">
                <a:lumMod val="75000"/>
              </a:schemeClr>
            </a:solidFill>
            <a:ln>
              <a:noFill/>
            </a:ln>
            <a:effectLst/>
          </c:spPr>
          <c:invertIfNegative val="0"/>
          <c:cat>
            <c:strRef>
              <c:f>'BECCS-FIG'!$E$32:$E$36</c:f>
              <c:strCache>
                <c:ptCount val="5"/>
                <c:pt idx="0">
                  <c:v>COFFEE</c:v>
                </c:pt>
                <c:pt idx="1">
                  <c:v>IMACLIM-R</c:v>
                </c:pt>
                <c:pt idx="2">
                  <c:v>IMAGE</c:v>
                </c:pt>
                <c:pt idx="3">
                  <c:v>TIAM</c:v>
                </c:pt>
                <c:pt idx="4">
                  <c:v>WITCH</c:v>
                </c:pt>
              </c:strCache>
            </c:strRef>
          </c:cat>
          <c:val>
            <c:numRef>
              <c:f>'BECCS-FIG'!$F$32:$F$36</c:f>
              <c:numCache>
                <c:formatCode>0.00</c:formatCode>
                <c:ptCount val="5"/>
                <c:pt idx="0">
                  <c:v>0.50704950000000004</c:v>
                </c:pt>
                <c:pt idx="1">
                  <c:v>0.92079999999999995</c:v>
                </c:pt>
                <c:pt idx="2">
                  <c:v>0.83126707119999999</c:v>
                </c:pt>
                <c:pt idx="3">
                  <c:v>0.18852825955955105</c:v>
                </c:pt>
                <c:pt idx="4">
                  <c:v>1.1236986983762098</c:v>
                </c:pt>
              </c:numCache>
            </c:numRef>
          </c:val>
          <c:extLst>
            <c:ext xmlns:c16="http://schemas.microsoft.com/office/drawing/2014/chart" uri="{C3380CC4-5D6E-409C-BE32-E72D297353CC}">
              <c16:uniqueId val="{00000000-44C8-4B3B-87C8-BA8E7E2FDDFD}"/>
            </c:ext>
          </c:extLst>
        </c:ser>
        <c:ser>
          <c:idx val="1"/>
          <c:order val="1"/>
          <c:tx>
            <c:strRef>
              <c:f>'BECCS-FIG'!$G$1</c:f>
              <c:strCache>
                <c:ptCount val="1"/>
                <c:pt idx="0">
                  <c:v>BECCS</c:v>
                </c:pt>
              </c:strCache>
            </c:strRef>
          </c:tx>
          <c:spPr>
            <a:solidFill>
              <a:schemeClr val="accent5">
                <a:lumMod val="40000"/>
                <a:lumOff val="60000"/>
              </a:schemeClr>
            </a:solidFill>
            <a:ln>
              <a:noFill/>
            </a:ln>
            <a:effectLst/>
          </c:spPr>
          <c:invertIfNegative val="0"/>
          <c:cat>
            <c:strRef>
              <c:f>'BECCS-FIG'!$E$32:$E$36</c:f>
              <c:strCache>
                <c:ptCount val="5"/>
                <c:pt idx="0">
                  <c:v>COFFEE</c:v>
                </c:pt>
                <c:pt idx="1">
                  <c:v>IMACLIM-R</c:v>
                </c:pt>
                <c:pt idx="2">
                  <c:v>IMAGE</c:v>
                </c:pt>
                <c:pt idx="3">
                  <c:v>TIAM</c:v>
                </c:pt>
                <c:pt idx="4">
                  <c:v>WITCH</c:v>
                </c:pt>
              </c:strCache>
            </c:strRef>
          </c:cat>
          <c:val>
            <c:numRef>
              <c:f>'BECCS-FIG'!$G$32:$G$36</c:f>
              <c:numCache>
                <c:formatCode>#,#00</c:formatCode>
                <c:ptCount val="5"/>
                <c:pt idx="0">
                  <c:v>9.8000000000000007</c:v>
                </c:pt>
                <c:pt idx="1">
                  <c:v>7.194</c:v>
                </c:pt>
                <c:pt idx="2">
                  <c:v>18.449359154711406</c:v>
                </c:pt>
                <c:pt idx="3">
                  <c:v>3.5780341419170849</c:v>
                </c:pt>
                <c:pt idx="4">
                  <c:v>11.9806357967111</c:v>
                </c:pt>
              </c:numCache>
            </c:numRef>
          </c:val>
          <c:extLst>
            <c:ext xmlns:c16="http://schemas.microsoft.com/office/drawing/2014/chart" uri="{C3380CC4-5D6E-409C-BE32-E72D297353CC}">
              <c16:uniqueId val="{00000001-44C8-4B3B-87C8-BA8E7E2FDDFD}"/>
            </c:ext>
          </c:extLst>
        </c:ser>
        <c:dLbls>
          <c:showLegendKey val="0"/>
          <c:showVal val="0"/>
          <c:showCatName val="0"/>
          <c:showSerName val="0"/>
          <c:showPercent val="0"/>
          <c:showBubbleSize val="0"/>
        </c:dLbls>
        <c:gapWidth val="219"/>
        <c:axId val="739526351"/>
        <c:axId val="739529679"/>
      </c:barChart>
      <c:scatterChart>
        <c:scatterStyle val="lineMarker"/>
        <c:varyColors val="0"/>
        <c:ser>
          <c:idx val="2"/>
          <c:order val="2"/>
          <c:tx>
            <c:strRef>
              <c:f>'BECCS-FIG'!$H$1</c:f>
              <c:strCache>
                <c:ptCount val="1"/>
                <c:pt idx="0">
                  <c:v>%</c:v>
                </c:pt>
              </c:strCache>
            </c:strRef>
          </c:tx>
          <c:spPr>
            <a:ln w="25400" cap="rnd">
              <a:noFill/>
              <a:round/>
            </a:ln>
            <a:effectLst/>
          </c:spPr>
          <c:marker>
            <c:symbol val="triangle"/>
            <c:size val="8"/>
            <c:spPr>
              <a:solidFill>
                <a:srgbClr val="C00000"/>
              </a:solidFill>
              <a:ln w="9525">
                <a:noFill/>
              </a:ln>
              <a:effectLst/>
            </c:spPr>
          </c:marker>
          <c:dLbls>
            <c:dLbl>
              <c:idx val="1"/>
              <c:layout>
                <c:manualLayout>
                  <c:x val="-6.7564418224811684E-2"/>
                  <c:y val="-5.53007436570428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4C8-4B3B-87C8-BA8E7E2FDDFD}"/>
                </c:ext>
              </c:extLst>
            </c:dLbl>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Kigelia" panose="020B0503040502020203" pitchFamily="34" charset="0"/>
                    <a:ea typeface="Kigelia" panose="020B0503040502020203" pitchFamily="34" charset="0"/>
                    <a:cs typeface="Kigelia" panose="020B0503040502020203" pitchFamily="34" charset="0"/>
                  </a:defRPr>
                </a:pPr>
                <a:endParaRPr lang="pt-B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'BECCS-FIG'!$E$32:$E$36</c:f>
              <c:strCache>
                <c:ptCount val="5"/>
                <c:pt idx="0">
                  <c:v>COFFEE</c:v>
                </c:pt>
                <c:pt idx="1">
                  <c:v>IMACLIM-R</c:v>
                </c:pt>
                <c:pt idx="2">
                  <c:v>IMAGE</c:v>
                </c:pt>
                <c:pt idx="3">
                  <c:v>TIAM</c:v>
                </c:pt>
                <c:pt idx="4">
                  <c:v>WITCH</c:v>
                </c:pt>
              </c:strCache>
            </c:strRef>
          </c:xVal>
          <c:yVal>
            <c:numRef>
              <c:f>'BECCS-FIG'!$H$32:$H$36</c:f>
              <c:numCache>
                <c:formatCode>0%</c:formatCode>
                <c:ptCount val="5"/>
                <c:pt idx="0">
                  <c:v>5.1739744897959183E-2</c:v>
                </c:pt>
                <c:pt idx="1">
                  <c:v>0.12799555184876285</c:v>
                </c:pt>
                <c:pt idx="2">
                  <c:v>4.5056690816695368E-2</c:v>
                </c:pt>
                <c:pt idx="3">
                  <c:v>5.2690458526071793E-2</c:v>
                </c:pt>
                <c:pt idx="4">
                  <c:v>9.3792910279827169E-2</c:v>
                </c:pt>
              </c:numCache>
            </c:numRef>
          </c:yVal>
          <c:smooth val="0"/>
          <c:extLst>
            <c:ext xmlns:c16="http://schemas.microsoft.com/office/drawing/2014/chart" uri="{C3380CC4-5D6E-409C-BE32-E72D297353CC}">
              <c16:uniqueId val="{00000003-44C8-4B3B-87C8-BA8E7E2FDDFD}"/>
            </c:ext>
          </c:extLst>
        </c:ser>
        <c:dLbls>
          <c:showLegendKey val="0"/>
          <c:showVal val="0"/>
          <c:showCatName val="0"/>
          <c:showSerName val="0"/>
          <c:showPercent val="0"/>
          <c:showBubbleSize val="0"/>
        </c:dLbls>
        <c:axId val="1078578831"/>
        <c:axId val="1078577583"/>
      </c:scatterChart>
      <c:catAx>
        <c:axId val="7395263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Kigelia" panose="020B0503040502020203" pitchFamily="34" charset="0"/>
                <a:ea typeface="Kigelia" panose="020B0503040502020203" pitchFamily="34" charset="0"/>
                <a:cs typeface="Kigelia" panose="020B0503040502020203" pitchFamily="34" charset="0"/>
              </a:defRPr>
            </a:pPr>
            <a:endParaRPr lang="pt-BR"/>
          </a:p>
        </c:txPr>
        <c:crossAx val="739529679"/>
        <c:crosses val="autoZero"/>
        <c:auto val="1"/>
        <c:lblAlgn val="ctr"/>
        <c:lblOffset val="100"/>
        <c:noMultiLvlLbl val="0"/>
      </c:catAx>
      <c:valAx>
        <c:axId val="739529679"/>
        <c:scaling>
          <c:orientation val="minMax"/>
          <c:max val="2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Kigelia" panose="020B0503040502020203" pitchFamily="34" charset="0"/>
                    <a:ea typeface="Kigelia" panose="020B0503040502020203" pitchFamily="34" charset="0"/>
                    <a:cs typeface="Kigelia" panose="020B0503040502020203" pitchFamily="34" charset="0"/>
                  </a:defRPr>
                </a:pPr>
                <a:r>
                  <a:rPr lang="pt-BR"/>
                  <a:t>GtCO</a:t>
                </a:r>
                <a:r>
                  <a:rPr lang="pt-BR" baseline="-25000"/>
                  <a:t>2</a:t>
                </a:r>
                <a:r>
                  <a:rPr lang="pt-BR"/>
                  <a:t>/yr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Kigelia" panose="020B0503040502020203" pitchFamily="34" charset="0"/>
                  <a:ea typeface="Kigelia" panose="020B0503040502020203" pitchFamily="34" charset="0"/>
                  <a:cs typeface="Kigelia" panose="020B0503040502020203" pitchFamily="34" charset="0"/>
                </a:defRPr>
              </a:pPr>
              <a:endParaRPr lang="pt-BR"/>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Kigelia" panose="020B0503040502020203" pitchFamily="34" charset="0"/>
                <a:ea typeface="Kigelia" panose="020B0503040502020203" pitchFamily="34" charset="0"/>
                <a:cs typeface="Kigelia" panose="020B0503040502020203" pitchFamily="34" charset="0"/>
              </a:defRPr>
            </a:pPr>
            <a:endParaRPr lang="pt-BR"/>
          </a:p>
        </c:txPr>
        <c:crossAx val="739526351"/>
        <c:crosses val="autoZero"/>
        <c:crossBetween val="between"/>
        <c:majorUnit val="4"/>
      </c:valAx>
      <c:valAx>
        <c:axId val="1078577583"/>
        <c:scaling>
          <c:orientation val="minMax"/>
          <c:max val="1"/>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Kigelia" panose="020B0503040502020203" pitchFamily="34" charset="0"/>
                <a:ea typeface="Kigelia" panose="020B0503040502020203" pitchFamily="34" charset="0"/>
                <a:cs typeface="Kigelia" panose="020B0503040502020203" pitchFamily="34" charset="0"/>
              </a:defRPr>
            </a:pPr>
            <a:endParaRPr lang="pt-BR"/>
          </a:p>
        </c:txPr>
        <c:crossAx val="1078578831"/>
        <c:crosses val="max"/>
        <c:crossBetween val="midCat"/>
        <c:majorUnit val="0.25"/>
      </c:valAx>
      <c:valAx>
        <c:axId val="1078578831"/>
        <c:scaling>
          <c:orientation val="minMax"/>
        </c:scaling>
        <c:delete val="1"/>
        <c:axPos val="t"/>
        <c:majorTickMark val="out"/>
        <c:minorTickMark val="none"/>
        <c:tickLblPos val="nextTo"/>
        <c:crossAx val="1078577583"/>
        <c:crosses val="max"/>
        <c:crossBetween val="midCat"/>
      </c:valAx>
      <c:spPr>
        <a:noFill/>
        <a:ln>
          <a:noFill/>
        </a:ln>
        <a:effectLst/>
      </c:spPr>
    </c:plotArea>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sz="1000">
          <a:latin typeface="Kigelia" panose="020B0503040502020203" pitchFamily="34" charset="0"/>
          <a:ea typeface="Kigelia" panose="020B0503040502020203" pitchFamily="34" charset="0"/>
          <a:cs typeface="Kigelia" panose="020B0503040502020203" pitchFamily="34" charset="0"/>
        </a:defRPr>
      </a:pPr>
      <a:endParaRPr lang="pt-BR"/>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'BECCS-FIG'!$F$1</c:f>
              <c:strCache>
                <c:ptCount val="1"/>
                <c:pt idx="0">
                  <c:v>Int. shipping</c:v>
                </c:pt>
              </c:strCache>
            </c:strRef>
          </c:tx>
          <c:spPr>
            <a:solidFill>
              <a:schemeClr val="accent5">
                <a:lumMod val="75000"/>
              </a:schemeClr>
            </a:solidFill>
            <a:ln>
              <a:noFill/>
            </a:ln>
            <a:effectLst/>
          </c:spPr>
          <c:invertIfNegative val="0"/>
          <c:cat>
            <c:strRef>
              <c:f>'BECCS-FIG'!$E$9:$E$13</c:f>
              <c:strCache>
                <c:ptCount val="5"/>
                <c:pt idx="0">
                  <c:v>COFFEE</c:v>
                </c:pt>
                <c:pt idx="1">
                  <c:v>IMACLIM-R</c:v>
                </c:pt>
                <c:pt idx="2">
                  <c:v>IMAGE</c:v>
                </c:pt>
                <c:pt idx="3">
                  <c:v>TIAM</c:v>
                </c:pt>
                <c:pt idx="4">
                  <c:v>WITCH</c:v>
                </c:pt>
              </c:strCache>
            </c:strRef>
          </c:cat>
          <c:val>
            <c:numRef>
              <c:f>'BECCS-FIG'!$F$9:$F$13</c:f>
              <c:numCache>
                <c:formatCode>0.00</c:formatCode>
                <c:ptCount val="5"/>
                <c:pt idx="0">
                  <c:v>0.45217750000000001</c:v>
                </c:pt>
                <c:pt idx="1">
                  <c:v>0.84850000000000003</c:v>
                </c:pt>
                <c:pt idx="2">
                  <c:v>0.45568485463999997</c:v>
                </c:pt>
                <c:pt idx="3">
                  <c:v>0.44937290823442255</c:v>
                </c:pt>
                <c:pt idx="4">
                  <c:v>0.90722439225933393</c:v>
                </c:pt>
              </c:numCache>
            </c:numRef>
          </c:val>
          <c:extLst>
            <c:ext xmlns:c16="http://schemas.microsoft.com/office/drawing/2014/chart" uri="{C3380CC4-5D6E-409C-BE32-E72D297353CC}">
              <c16:uniqueId val="{00000000-C8E9-4A39-A9E8-50FA4ECBAD60}"/>
            </c:ext>
          </c:extLst>
        </c:ser>
        <c:ser>
          <c:idx val="1"/>
          <c:order val="1"/>
          <c:tx>
            <c:strRef>
              <c:f>'BECCS-FIG'!$G$1</c:f>
              <c:strCache>
                <c:ptCount val="1"/>
                <c:pt idx="0">
                  <c:v>BECCS</c:v>
                </c:pt>
              </c:strCache>
            </c:strRef>
          </c:tx>
          <c:spPr>
            <a:solidFill>
              <a:schemeClr val="accent5">
                <a:lumMod val="40000"/>
                <a:lumOff val="60000"/>
              </a:schemeClr>
            </a:solidFill>
            <a:ln>
              <a:noFill/>
            </a:ln>
            <a:effectLst/>
          </c:spPr>
          <c:invertIfNegative val="0"/>
          <c:cat>
            <c:strRef>
              <c:f>'BECCS-FIG'!$E$9:$E$13</c:f>
              <c:strCache>
                <c:ptCount val="5"/>
                <c:pt idx="0">
                  <c:v>COFFEE</c:v>
                </c:pt>
                <c:pt idx="1">
                  <c:v>IMACLIM-R</c:v>
                </c:pt>
                <c:pt idx="2">
                  <c:v>IMAGE</c:v>
                </c:pt>
                <c:pt idx="3">
                  <c:v>TIAM</c:v>
                </c:pt>
                <c:pt idx="4">
                  <c:v>WITCH</c:v>
                </c:pt>
              </c:strCache>
            </c:strRef>
          </c:cat>
          <c:val>
            <c:numRef>
              <c:f>'BECCS-FIG'!$G$9:$G$13</c:f>
              <c:numCache>
                <c:formatCode>#,#00</c:formatCode>
                <c:ptCount val="5"/>
                <c:pt idx="0">
                  <c:v>5.63</c:v>
                </c:pt>
                <c:pt idx="1">
                  <c:v>1.8620000000000001</c:v>
                </c:pt>
                <c:pt idx="2">
                  <c:v>8.986475012325398</c:v>
                </c:pt>
                <c:pt idx="3">
                  <c:v>5.5727257363920133</c:v>
                </c:pt>
                <c:pt idx="4">
                  <c:v>3.59560405431673</c:v>
                </c:pt>
              </c:numCache>
            </c:numRef>
          </c:val>
          <c:extLst>
            <c:ext xmlns:c16="http://schemas.microsoft.com/office/drawing/2014/chart" uri="{C3380CC4-5D6E-409C-BE32-E72D297353CC}">
              <c16:uniqueId val="{00000001-C8E9-4A39-A9E8-50FA4ECBAD60}"/>
            </c:ext>
          </c:extLst>
        </c:ser>
        <c:dLbls>
          <c:showLegendKey val="0"/>
          <c:showVal val="0"/>
          <c:showCatName val="0"/>
          <c:showSerName val="0"/>
          <c:showPercent val="0"/>
          <c:showBubbleSize val="0"/>
        </c:dLbls>
        <c:gapWidth val="219"/>
        <c:axId val="739526351"/>
        <c:axId val="739529679"/>
      </c:barChart>
      <c:scatterChart>
        <c:scatterStyle val="lineMarker"/>
        <c:varyColors val="0"/>
        <c:ser>
          <c:idx val="2"/>
          <c:order val="2"/>
          <c:tx>
            <c:strRef>
              <c:f>'BECCS-FIG'!$H$1</c:f>
              <c:strCache>
                <c:ptCount val="1"/>
                <c:pt idx="0">
                  <c:v>%</c:v>
                </c:pt>
              </c:strCache>
            </c:strRef>
          </c:tx>
          <c:spPr>
            <a:ln w="25400" cap="rnd">
              <a:noFill/>
              <a:round/>
            </a:ln>
            <a:effectLst/>
          </c:spPr>
          <c:marker>
            <c:symbol val="triangle"/>
            <c:size val="8"/>
            <c:spPr>
              <a:solidFill>
                <a:srgbClr val="C00000"/>
              </a:solidFill>
              <a:ln w="9525">
                <a:noFill/>
              </a:ln>
              <a:effectLst/>
            </c:spPr>
          </c:marker>
          <c:dLbls>
            <c:dLbl>
              <c:idx val="1"/>
              <c:layout>
                <c:manualLayout>
                  <c:x val="-6.7564418224811684E-2"/>
                  <c:y val="-5.53007436570428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8E9-4A39-A9E8-50FA4ECBAD60}"/>
                </c:ext>
              </c:extLst>
            </c:dLbl>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Kigelia" panose="020B0503040502020203" pitchFamily="34" charset="0"/>
                    <a:ea typeface="Kigelia" panose="020B0503040502020203" pitchFamily="34" charset="0"/>
                    <a:cs typeface="Kigelia" panose="020B0503040502020203" pitchFamily="34" charset="0"/>
                  </a:defRPr>
                </a:pPr>
                <a:endParaRPr lang="pt-B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'BECCS-FIG'!$E$9:$E$13</c:f>
              <c:strCache>
                <c:ptCount val="5"/>
                <c:pt idx="0">
                  <c:v>COFFEE</c:v>
                </c:pt>
                <c:pt idx="1">
                  <c:v>IMACLIM-R</c:v>
                </c:pt>
                <c:pt idx="2">
                  <c:v>IMAGE</c:v>
                </c:pt>
                <c:pt idx="3">
                  <c:v>TIAM</c:v>
                </c:pt>
                <c:pt idx="4">
                  <c:v>WITCH</c:v>
                </c:pt>
              </c:strCache>
            </c:strRef>
          </c:xVal>
          <c:yVal>
            <c:numRef>
              <c:f>'BECCS-FIG'!$H$9:$H$13</c:f>
              <c:numCache>
                <c:formatCode>0%</c:formatCode>
                <c:ptCount val="5"/>
                <c:pt idx="0">
                  <c:v>8.0315719360568388E-2</c:v>
                </c:pt>
                <c:pt idx="1">
                  <c:v>0.45569280343716434</c:v>
                </c:pt>
                <c:pt idx="2">
                  <c:v>5.0707853080880487E-2</c:v>
                </c:pt>
                <c:pt idx="3">
                  <c:v>8.0637901359445513E-2</c:v>
                </c:pt>
                <c:pt idx="4">
                  <c:v>0.25231487631964333</c:v>
                </c:pt>
              </c:numCache>
            </c:numRef>
          </c:yVal>
          <c:smooth val="0"/>
          <c:extLst>
            <c:ext xmlns:c16="http://schemas.microsoft.com/office/drawing/2014/chart" uri="{C3380CC4-5D6E-409C-BE32-E72D297353CC}">
              <c16:uniqueId val="{00000003-C8E9-4A39-A9E8-50FA4ECBAD60}"/>
            </c:ext>
          </c:extLst>
        </c:ser>
        <c:dLbls>
          <c:showLegendKey val="0"/>
          <c:showVal val="0"/>
          <c:showCatName val="0"/>
          <c:showSerName val="0"/>
          <c:showPercent val="0"/>
          <c:showBubbleSize val="0"/>
        </c:dLbls>
        <c:axId val="1078578831"/>
        <c:axId val="1078577583"/>
      </c:scatterChart>
      <c:catAx>
        <c:axId val="7395263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Kigelia" panose="020B0503040502020203" pitchFamily="34" charset="0"/>
                <a:ea typeface="Kigelia" panose="020B0503040502020203" pitchFamily="34" charset="0"/>
                <a:cs typeface="Kigelia" panose="020B0503040502020203" pitchFamily="34" charset="0"/>
              </a:defRPr>
            </a:pPr>
            <a:endParaRPr lang="pt-BR"/>
          </a:p>
        </c:txPr>
        <c:crossAx val="739529679"/>
        <c:crosses val="autoZero"/>
        <c:auto val="1"/>
        <c:lblAlgn val="ctr"/>
        <c:lblOffset val="100"/>
        <c:noMultiLvlLbl val="0"/>
      </c:catAx>
      <c:valAx>
        <c:axId val="739529679"/>
        <c:scaling>
          <c:orientation val="minMax"/>
          <c:max val="2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Kigelia" panose="020B0503040502020203" pitchFamily="34" charset="0"/>
                    <a:ea typeface="Kigelia" panose="020B0503040502020203" pitchFamily="34" charset="0"/>
                    <a:cs typeface="Kigelia" panose="020B0503040502020203" pitchFamily="34" charset="0"/>
                  </a:defRPr>
                </a:pPr>
                <a:r>
                  <a:rPr lang="pt-BR"/>
                  <a:t>GtCO</a:t>
                </a:r>
                <a:r>
                  <a:rPr lang="pt-BR" baseline="-25000"/>
                  <a:t>2</a:t>
                </a:r>
                <a:r>
                  <a:rPr lang="pt-BR"/>
                  <a:t>/yr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Kigelia" panose="020B0503040502020203" pitchFamily="34" charset="0"/>
                  <a:ea typeface="Kigelia" panose="020B0503040502020203" pitchFamily="34" charset="0"/>
                  <a:cs typeface="Kigelia" panose="020B0503040502020203" pitchFamily="34" charset="0"/>
                </a:defRPr>
              </a:pPr>
              <a:endParaRPr lang="pt-BR"/>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Kigelia" panose="020B0503040502020203" pitchFamily="34" charset="0"/>
                <a:ea typeface="Kigelia" panose="020B0503040502020203" pitchFamily="34" charset="0"/>
                <a:cs typeface="Kigelia" panose="020B0503040502020203" pitchFamily="34" charset="0"/>
              </a:defRPr>
            </a:pPr>
            <a:endParaRPr lang="pt-BR"/>
          </a:p>
        </c:txPr>
        <c:crossAx val="739526351"/>
        <c:crosses val="autoZero"/>
        <c:crossBetween val="between"/>
        <c:majorUnit val="4"/>
      </c:valAx>
      <c:valAx>
        <c:axId val="1078577583"/>
        <c:scaling>
          <c:orientation val="minMax"/>
          <c:max val="1"/>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Kigelia" panose="020B0503040502020203" pitchFamily="34" charset="0"/>
                <a:ea typeface="Kigelia" panose="020B0503040502020203" pitchFamily="34" charset="0"/>
                <a:cs typeface="Kigelia" panose="020B0503040502020203" pitchFamily="34" charset="0"/>
              </a:defRPr>
            </a:pPr>
            <a:endParaRPr lang="pt-BR"/>
          </a:p>
        </c:txPr>
        <c:crossAx val="1078578831"/>
        <c:crosses val="max"/>
        <c:crossBetween val="midCat"/>
        <c:majorUnit val="0.25"/>
      </c:valAx>
      <c:valAx>
        <c:axId val="1078578831"/>
        <c:scaling>
          <c:orientation val="minMax"/>
        </c:scaling>
        <c:delete val="1"/>
        <c:axPos val="t"/>
        <c:majorTickMark val="out"/>
        <c:minorTickMark val="none"/>
        <c:tickLblPos val="nextTo"/>
        <c:crossAx val="1078577583"/>
        <c:crosses val="max"/>
        <c:crossBetween val="midCat"/>
      </c:valAx>
      <c:spPr>
        <a:noFill/>
        <a:ln>
          <a:noFill/>
        </a:ln>
        <a:effectLst/>
      </c:spPr>
    </c:plotArea>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sz="1000">
          <a:latin typeface="Kigelia" panose="020B0503040502020203" pitchFamily="34" charset="0"/>
          <a:ea typeface="Kigelia" panose="020B0503040502020203" pitchFamily="34" charset="0"/>
          <a:cs typeface="Kigelia" panose="020B0503040502020203" pitchFamily="34" charset="0"/>
        </a:defRPr>
      </a:pPr>
      <a:endParaRPr lang="pt-BR"/>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'BECCS-FIG'!$F$1</c:f>
              <c:strCache>
                <c:ptCount val="1"/>
                <c:pt idx="0">
                  <c:v>Int. shipping</c:v>
                </c:pt>
              </c:strCache>
            </c:strRef>
          </c:tx>
          <c:spPr>
            <a:solidFill>
              <a:schemeClr val="accent5">
                <a:lumMod val="75000"/>
              </a:schemeClr>
            </a:solidFill>
            <a:ln>
              <a:noFill/>
            </a:ln>
            <a:effectLst/>
          </c:spPr>
          <c:invertIfNegative val="0"/>
          <c:cat>
            <c:strRef>
              <c:f>'BECCS-FIG'!$E$24:$E$28</c:f>
              <c:strCache>
                <c:ptCount val="5"/>
                <c:pt idx="0">
                  <c:v>COFFEE</c:v>
                </c:pt>
                <c:pt idx="1">
                  <c:v>IMACLIM-R</c:v>
                </c:pt>
                <c:pt idx="2">
                  <c:v>IMAGE</c:v>
                </c:pt>
                <c:pt idx="3">
                  <c:v>TIAM</c:v>
                </c:pt>
                <c:pt idx="4">
                  <c:v>WITCH</c:v>
                </c:pt>
              </c:strCache>
            </c:strRef>
          </c:cat>
          <c:val>
            <c:numRef>
              <c:f>'BECCS-FIG'!$F$24:$F$28</c:f>
              <c:numCache>
                <c:formatCode>0.00</c:formatCode>
                <c:ptCount val="5"/>
                <c:pt idx="0">
                  <c:v>0.40627969999999997</c:v>
                </c:pt>
                <c:pt idx="1">
                  <c:v>0.84850000000000003</c:v>
                </c:pt>
                <c:pt idx="2">
                  <c:v>0.45568485463999997</c:v>
                </c:pt>
                <c:pt idx="3">
                  <c:v>0.44937290823442255</c:v>
                </c:pt>
                <c:pt idx="4">
                  <c:v>0.90722439225933393</c:v>
                </c:pt>
              </c:numCache>
            </c:numRef>
          </c:val>
          <c:extLst>
            <c:ext xmlns:c16="http://schemas.microsoft.com/office/drawing/2014/chart" uri="{C3380CC4-5D6E-409C-BE32-E72D297353CC}">
              <c16:uniqueId val="{00000000-3A93-43F2-B301-7401BE8A434E}"/>
            </c:ext>
          </c:extLst>
        </c:ser>
        <c:ser>
          <c:idx val="1"/>
          <c:order val="1"/>
          <c:tx>
            <c:strRef>
              <c:f>'BECCS-FIG'!$G$1</c:f>
              <c:strCache>
                <c:ptCount val="1"/>
                <c:pt idx="0">
                  <c:v>BECCS</c:v>
                </c:pt>
              </c:strCache>
            </c:strRef>
          </c:tx>
          <c:spPr>
            <a:solidFill>
              <a:schemeClr val="accent5">
                <a:lumMod val="40000"/>
                <a:lumOff val="60000"/>
              </a:schemeClr>
            </a:solidFill>
            <a:ln>
              <a:noFill/>
            </a:ln>
            <a:effectLst/>
          </c:spPr>
          <c:invertIfNegative val="0"/>
          <c:cat>
            <c:strRef>
              <c:f>'BECCS-FIG'!$E$24:$E$28</c:f>
              <c:strCache>
                <c:ptCount val="5"/>
                <c:pt idx="0">
                  <c:v>COFFEE</c:v>
                </c:pt>
                <c:pt idx="1">
                  <c:v>IMACLIM-R</c:v>
                </c:pt>
                <c:pt idx="2">
                  <c:v>IMAGE</c:v>
                </c:pt>
                <c:pt idx="3">
                  <c:v>TIAM</c:v>
                </c:pt>
                <c:pt idx="4">
                  <c:v>WITCH</c:v>
                </c:pt>
              </c:strCache>
            </c:strRef>
          </c:cat>
          <c:val>
            <c:numRef>
              <c:f>'BECCS-FIG'!$G$24:$G$28</c:f>
              <c:numCache>
                <c:formatCode>#,#00</c:formatCode>
                <c:ptCount val="5"/>
                <c:pt idx="0">
                  <c:v>8.68</c:v>
                </c:pt>
                <c:pt idx="1">
                  <c:v>5.694</c:v>
                </c:pt>
                <c:pt idx="2">
                  <c:v>12.305446606741192</c:v>
                </c:pt>
                <c:pt idx="3">
                  <c:v>4.4067175108761756</c:v>
                </c:pt>
                <c:pt idx="4">
                  <c:v>8.6550149560941616</c:v>
                </c:pt>
              </c:numCache>
            </c:numRef>
          </c:val>
          <c:extLst>
            <c:ext xmlns:c16="http://schemas.microsoft.com/office/drawing/2014/chart" uri="{C3380CC4-5D6E-409C-BE32-E72D297353CC}">
              <c16:uniqueId val="{00000001-3A93-43F2-B301-7401BE8A434E}"/>
            </c:ext>
          </c:extLst>
        </c:ser>
        <c:dLbls>
          <c:showLegendKey val="0"/>
          <c:showVal val="0"/>
          <c:showCatName val="0"/>
          <c:showSerName val="0"/>
          <c:showPercent val="0"/>
          <c:showBubbleSize val="0"/>
        </c:dLbls>
        <c:gapWidth val="219"/>
        <c:axId val="739526351"/>
        <c:axId val="739529679"/>
      </c:barChart>
      <c:scatterChart>
        <c:scatterStyle val="lineMarker"/>
        <c:varyColors val="0"/>
        <c:ser>
          <c:idx val="2"/>
          <c:order val="2"/>
          <c:tx>
            <c:strRef>
              <c:f>'BECCS-FIG'!$H$1</c:f>
              <c:strCache>
                <c:ptCount val="1"/>
                <c:pt idx="0">
                  <c:v>%</c:v>
                </c:pt>
              </c:strCache>
            </c:strRef>
          </c:tx>
          <c:spPr>
            <a:ln w="25400" cap="rnd">
              <a:noFill/>
              <a:round/>
            </a:ln>
            <a:effectLst/>
          </c:spPr>
          <c:marker>
            <c:symbol val="triangle"/>
            <c:size val="8"/>
            <c:spPr>
              <a:solidFill>
                <a:srgbClr val="C00000"/>
              </a:solidFill>
              <a:ln w="9525">
                <a:noFill/>
              </a:ln>
              <a:effectLst/>
            </c:spPr>
          </c:marker>
          <c:dLbls>
            <c:dLbl>
              <c:idx val="1"/>
              <c:layout>
                <c:manualLayout>
                  <c:x val="-6.7564418224811684E-2"/>
                  <c:y val="-5.53007436570428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A93-43F2-B301-7401BE8A434E}"/>
                </c:ext>
              </c:extLst>
            </c:dLbl>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Kigelia" panose="020B0503040502020203" pitchFamily="34" charset="0"/>
                    <a:ea typeface="Kigelia" panose="020B0503040502020203" pitchFamily="34" charset="0"/>
                    <a:cs typeface="Kigelia" panose="020B0503040502020203" pitchFamily="34" charset="0"/>
                  </a:defRPr>
                </a:pPr>
                <a:endParaRPr lang="pt-B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'BECCS-FIG'!$E$24:$E$28</c:f>
              <c:strCache>
                <c:ptCount val="5"/>
                <c:pt idx="0">
                  <c:v>COFFEE</c:v>
                </c:pt>
                <c:pt idx="1">
                  <c:v>IMACLIM-R</c:v>
                </c:pt>
                <c:pt idx="2">
                  <c:v>IMAGE</c:v>
                </c:pt>
                <c:pt idx="3">
                  <c:v>TIAM</c:v>
                </c:pt>
                <c:pt idx="4">
                  <c:v>WITCH</c:v>
                </c:pt>
              </c:strCache>
            </c:strRef>
          </c:xVal>
          <c:yVal>
            <c:numRef>
              <c:f>'BECCS-FIG'!$H$24:$H$28</c:f>
              <c:numCache>
                <c:formatCode>0%</c:formatCode>
                <c:ptCount val="5"/>
                <c:pt idx="0">
                  <c:v>4.6806417050691239E-2</c:v>
                </c:pt>
                <c:pt idx="1">
                  <c:v>0.14901650860554971</c:v>
                </c:pt>
                <c:pt idx="2">
                  <c:v>3.7031151261943299E-2</c:v>
                </c:pt>
                <c:pt idx="3">
                  <c:v>0.10197452119981137</c:v>
                </c:pt>
                <c:pt idx="4">
                  <c:v>0.10482066141555768</c:v>
                </c:pt>
              </c:numCache>
            </c:numRef>
          </c:yVal>
          <c:smooth val="0"/>
          <c:extLst>
            <c:ext xmlns:c16="http://schemas.microsoft.com/office/drawing/2014/chart" uri="{C3380CC4-5D6E-409C-BE32-E72D297353CC}">
              <c16:uniqueId val="{00000003-3A93-43F2-B301-7401BE8A434E}"/>
            </c:ext>
          </c:extLst>
        </c:ser>
        <c:dLbls>
          <c:showLegendKey val="0"/>
          <c:showVal val="0"/>
          <c:showCatName val="0"/>
          <c:showSerName val="0"/>
          <c:showPercent val="0"/>
          <c:showBubbleSize val="0"/>
        </c:dLbls>
        <c:axId val="1078578831"/>
        <c:axId val="1078577583"/>
      </c:scatterChart>
      <c:catAx>
        <c:axId val="7395263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Kigelia" panose="020B0503040502020203" pitchFamily="34" charset="0"/>
                <a:ea typeface="Kigelia" panose="020B0503040502020203" pitchFamily="34" charset="0"/>
                <a:cs typeface="Kigelia" panose="020B0503040502020203" pitchFamily="34" charset="0"/>
              </a:defRPr>
            </a:pPr>
            <a:endParaRPr lang="pt-BR"/>
          </a:p>
        </c:txPr>
        <c:crossAx val="739529679"/>
        <c:crosses val="autoZero"/>
        <c:auto val="1"/>
        <c:lblAlgn val="ctr"/>
        <c:lblOffset val="100"/>
        <c:noMultiLvlLbl val="0"/>
      </c:catAx>
      <c:valAx>
        <c:axId val="739529679"/>
        <c:scaling>
          <c:orientation val="minMax"/>
          <c:max val="2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Kigelia" panose="020B0503040502020203" pitchFamily="34" charset="0"/>
                    <a:ea typeface="Kigelia" panose="020B0503040502020203" pitchFamily="34" charset="0"/>
                    <a:cs typeface="Kigelia" panose="020B0503040502020203" pitchFamily="34" charset="0"/>
                  </a:defRPr>
                </a:pPr>
                <a:r>
                  <a:rPr lang="pt-BR"/>
                  <a:t>GtCO</a:t>
                </a:r>
                <a:r>
                  <a:rPr lang="pt-BR" baseline="-25000"/>
                  <a:t>2</a:t>
                </a:r>
                <a:r>
                  <a:rPr lang="pt-BR"/>
                  <a:t>/yr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Kigelia" panose="020B0503040502020203" pitchFamily="34" charset="0"/>
                  <a:ea typeface="Kigelia" panose="020B0503040502020203" pitchFamily="34" charset="0"/>
                  <a:cs typeface="Kigelia" panose="020B0503040502020203" pitchFamily="34" charset="0"/>
                </a:defRPr>
              </a:pPr>
              <a:endParaRPr lang="pt-BR"/>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Kigelia" panose="020B0503040502020203" pitchFamily="34" charset="0"/>
                <a:ea typeface="Kigelia" panose="020B0503040502020203" pitchFamily="34" charset="0"/>
                <a:cs typeface="Kigelia" panose="020B0503040502020203" pitchFamily="34" charset="0"/>
              </a:defRPr>
            </a:pPr>
            <a:endParaRPr lang="pt-BR"/>
          </a:p>
        </c:txPr>
        <c:crossAx val="739526351"/>
        <c:crosses val="autoZero"/>
        <c:crossBetween val="between"/>
        <c:majorUnit val="4"/>
      </c:valAx>
      <c:valAx>
        <c:axId val="1078577583"/>
        <c:scaling>
          <c:orientation val="minMax"/>
          <c:max val="1"/>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Kigelia" panose="020B0503040502020203" pitchFamily="34" charset="0"/>
                <a:ea typeface="Kigelia" panose="020B0503040502020203" pitchFamily="34" charset="0"/>
                <a:cs typeface="Kigelia" panose="020B0503040502020203" pitchFamily="34" charset="0"/>
              </a:defRPr>
            </a:pPr>
            <a:endParaRPr lang="pt-BR"/>
          </a:p>
        </c:txPr>
        <c:crossAx val="1078578831"/>
        <c:crosses val="max"/>
        <c:crossBetween val="midCat"/>
        <c:majorUnit val="0.25"/>
      </c:valAx>
      <c:valAx>
        <c:axId val="1078578831"/>
        <c:scaling>
          <c:orientation val="minMax"/>
        </c:scaling>
        <c:delete val="1"/>
        <c:axPos val="t"/>
        <c:majorTickMark val="out"/>
        <c:minorTickMark val="none"/>
        <c:tickLblPos val="nextTo"/>
        <c:crossAx val="1078577583"/>
        <c:crosses val="max"/>
        <c:crossBetween val="midCat"/>
      </c:valAx>
      <c:spPr>
        <a:noFill/>
        <a:ln>
          <a:noFill/>
        </a:ln>
        <a:effectLst/>
      </c:spPr>
    </c:plotArea>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sz="1000">
          <a:latin typeface="Kigelia" panose="020B0503040502020203" pitchFamily="34" charset="0"/>
          <a:ea typeface="Kigelia" panose="020B0503040502020203" pitchFamily="34" charset="0"/>
          <a:cs typeface="Kigelia" panose="020B0503040502020203" pitchFamily="34" charset="0"/>
        </a:defRPr>
      </a:pPr>
      <a:endParaRPr lang="pt-BR"/>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'BECCS-FIG'!$F$1</c:f>
              <c:strCache>
                <c:ptCount val="1"/>
                <c:pt idx="0">
                  <c:v>Int. shipping</c:v>
                </c:pt>
              </c:strCache>
            </c:strRef>
          </c:tx>
          <c:spPr>
            <a:solidFill>
              <a:schemeClr val="accent5">
                <a:lumMod val="75000"/>
              </a:schemeClr>
            </a:solidFill>
            <a:ln>
              <a:noFill/>
            </a:ln>
            <a:effectLst/>
          </c:spPr>
          <c:invertIfNegative val="0"/>
          <c:cat>
            <c:strRef>
              <c:f>'BECCS-FIG'!$E$39:$E$43</c:f>
              <c:strCache>
                <c:ptCount val="5"/>
                <c:pt idx="0">
                  <c:v>COFFEE</c:v>
                </c:pt>
                <c:pt idx="1">
                  <c:v>IMACLIM-R</c:v>
                </c:pt>
                <c:pt idx="2">
                  <c:v>IMAGE</c:v>
                </c:pt>
                <c:pt idx="3">
                  <c:v>TIAM</c:v>
                </c:pt>
                <c:pt idx="4">
                  <c:v>WITCH</c:v>
                </c:pt>
              </c:strCache>
            </c:strRef>
          </c:cat>
          <c:val>
            <c:numRef>
              <c:f>'BECCS-FIG'!$F$39:$F$43</c:f>
              <c:numCache>
                <c:formatCode>0.00</c:formatCode>
                <c:ptCount val="5"/>
                <c:pt idx="0">
                  <c:v>0.54365770000000002</c:v>
                </c:pt>
                <c:pt idx="1">
                  <c:v>0.98599999999999999</c:v>
                </c:pt>
                <c:pt idx="2">
                  <c:v>0.88266053759999996</c:v>
                </c:pt>
                <c:pt idx="3">
                  <c:v>0.20153915294103544</c:v>
                </c:pt>
                <c:pt idx="4">
                  <c:v>1.1216357523755101</c:v>
                </c:pt>
              </c:numCache>
            </c:numRef>
          </c:val>
          <c:extLst>
            <c:ext xmlns:c16="http://schemas.microsoft.com/office/drawing/2014/chart" uri="{C3380CC4-5D6E-409C-BE32-E72D297353CC}">
              <c16:uniqueId val="{00000000-8183-47C9-81CC-039E239D20B5}"/>
            </c:ext>
          </c:extLst>
        </c:ser>
        <c:ser>
          <c:idx val="1"/>
          <c:order val="1"/>
          <c:tx>
            <c:strRef>
              <c:f>'BECCS-FIG'!$G$1</c:f>
              <c:strCache>
                <c:ptCount val="1"/>
                <c:pt idx="0">
                  <c:v>BECCS</c:v>
                </c:pt>
              </c:strCache>
            </c:strRef>
          </c:tx>
          <c:spPr>
            <a:solidFill>
              <a:schemeClr val="accent5">
                <a:lumMod val="40000"/>
                <a:lumOff val="60000"/>
              </a:schemeClr>
            </a:solidFill>
            <a:ln>
              <a:noFill/>
            </a:ln>
            <a:effectLst/>
          </c:spPr>
          <c:invertIfNegative val="0"/>
          <c:cat>
            <c:strRef>
              <c:f>'BECCS-FIG'!$E$39:$E$43</c:f>
              <c:strCache>
                <c:ptCount val="5"/>
                <c:pt idx="0">
                  <c:v>COFFEE</c:v>
                </c:pt>
                <c:pt idx="1">
                  <c:v>IMACLIM-R</c:v>
                </c:pt>
                <c:pt idx="2">
                  <c:v>IMAGE</c:v>
                </c:pt>
                <c:pt idx="3">
                  <c:v>TIAM</c:v>
                </c:pt>
                <c:pt idx="4">
                  <c:v>WITCH</c:v>
                </c:pt>
              </c:strCache>
            </c:strRef>
          </c:cat>
          <c:val>
            <c:numRef>
              <c:f>'BECCS-FIG'!$G$39:$G$43</c:f>
              <c:numCache>
                <c:formatCode>#,#00</c:formatCode>
                <c:ptCount val="5"/>
                <c:pt idx="0">
                  <c:v>10.3</c:v>
                </c:pt>
                <c:pt idx="1">
                  <c:v>9.2710000000000008</c:v>
                </c:pt>
                <c:pt idx="2">
                  <c:v>15.104592231580339</c:v>
                </c:pt>
                <c:pt idx="3">
                  <c:v>3.6268033256282095</c:v>
                </c:pt>
                <c:pt idx="4">
                  <c:v>11.601724808560402</c:v>
                </c:pt>
              </c:numCache>
            </c:numRef>
          </c:val>
          <c:extLst>
            <c:ext xmlns:c16="http://schemas.microsoft.com/office/drawing/2014/chart" uri="{C3380CC4-5D6E-409C-BE32-E72D297353CC}">
              <c16:uniqueId val="{00000001-8183-47C9-81CC-039E239D20B5}"/>
            </c:ext>
          </c:extLst>
        </c:ser>
        <c:dLbls>
          <c:showLegendKey val="0"/>
          <c:showVal val="0"/>
          <c:showCatName val="0"/>
          <c:showSerName val="0"/>
          <c:showPercent val="0"/>
          <c:showBubbleSize val="0"/>
        </c:dLbls>
        <c:gapWidth val="219"/>
        <c:axId val="739526351"/>
        <c:axId val="739529679"/>
      </c:barChart>
      <c:scatterChart>
        <c:scatterStyle val="lineMarker"/>
        <c:varyColors val="0"/>
        <c:ser>
          <c:idx val="2"/>
          <c:order val="2"/>
          <c:tx>
            <c:strRef>
              <c:f>'BECCS-FIG'!$H$1</c:f>
              <c:strCache>
                <c:ptCount val="1"/>
                <c:pt idx="0">
                  <c:v>%</c:v>
                </c:pt>
              </c:strCache>
            </c:strRef>
          </c:tx>
          <c:spPr>
            <a:ln w="25400" cap="rnd">
              <a:noFill/>
              <a:round/>
            </a:ln>
            <a:effectLst/>
          </c:spPr>
          <c:marker>
            <c:symbol val="triangle"/>
            <c:size val="8"/>
            <c:spPr>
              <a:solidFill>
                <a:srgbClr val="C00000"/>
              </a:solidFill>
              <a:ln w="9525">
                <a:noFill/>
              </a:ln>
              <a:effectLst/>
            </c:spPr>
          </c:marker>
          <c:dLbls>
            <c:dLbl>
              <c:idx val="1"/>
              <c:layout>
                <c:manualLayout>
                  <c:x val="-6.7564418224811684E-2"/>
                  <c:y val="-5.53007436570428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183-47C9-81CC-039E239D20B5}"/>
                </c:ext>
              </c:extLst>
            </c:dLbl>
            <c:numFmt formatCode="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Kigelia" panose="020B0503040502020203" pitchFamily="34" charset="0"/>
                    <a:ea typeface="Kigelia" panose="020B0503040502020203" pitchFamily="34" charset="0"/>
                    <a:cs typeface="Kigelia" panose="020B0503040502020203" pitchFamily="34" charset="0"/>
                  </a:defRPr>
                </a:pPr>
                <a:endParaRPr lang="pt-B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'BECCS-FIG'!$E$39:$E$43</c:f>
              <c:strCache>
                <c:ptCount val="5"/>
                <c:pt idx="0">
                  <c:v>COFFEE</c:v>
                </c:pt>
                <c:pt idx="1">
                  <c:v>IMACLIM-R</c:v>
                </c:pt>
                <c:pt idx="2">
                  <c:v>IMAGE</c:v>
                </c:pt>
                <c:pt idx="3">
                  <c:v>TIAM</c:v>
                </c:pt>
                <c:pt idx="4">
                  <c:v>WITCH</c:v>
                </c:pt>
              </c:strCache>
            </c:strRef>
          </c:xVal>
          <c:yVal>
            <c:numRef>
              <c:f>'BECCS-FIG'!$H$39:$H$43</c:f>
              <c:numCache>
                <c:formatCode>0%</c:formatCode>
                <c:ptCount val="5"/>
                <c:pt idx="0">
                  <c:v>5.2782300970873781E-2</c:v>
                </c:pt>
                <c:pt idx="1">
                  <c:v>0.10635314421313773</c:v>
                </c:pt>
                <c:pt idx="2">
                  <c:v>5.8436568433443262E-2</c:v>
                </c:pt>
                <c:pt idx="3">
                  <c:v>5.5569363664385148E-2</c:v>
                </c:pt>
                <c:pt idx="4">
                  <c:v>9.66783621300778E-2</c:v>
                </c:pt>
              </c:numCache>
            </c:numRef>
          </c:yVal>
          <c:smooth val="0"/>
          <c:extLst>
            <c:ext xmlns:c16="http://schemas.microsoft.com/office/drawing/2014/chart" uri="{C3380CC4-5D6E-409C-BE32-E72D297353CC}">
              <c16:uniqueId val="{00000003-8183-47C9-81CC-039E239D20B5}"/>
            </c:ext>
          </c:extLst>
        </c:ser>
        <c:dLbls>
          <c:showLegendKey val="0"/>
          <c:showVal val="0"/>
          <c:showCatName val="0"/>
          <c:showSerName val="0"/>
          <c:showPercent val="0"/>
          <c:showBubbleSize val="0"/>
        </c:dLbls>
        <c:axId val="1078578831"/>
        <c:axId val="1078577583"/>
      </c:scatterChart>
      <c:catAx>
        <c:axId val="7395263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Kigelia" panose="020B0503040502020203" pitchFamily="34" charset="0"/>
                <a:ea typeface="Kigelia" panose="020B0503040502020203" pitchFamily="34" charset="0"/>
                <a:cs typeface="Kigelia" panose="020B0503040502020203" pitchFamily="34" charset="0"/>
              </a:defRPr>
            </a:pPr>
            <a:endParaRPr lang="pt-BR"/>
          </a:p>
        </c:txPr>
        <c:crossAx val="739529679"/>
        <c:crosses val="autoZero"/>
        <c:auto val="1"/>
        <c:lblAlgn val="ctr"/>
        <c:lblOffset val="100"/>
        <c:noMultiLvlLbl val="0"/>
      </c:catAx>
      <c:valAx>
        <c:axId val="739529679"/>
        <c:scaling>
          <c:orientation val="minMax"/>
          <c:max val="2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Kigelia" panose="020B0503040502020203" pitchFamily="34" charset="0"/>
                    <a:ea typeface="Kigelia" panose="020B0503040502020203" pitchFamily="34" charset="0"/>
                    <a:cs typeface="Kigelia" panose="020B0503040502020203" pitchFamily="34" charset="0"/>
                  </a:defRPr>
                </a:pPr>
                <a:r>
                  <a:rPr lang="pt-BR"/>
                  <a:t>GtCO</a:t>
                </a:r>
                <a:r>
                  <a:rPr lang="pt-BR" baseline="-25000"/>
                  <a:t>2</a:t>
                </a:r>
                <a:r>
                  <a:rPr lang="pt-BR"/>
                  <a:t>/yr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Kigelia" panose="020B0503040502020203" pitchFamily="34" charset="0"/>
                  <a:ea typeface="Kigelia" panose="020B0503040502020203" pitchFamily="34" charset="0"/>
                  <a:cs typeface="Kigelia" panose="020B0503040502020203" pitchFamily="34" charset="0"/>
                </a:defRPr>
              </a:pPr>
              <a:endParaRPr lang="pt-BR"/>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Kigelia" panose="020B0503040502020203" pitchFamily="34" charset="0"/>
                <a:ea typeface="Kigelia" panose="020B0503040502020203" pitchFamily="34" charset="0"/>
                <a:cs typeface="Kigelia" panose="020B0503040502020203" pitchFamily="34" charset="0"/>
              </a:defRPr>
            </a:pPr>
            <a:endParaRPr lang="pt-BR"/>
          </a:p>
        </c:txPr>
        <c:crossAx val="739526351"/>
        <c:crosses val="autoZero"/>
        <c:crossBetween val="between"/>
        <c:majorUnit val="4"/>
      </c:valAx>
      <c:valAx>
        <c:axId val="1078577583"/>
        <c:scaling>
          <c:orientation val="minMax"/>
          <c:max val="1"/>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Kigelia" panose="020B0503040502020203" pitchFamily="34" charset="0"/>
                <a:ea typeface="Kigelia" panose="020B0503040502020203" pitchFamily="34" charset="0"/>
                <a:cs typeface="Kigelia" panose="020B0503040502020203" pitchFamily="34" charset="0"/>
              </a:defRPr>
            </a:pPr>
            <a:endParaRPr lang="pt-BR"/>
          </a:p>
        </c:txPr>
        <c:crossAx val="1078578831"/>
        <c:crosses val="max"/>
        <c:crossBetween val="midCat"/>
        <c:majorUnit val="0.25"/>
      </c:valAx>
      <c:valAx>
        <c:axId val="1078578831"/>
        <c:scaling>
          <c:orientation val="minMax"/>
        </c:scaling>
        <c:delete val="1"/>
        <c:axPos val="t"/>
        <c:majorTickMark val="out"/>
        <c:minorTickMark val="none"/>
        <c:tickLblPos val="nextTo"/>
        <c:crossAx val="1078577583"/>
        <c:crosses val="max"/>
        <c:crossBetween val="midCat"/>
      </c:valAx>
      <c:spPr>
        <a:noFill/>
        <a:ln>
          <a:noFill/>
        </a:ln>
        <a:effectLst/>
      </c:spPr>
    </c:plotArea>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sz="1000">
          <a:latin typeface="Kigelia" panose="020B0503040502020203" pitchFamily="34" charset="0"/>
          <a:ea typeface="Kigelia" panose="020B0503040502020203" pitchFamily="34" charset="0"/>
          <a:cs typeface="Kigelia" panose="020B0503040502020203" pitchFamily="34" charset="0"/>
        </a:defRPr>
      </a:pPr>
      <a:endParaRPr lang="pt-B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06FBF-A1C7-4291-A214-5525C6D1E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16722</Words>
  <Characters>90301</Characters>
  <Application>Microsoft Office Word</Application>
  <DocSecurity>0</DocSecurity>
  <Lines>752</Lines>
  <Paragraphs>213</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106810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Müller Casseres, Eduardo</dc:creator>
  <cp:lastModifiedBy>Eduardo Müller Casseres</cp:lastModifiedBy>
  <cp:revision>2</cp:revision>
  <cp:lastPrinted>2023-01-05T13:59:00Z</cp:lastPrinted>
  <dcterms:created xsi:type="dcterms:W3CDTF">2023-05-19T17:33:00Z</dcterms:created>
  <dcterms:modified xsi:type="dcterms:W3CDTF">2023-05-19T17:33:00Z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https://csl.mendeley.com/styles/562656001/american-meteorological-society-edited-AU2</vt:lpwstr>
  </property>
  <property fmtid="{D5CDD505-2E9C-101B-9397-08002B2CF9AE}" pid="3" name="Mendeley Recent Style Name 0_1">
    <vt:lpwstr>American Meteorological Society - edited - AU3.2</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http://csl.mendeley.com/styles/718001/harvard1-2</vt:lpwstr>
  </property>
  <property fmtid="{D5CDD505-2E9C-101B-9397-08002B2CF9AE}" pid="11" name="Mendeley Recent Style Name 4_1">
    <vt:lpwstr>Harvard Reference format 1 (author-date) - Joana Portugal</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http://www.zotero.org/styles/journal-of-climate</vt:lpwstr>
  </property>
  <property fmtid="{D5CDD505-2E9C-101B-9397-08002B2CF9AE}" pid="15" name="Mendeley Recent Style Name 6_1">
    <vt:lpwstr>Journal of Climate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http://www.zotero.org/styles/universidade-federal-do-rio-de-janeiro-instituto-alberto-luiz-coimbra-de-pos-graduacao-e-pesquisa-de-engenharia-abnt</vt:lpwstr>
  </property>
  <property fmtid="{D5CDD505-2E9C-101B-9397-08002B2CF9AE}" pid="21" name="Mendeley Recent Style Name 9_1">
    <vt:lpwstr>Universidade Federal do Rio de Janeiro - Instituto Alberto Luiz Coimbra de Pós-Graduação e Pesquisa de Engenharia - ABNT (Portuguese - Brazil)</vt:lpwstr>
  </property>
  <property fmtid="{D5CDD505-2E9C-101B-9397-08002B2CF9AE}" pid="22" name="Mendeley Document_1">
    <vt:lpwstr>True</vt:lpwstr>
  </property>
  <property fmtid="{D5CDD505-2E9C-101B-9397-08002B2CF9AE}" pid="23" name="Mendeley Unique User Id_1">
    <vt:lpwstr>dbacd8e9-743d-37dd-8837-180d97ca43da</vt:lpwstr>
  </property>
  <property fmtid="{D5CDD505-2E9C-101B-9397-08002B2CF9AE}" pid="24" name="Mendeley Citation Style_1">
    <vt:lpwstr>http://www.zotero.org/styles/nature</vt:lpwstr>
  </property>
  <property fmtid="{D5CDD505-2E9C-101B-9397-08002B2CF9AE}" pid="25" name="GrammarlyDocumentId">
    <vt:lpwstr>135902721944fb678c2520b0e28aab65d75207f6c85b5556a13bb024e70109e9</vt:lpwstr>
  </property>
</Properties>
</file>