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544" w:rsidRDefault="00173544" w:rsidP="00173544">
      <w:pPr>
        <w:spacing w:line="360" w:lineRule="auto"/>
        <w:rPr>
          <w:rFonts w:cstheme="minorHAnsi"/>
          <w:b/>
          <w:bCs/>
          <w:color w:val="000000" w:themeColor="text1"/>
        </w:rPr>
      </w:pPr>
      <w:r>
        <w:rPr>
          <w:rFonts w:cstheme="minorHAnsi"/>
          <w:b/>
          <w:bCs/>
          <w:color w:val="000000" w:themeColor="text1"/>
        </w:rPr>
        <w:t>SUPPLEMENTA</w:t>
      </w:r>
      <w:r w:rsidR="00AD7C34">
        <w:rPr>
          <w:rFonts w:cstheme="minorHAnsi"/>
          <w:b/>
          <w:bCs/>
          <w:color w:val="000000" w:themeColor="text1"/>
        </w:rPr>
        <w:t>RY</w:t>
      </w:r>
      <w:r>
        <w:rPr>
          <w:rFonts w:cstheme="minorHAnsi"/>
          <w:b/>
          <w:bCs/>
          <w:color w:val="000000" w:themeColor="text1"/>
        </w:rPr>
        <w:t xml:space="preserve"> METHODS</w:t>
      </w:r>
    </w:p>
    <w:p w:rsidR="008A210D" w:rsidRPr="008018F0" w:rsidRDefault="008A210D" w:rsidP="008A210D">
      <w:pPr>
        <w:spacing w:line="360" w:lineRule="auto"/>
        <w:rPr>
          <w:rFonts w:cstheme="minorHAnsi"/>
          <w:color w:val="000000" w:themeColor="text1"/>
          <w:u w:val="single"/>
        </w:rPr>
      </w:pPr>
      <w:r w:rsidRPr="008018F0">
        <w:rPr>
          <w:rFonts w:cstheme="minorHAnsi"/>
          <w:color w:val="000000" w:themeColor="text1"/>
          <w:u w:val="single"/>
        </w:rPr>
        <w:t>Internal Standard (IS) Design</w:t>
      </w:r>
    </w:p>
    <w:p w:rsidR="00D25533" w:rsidRPr="00D25533" w:rsidRDefault="008A210D" w:rsidP="00D25533">
      <w:pPr>
        <w:spacing w:line="360" w:lineRule="auto"/>
        <w:rPr>
          <w:rFonts w:cstheme="minorHAnsi"/>
          <w:color w:val="000000" w:themeColor="text1"/>
        </w:rPr>
      </w:pPr>
      <w:r w:rsidRPr="008018F0">
        <w:rPr>
          <w:rFonts w:cstheme="minorHAnsi"/>
          <w:color w:val="000000" w:themeColor="text1"/>
        </w:rPr>
        <w:t>Competitive synthetic DNA internal standard (IS) molecules were designed</w:t>
      </w:r>
      <w:r>
        <w:rPr>
          <w:rFonts w:cstheme="minorHAnsi"/>
          <w:color w:val="000000" w:themeColor="text1"/>
        </w:rPr>
        <w:t xml:space="preserve"> </w:t>
      </w:r>
      <w:r w:rsidRPr="008018F0">
        <w:rPr>
          <w:rFonts w:cstheme="minorHAnsi"/>
          <w:color w:val="000000" w:themeColor="text1"/>
        </w:rPr>
        <w:t xml:space="preserve">to mimic each target area but with substituted dinucleotides approximately every 50 bases to enable </w:t>
      </w:r>
      <w:r>
        <w:rPr>
          <w:rFonts w:cstheme="minorHAnsi"/>
          <w:color w:val="000000" w:themeColor="text1"/>
        </w:rPr>
        <w:t xml:space="preserve">bioinformatic </w:t>
      </w:r>
      <w:r w:rsidRPr="008018F0">
        <w:rPr>
          <w:rFonts w:cstheme="minorHAnsi"/>
          <w:color w:val="000000" w:themeColor="text1"/>
        </w:rPr>
        <w:t>separation of native template (NT) and IS reads following sequencing</w:t>
      </w:r>
      <w:r>
        <w:rPr>
          <w:rFonts w:cstheme="minorHAnsi"/>
          <w:color w:val="000000" w:themeColor="text1"/>
        </w:rPr>
        <w:t xml:space="preserve">.  </w:t>
      </w:r>
      <w:r w:rsidR="00D25533" w:rsidRPr="00D25533">
        <w:rPr>
          <w:rFonts w:cstheme="minorHAnsi"/>
          <w:color w:val="000000" w:themeColor="text1"/>
        </w:rPr>
        <w:t xml:space="preserve">The IS base changes were chosen to avoid known polymorphisms and lung cancer-associated mutations, so that they would not interfere with their detection or measurement.  A BLAST search was conducted to ensure primer specificity.  Priming regions were spared from artificial substitutions to ensure equal efficiency of priming NT and IS.  IS with these designs were synthesized at IDT using the custom “minigene” service. For each IS, IDT minigene plasmids were expanded in </w:t>
      </w:r>
      <w:r w:rsidR="00D25533" w:rsidRPr="00D25533">
        <w:rPr>
          <w:rFonts w:cstheme="minorHAnsi"/>
          <w:iCs/>
          <w:color w:val="000000" w:themeColor="text1"/>
        </w:rPr>
        <w:t>E. coli</w:t>
      </w:r>
      <w:r w:rsidR="00D25533" w:rsidRPr="00D25533">
        <w:rPr>
          <w:rFonts w:cstheme="minorHAnsi"/>
          <w:color w:val="000000" w:themeColor="text1"/>
        </w:rPr>
        <w:t xml:space="preserve">, DNA was extracted from clonal isolates, and the sequence was verified by Sanger sequencing. Of available IS synthesis methods, this approach was associated with the lowest potential for synthesis errors. Due to the high fidelity of endogenous </w:t>
      </w:r>
      <w:r w:rsidR="00D25533" w:rsidRPr="00D25533">
        <w:rPr>
          <w:rFonts w:cstheme="minorHAnsi"/>
          <w:iCs/>
          <w:color w:val="000000" w:themeColor="text1"/>
        </w:rPr>
        <w:t>E. coli</w:t>
      </w:r>
      <w:r w:rsidR="00D25533" w:rsidRPr="00D25533">
        <w:rPr>
          <w:rFonts w:cstheme="minorHAnsi"/>
          <w:color w:val="000000" w:themeColor="text1"/>
        </w:rPr>
        <w:t xml:space="preserve"> polymerase, the frequency of variants due to polymerase error in the cloned IS can be expected to be between 10</w:t>
      </w:r>
      <w:r w:rsidR="00D25533" w:rsidRPr="00D25533">
        <w:rPr>
          <w:rFonts w:cstheme="minorHAnsi"/>
          <w:color w:val="000000" w:themeColor="text1"/>
          <w:vertAlign w:val="superscript"/>
        </w:rPr>
        <w:t>−7</w:t>
      </w:r>
      <w:r w:rsidR="00D25533" w:rsidRPr="00D25533">
        <w:rPr>
          <w:rFonts w:cstheme="minorHAnsi"/>
          <w:color w:val="000000" w:themeColor="text1"/>
        </w:rPr>
        <w:t xml:space="preserve"> and 10</w:t>
      </w:r>
      <w:r w:rsidR="00D25533" w:rsidRPr="00D25533">
        <w:rPr>
          <w:rFonts w:cstheme="minorHAnsi"/>
          <w:color w:val="000000" w:themeColor="text1"/>
          <w:vertAlign w:val="superscript"/>
        </w:rPr>
        <w:t>−8</w:t>
      </w:r>
      <w:r w:rsidR="00D25533" w:rsidRPr="00D25533">
        <w:rPr>
          <w:rFonts w:cstheme="minorHAnsi"/>
          <w:color w:val="000000" w:themeColor="text1"/>
        </w:rPr>
        <w:t xml:space="preserve"> </w:t>
      </w:r>
      <w:r w:rsidR="00D25533" w:rsidRPr="00D25533">
        <w:rPr>
          <w:rFonts w:cstheme="minorHAnsi"/>
          <w:color w:val="000000" w:themeColor="text1"/>
        </w:rPr>
        <w:fldChar w:fldCharType="begin"/>
      </w:r>
      <w:r w:rsidR="00D25533" w:rsidRPr="00D25533">
        <w:rPr>
          <w:rFonts w:cstheme="minorHAnsi"/>
          <w:color w:val="000000" w:themeColor="text1"/>
        </w:rPr>
        <w:instrText xml:space="preserve"> ADDIN EN.CITE &lt;EndNote&gt;&lt;Cite&gt;&lt;Author&gt;Kunkel&lt;/Author&gt;&lt;Year&gt;1980&lt;/Year&gt;&lt;RecNum&gt;517&lt;/RecNum&gt;&lt;DisplayText&gt;(30)&lt;/DisplayText&gt;&lt;record&gt;&lt;rec-number&gt;517&lt;/rec-number&gt;&lt;foreign-keys&gt;&lt;key app="EN" db-id="0wztww0rbftvxcedessxxevx00vdst9varxd" timestamp="1636418963"&gt;517&lt;/key&gt;&lt;/foreign-keys&gt;&lt;ref-type name="Journal Article"&gt;17&lt;/ref-type&gt;&lt;contributors&gt;&lt;authors&gt;&lt;author&gt;Kunkel, T. A.&lt;/author&gt;&lt;author&gt;Loeb, L. A.&lt;/author&gt;&lt;/authors&gt;&lt;/contributors&gt;&lt;titles&gt;&lt;title&gt;On the fidelity of DNA replication. The accuracy of Escherichia coli DNA polymerase I in copying natural DNA in vitro&lt;/title&gt;&lt;secondary-title&gt;J Biol Chem&lt;/secondary-title&gt;&lt;/titles&gt;&lt;periodical&gt;&lt;full-title&gt;J Biol Chem&lt;/full-title&gt;&lt;/periodical&gt;&lt;pages&gt;9961-6&lt;/pages&gt;&lt;volume&gt;255&lt;/volume&gt;&lt;number&gt;20&lt;/number&gt;&lt;edition&gt;1980/10/25&lt;/edition&gt;&lt;keywords&gt;&lt;keyword&gt;Bacteriophage phi X 174/metabolism&lt;/keyword&gt;&lt;keyword&gt;DNA Polymerase I/*metabolism&lt;/keyword&gt;&lt;keyword&gt;*DNA Replication&lt;/keyword&gt;&lt;keyword&gt;DNA, Bacterial/*biosynthesis&lt;/keyword&gt;&lt;keyword&gt;DNA, Viral/metabolism&lt;/keyword&gt;&lt;keyword&gt;DNA-Directed DNA Polymerase/*metabolism&lt;/keyword&gt;&lt;keyword&gt;Escherichia coli/*enzymology&lt;/keyword&gt;&lt;keyword&gt;Plasmids&lt;/keyword&gt;&lt;keyword&gt;Spheroplasts/enzymology&lt;/keyword&gt;&lt;keyword&gt;Transfection&lt;/keyword&gt;&lt;/keywords&gt;&lt;dates&gt;&lt;year&gt;1980&lt;/year&gt;&lt;pub-dates&gt;&lt;date&gt;Oct 25&lt;/date&gt;&lt;/pub-dates&gt;&lt;/dates&gt;&lt;isbn&gt;0021-9258 (Print)&amp;#xD;0021-9258 (Linking)&lt;/isbn&gt;&lt;accession-num&gt;6448843&lt;/accession-num&gt;&lt;urls&gt;&lt;related-urls&gt;&lt;url&gt;https://www.ncbi.nlm.nih.gov/pubmed/6448843&lt;/url&gt;&lt;/related-urls&gt;&lt;/urls&gt;&lt;/record&gt;&lt;/Cite&gt;&lt;/EndNote&gt;</w:instrText>
      </w:r>
      <w:r w:rsidR="00D25533" w:rsidRPr="00D25533">
        <w:rPr>
          <w:rFonts w:cstheme="minorHAnsi"/>
          <w:color w:val="000000" w:themeColor="text1"/>
        </w:rPr>
        <w:fldChar w:fldCharType="separate"/>
      </w:r>
      <w:r w:rsidR="00D25533" w:rsidRPr="00D25533">
        <w:rPr>
          <w:rFonts w:cstheme="minorHAnsi"/>
          <w:noProof/>
          <w:color w:val="000000" w:themeColor="text1"/>
        </w:rPr>
        <w:t>(30)</w:t>
      </w:r>
      <w:r w:rsidR="00D25533" w:rsidRPr="00D25533">
        <w:rPr>
          <w:rFonts w:cstheme="minorHAnsi"/>
          <w:color w:val="000000" w:themeColor="text1"/>
        </w:rPr>
        <w:fldChar w:fldCharType="end"/>
      </w:r>
      <w:r w:rsidR="00D25533" w:rsidRPr="00D25533">
        <w:rPr>
          <w:rFonts w:cstheme="minorHAnsi"/>
          <w:color w:val="000000" w:themeColor="text1"/>
        </w:rPr>
        <w:t xml:space="preserve"> which is well below the desired limit of detection (LOD) for this study. Each minigene was shipped from IDT to UToledo as a purified, supercoiled plasmid containing custom IS inserts.  Each plasmid was linearized, gel-purified, quantified and mixed at equal concentrations (per genome copy) to create an IS mixture (ISM) at UToledo. As previously reported,  base substitution technical errors during library preparation and sequencing occur at the same rate in the IS as in the respective NT sequence </w:t>
      </w:r>
      <w:r w:rsidR="00D25533" w:rsidRPr="00D25533">
        <w:rPr>
          <w:rFonts w:cstheme="minorHAnsi"/>
          <w:color w:val="000000" w:themeColor="text1"/>
        </w:rPr>
        <w:fldChar w:fldCharType="begin"/>
      </w:r>
      <w:r w:rsidR="00D25533" w:rsidRPr="00D25533">
        <w:rPr>
          <w:rFonts w:cstheme="minorHAnsi"/>
          <w:color w:val="000000" w:themeColor="text1"/>
        </w:rPr>
        <w:instrText xml:space="preserve"> ADDIN EN.CITE &lt;EndNote&gt;&lt;Cite&gt;&lt;Author&gt;Blomquist&lt;/Author&gt;&lt;Year&gt;2015&lt;/Year&gt;&lt;RecNum&gt;570&lt;/RecNum&gt;&lt;DisplayText&gt;(25)&lt;/DisplayText&gt;&lt;record&gt;&lt;rec-number&gt;570&lt;/rec-number&gt;&lt;foreign-keys&gt;&lt;key app="EN" db-id="952tdd9r6fsfdmefvtyp92tqe5w5f5dpr0ff" timestamp="1473186380"&gt;570&lt;/key&gt;&lt;/foreign-keys&gt;&lt;ref-type name="Journal Article"&gt;17&lt;/ref-type&gt;&lt;contributors&gt;&lt;authors&gt;&lt;author&gt;Blomquist, T.&lt;/author&gt;&lt;author&gt;Crawford, E. L.&lt;/author&gt;&lt;author&gt;Yeo, J.&lt;/author&gt;&lt;author&gt;Zhang, X.&lt;/author&gt;&lt;author&gt;Willey, J. C.&lt;/author&gt;&lt;/authors&gt;&lt;/contributors&gt;&lt;auth-address&gt;Department of Pathology, University of Toledo Health Sciences Campus, Toledo, OH 43614.&amp;#xD;Department of Medicine, University of Toledo Health Sciences Campus, Toledo, OH 43614.&amp;#xD;Department of Pathology, University of Toledo Health Sciences Campus, Toledo, OH 43614 ; Department of Medicine, University of Toledo Health Sciences Campus, Toledo, OH 43614.&lt;/auth-address&gt;&lt;titles&gt;&lt;title&gt;Control for stochastic sampling variation and qualitative sequencing error in next generation sequencing&lt;/title&gt;&lt;secondary-title&gt;Biomol Detect Quantif&lt;/secondary-title&gt;&lt;alt-title&gt;Biomolecular detection and quantification&lt;/alt-title&gt;&lt;/titles&gt;&lt;periodical&gt;&lt;full-title&gt;Biomol Detect Quantif&lt;/full-title&gt;&lt;/periodical&gt;&lt;pages&gt;30-37&lt;/pages&gt;&lt;volume&gt;5&lt;/volume&gt;&lt;edition&gt;2015/12/23&lt;/edition&gt;&lt;dates&gt;&lt;year&gt;2015&lt;/year&gt;&lt;pub-dates&gt;&lt;date&gt;Sep 1&lt;/date&gt;&lt;/pub-dates&gt;&lt;/dates&gt;&lt;isbn&gt;2214-7535 (Print)&lt;/isbn&gt;&lt;accession-num&gt;26693143&lt;/accession-num&gt;&lt;urls&gt;&lt;/urls&gt;&lt;custom2&gt;Pmc4673681&lt;/custom2&gt;&lt;custom6&gt;Nihms719124&lt;/custom6&gt;&lt;electronic-resource-num&gt;10.1016/j.bdq.2015.08.003&lt;/electronic-resource-num&gt;&lt;remote-database-provider&gt;NLM&lt;/remote-database-provider&gt;&lt;language&gt;Eng&lt;/language&gt;&lt;/record&gt;&lt;/Cite&gt;&lt;/EndNote&gt;</w:instrText>
      </w:r>
      <w:r w:rsidR="00D25533" w:rsidRPr="00D25533">
        <w:rPr>
          <w:rFonts w:cstheme="minorHAnsi"/>
          <w:color w:val="000000" w:themeColor="text1"/>
        </w:rPr>
        <w:fldChar w:fldCharType="separate"/>
      </w:r>
      <w:r w:rsidR="00D25533" w:rsidRPr="00D25533">
        <w:rPr>
          <w:rFonts w:cstheme="minorHAnsi"/>
          <w:noProof/>
          <w:color w:val="000000" w:themeColor="text1"/>
        </w:rPr>
        <w:t>(25)</w:t>
      </w:r>
      <w:r w:rsidR="00D25533" w:rsidRPr="00D25533">
        <w:rPr>
          <w:rFonts w:cstheme="minorHAnsi"/>
          <w:color w:val="000000" w:themeColor="text1"/>
        </w:rPr>
        <w:fldChar w:fldCharType="end"/>
      </w:r>
      <w:r w:rsidR="00D25533" w:rsidRPr="00D25533">
        <w:rPr>
          <w:rFonts w:cstheme="minorHAnsi"/>
          <w:color w:val="000000" w:themeColor="text1"/>
        </w:rPr>
        <w:t>. Therefore, each IS controls for target-specific, site, and regional differences in base substitution error rate during library preparation and sequencing.</w:t>
      </w:r>
    </w:p>
    <w:p w:rsidR="00173544" w:rsidRDefault="00173544" w:rsidP="00173544">
      <w:pPr>
        <w:spacing w:line="360" w:lineRule="auto"/>
        <w:rPr>
          <w:rFonts w:cstheme="minorHAnsi"/>
          <w:b/>
          <w:bCs/>
          <w:color w:val="000000" w:themeColor="text1"/>
        </w:rPr>
      </w:pPr>
    </w:p>
    <w:p w:rsidR="00FE7E8B" w:rsidRPr="008018F0" w:rsidRDefault="00FE7E8B" w:rsidP="00FE7E8B">
      <w:pPr>
        <w:spacing w:line="360" w:lineRule="auto"/>
        <w:rPr>
          <w:rFonts w:cstheme="minorHAnsi"/>
          <w:color w:val="000000" w:themeColor="text1"/>
          <w:u w:val="single"/>
        </w:rPr>
      </w:pPr>
      <w:r w:rsidRPr="008018F0">
        <w:rPr>
          <w:rFonts w:cstheme="minorHAnsi"/>
          <w:color w:val="000000" w:themeColor="text1"/>
          <w:u w:val="single"/>
        </w:rPr>
        <w:t>External Compl</w:t>
      </w:r>
      <w:r>
        <w:rPr>
          <w:rFonts w:cstheme="minorHAnsi"/>
          <w:color w:val="000000" w:themeColor="text1"/>
          <w:u w:val="single"/>
        </w:rPr>
        <w:t>exity Calibration Ladder (ECCL)</w:t>
      </w:r>
    </w:p>
    <w:p w:rsidR="00EE3579" w:rsidRPr="00EE3579" w:rsidRDefault="00FE7E8B" w:rsidP="00EE3579">
      <w:pPr>
        <w:spacing w:line="360" w:lineRule="auto"/>
        <w:rPr>
          <w:rFonts w:cstheme="minorHAnsi"/>
          <w:color w:val="000000" w:themeColor="text1"/>
        </w:rPr>
      </w:pPr>
      <w:r>
        <w:rPr>
          <w:rFonts w:cstheme="minorHAnsi"/>
          <w:color w:val="000000" w:themeColor="text1"/>
        </w:rPr>
        <w:t>T</w:t>
      </w:r>
      <w:r w:rsidR="00EE3579" w:rsidRPr="00EE3579">
        <w:rPr>
          <w:rFonts w:cstheme="minorHAnsi"/>
          <w:color w:val="000000" w:themeColor="text1"/>
        </w:rPr>
        <w:t xml:space="preserve">wenty-eight synthetic IS were designed to mimic human SCGB1A1 sequence. Each SCGB1A1 IS was designed with unique single base alterations spread throughout the sequence, exclusive of the priming regions, to enable it to be distinguished from both the NT and other designed SCGB1A1 IS, then prepared according to this design at IDT, Inc. (Coralville, Iowa) and linearized through restriction digest with KasI (New England Biolabs, Ipswich, MA).  To ensure separation </w:t>
      </w:r>
      <w:r w:rsidR="00EE3579" w:rsidRPr="00EE3579">
        <w:rPr>
          <w:rFonts w:cstheme="minorHAnsi"/>
          <w:color w:val="000000" w:themeColor="text1"/>
        </w:rPr>
        <w:lastRenderedPageBreak/>
        <w:t>of linearized plasmid from uncut plasmid, digestion products were electrophoresed in 2% low-melt agarose gels along with a size ladder and uncut plasmid. Gel slices corresponding to the linearized plasmid were extracted and purified using a QIAquick Gel Extraction kit (Qiagen, Inc., Valencia, CA). Each purified, linearized SCGB1A1 IS was quantified by fluorometric measurement (Qubit dsDNA HS Assay, Life Technologies Corporation, Eugene, OR).</w:t>
      </w:r>
    </w:p>
    <w:p w:rsidR="00EE3579" w:rsidRPr="00EE3579" w:rsidRDefault="00EE3579" w:rsidP="00EE3579">
      <w:pPr>
        <w:spacing w:line="360" w:lineRule="auto"/>
        <w:rPr>
          <w:rFonts w:cstheme="minorHAnsi"/>
          <w:color w:val="000000" w:themeColor="text1"/>
        </w:rPr>
      </w:pPr>
      <w:r w:rsidRPr="00EE3579">
        <w:rPr>
          <w:rFonts w:cstheme="minorHAnsi"/>
          <w:color w:val="000000" w:themeColor="text1"/>
        </w:rPr>
        <w:t xml:space="preserve">  </w:t>
      </w:r>
    </w:p>
    <w:p w:rsidR="00EE3579" w:rsidRPr="00EE3579" w:rsidRDefault="00EE3579" w:rsidP="00EE3579">
      <w:pPr>
        <w:spacing w:line="360" w:lineRule="auto"/>
        <w:rPr>
          <w:rFonts w:cstheme="minorHAnsi"/>
          <w:color w:val="000000" w:themeColor="text1"/>
          <w:u w:val="single"/>
        </w:rPr>
      </w:pPr>
      <w:r w:rsidRPr="00EE3579">
        <w:rPr>
          <w:rFonts w:cstheme="minorHAnsi"/>
          <w:color w:val="000000" w:themeColor="text1"/>
          <w:u w:val="single"/>
        </w:rPr>
        <w:t>Creation of the External Complexity Calibration Ladder (ECCL) and IS mixture</w:t>
      </w:r>
    </w:p>
    <w:p w:rsidR="00EE3579" w:rsidRPr="00EE3579" w:rsidRDefault="00EE3579" w:rsidP="00EE3579">
      <w:pPr>
        <w:spacing w:line="360" w:lineRule="auto"/>
        <w:rPr>
          <w:rFonts w:cstheme="minorHAnsi"/>
          <w:color w:val="000000" w:themeColor="text1"/>
        </w:rPr>
      </w:pPr>
      <w:r w:rsidRPr="00EE3579">
        <w:rPr>
          <w:rFonts w:cstheme="minorHAnsi"/>
          <w:color w:val="000000" w:themeColor="text1"/>
        </w:rPr>
        <w:t xml:space="preserve">A stock mixture of SCGB1A1 IS sufficient for 8,000 assays was prepared based on Qubit DNA quantification values. </w:t>
      </w:r>
      <w:r w:rsidRPr="00EE3579">
        <w:rPr>
          <w:rFonts w:cstheme="minorHAnsi"/>
          <w:b/>
          <w:bCs/>
          <w:color w:val="000000" w:themeColor="text1"/>
        </w:rPr>
        <w:t>Supplementary Table 3</w:t>
      </w:r>
      <w:r w:rsidRPr="00EE3579">
        <w:rPr>
          <w:rFonts w:cstheme="minorHAnsi"/>
          <w:color w:val="000000" w:themeColor="text1"/>
        </w:rPr>
        <w:t xml:space="preserve"> presents the intended concentration value (molecules/</w:t>
      </w:r>
      <w:r w:rsidRPr="00EE3579">
        <w:rPr>
          <w:rFonts w:ascii="Symbol" w:hAnsi="Symbol" w:cstheme="minorHAnsi"/>
          <w:color w:val="000000" w:themeColor="text1"/>
        </w:rPr>
        <w:t></w:t>
      </w:r>
      <w:r w:rsidRPr="00EE3579">
        <w:rPr>
          <w:rFonts w:cstheme="minorHAnsi"/>
          <w:color w:val="000000" w:themeColor="text1"/>
        </w:rPr>
        <w:t xml:space="preserve">l) for each IS in the stock mixture.  The different SCGB1A1 IS were included in the mixture at different concentrations to create a “ladder” to determine PCR capture efficiency of each sample.  Actual values were determined through 9 replicate measurements of the IS mixture using the PCR and sequencing methods detailed below. </w:t>
      </w:r>
    </w:p>
    <w:p w:rsidR="00EE3579" w:rsidRDefault="00EE3579" w:rsidP="00173544">
      <w:pPr>
        <w:spacing w:line="360" w:lineRule="auto"/>
        <w:rPr>
          <w:rFonts w:cstheme="minorHAnsi"/>
          <w:b/>
          <w:bCs/>
          <w:color w:val="000000" w:themeColor="text1"/>
        </w:rPr>
      </w:pPr>
    </w:p>
    <w:p w:rsidR="00C1475D" w:rsidRDefault="00C1475D" w:rsidP="00173544">
      <w:pPr>
        <w:spacing w:line="360" w:lineRule="auto"/>
        <w:rPr>
          <w:rFonts w:cstheme="minorHAnsi"/>
          <w:b/>
          <w:bCs/>
          <w:color w:val="000000" w:themeColor="text1"/>
        </w:rPr>
      </w:pPr>
    </w:p>
    <w:p w:rsidR="00C1475D" w:rsidRPr="00C1475D" w:rsidRDefault="00C1475D" w:rsidP="00C1475D">
      <w:pPr>
        <w:spacing w:line="360" w:lineRule="auto"/>
        <w:rPr>
          <w:rFonts w:cstheme="minorHAnsi"/>
          <w:color w:val="000000" w:themeColor="text1"/>
          <w:u w:val="single"/>
        </w:rPr>
      </w:pPr>
      <w:r w:rsidRPr="00C1475D">
        <w:rPr>
          <w:rFonts w:cstheme="minorHAnsi"/>
          <w:color w:val="000000" w:themeColor="text1"/>
          <w:u w:val="single"/>
        </w:rPr>
        <w:t>Round 1: Competitive Multiplex PCR</w:t>
      </w:r>
    </w:p>
    <w:p w:rsidR="00C1475D" w:rsidRPr="00C1475D" w:rsidRDefault="00C1475D" w:rsidP="00C1475D">
      <w:pPr>
        <w:spacing w:line="360" w:lineRule="auto"/>
        <w:rPr>
          <w:rFonts w:cstheme="minorHAnsi"/>
          <w:color w:val="000000" w:themeColor="text1"/>
        </w:rPr>
      </w:pPr>
      <w:r w:rsidRPr="00C1475D">
        <w:rPr>
          <w:rFonts w:cstheme="minorHAnsi"/>
          <w:color w:val="000000" w:themeColor="text1"/>
        </w:rPr>
        <w:t>Four pairs of target-specific primers (SCGB1A1-ECCL, TP53.5, TP53.6, TP53.7) with APEX tails were combined to create a 1 μM</w:t>
      </w:r>
      <w:r w:rsidRPr="00C1475D" w:rsidDel="00CE65BA">
        <w:rPr>
          <w:rFonts w:cstheme="minorHAnsi"/>
          <w:color w:val="000000" w:themeColor="text1"/>
        </w:rPr>
        <w:t xml:space="preserve"> </w:t>
      </w:r>
      <w:r w:rsidRPr="00C1475D">
        <w:rPr>
          <w:rFonts w:cstheme="minorHAnsi"/>
          <w:color w:val="000000" w:themeColor="text1"/>
        </w:rPr>
        <w:t>multiplex primer mixture in TE buffer (10 mM Tris-Cl, pH 7.4, 0.1 mM EDTA).</w:t>
      </w:r>
    </w:p>
    <w:p w:rsidR="00C1475D" w:rsidRPr="00C1475D" w:rsidRDefault="00C1475D" w:rsidP="00C1475D">
      <w:pPr>
        <w:spacing w:line="360" w:lineRule="auto"/>
        <w:rPr>
          <w:rFonts w:cstheme="minorHAnsi"/>
          <w:color w:val="000000" w:themeColor="text1"/>
        </w:rPr>
      </w:pPr>
    </w:p>
    <w:p w:rsidR="00C1475D" w:rsidRPr="00C1475D" w:rsidRDefault="00C1475D" w:rsidP="00C1475D">
      <w:pPr>
        <w:spacing w:line="360" w:lineRule="auto"/>
        <w:rPr>
          <w:rFonts w:cstheme="minorHAnsi"/>
          <w:color w:val="000000" w:themeColor="text1"/>
        </w:rPr>
      </w:pPr>
      <w:r w:rsidRPr="00C1475D">
        <w:rPr>
          <w:rFonts w:cstheme="minorHAnsi"/>
          <w:color w:val="000000" w:themeColor="text1"/>
        </w:rPr>
        <w:t>PCR reactions were prepared containing at least 50,000 genome equivalents of both AEC gDNA sample and ISM, 6 μL 5X Q5 Buffer (New England Biolabs, Ipswich, MA), 0.6 μL 10mM dNTP (Promega, Madison, WI), 3 μL of 1 μM multiplex primer mixture, 1.5 μL 2% w/v bovine serum albumin (New England Biolabs, Ipswich, MA), 0.3 μL Q5 HotStart High Fidelity DNA Polymerase (New England Biolabs, Ipswich, MA, Ipswich, MA), and molecular-grade water to a final reaction volume of 30 μL.</w:t>
      </w:r>
    </w:p>
    <w:p w:rsidR="00C1475D" w:rsidRPr="00C1475D" w:rsidRDefault="00C1475D" w:rsidP="00C1475D">
      <w:pPr>
        <w:spacing w:line="360" w:lineRule="auto"/>
        <w:rPr>
          <w:rFonts w:cstheme="minorHAnsi"/>
          <w:color w:val="000000" w:themeColor="text1"/>
        </w:rPr>
      </w:pPr>
    </w:p>
    <w:p w:rsidR="00C1475D" w:rsidRPr="00C1475D" w:rsidRDefault="00C1475D" w:rsidP="00C1475D">
      <w:pPr>
        <w:spacing w:line="360" w:lineRule="auto"/>
        <w:rPr>
          <w:rFonts w:cstheme="minorHAnsi"/>
          <w:color w:val="000000" w:themeColor="text1"/>
        </w:rPr>
      </w:pPr>
      <w:r w:rsidRPr="00C1475D">
        <w:rPr>
          <w:rFonts w:cstheme="minorHAnsi"/>
          <w:color w:val="000000" w:themeColor="text1"/>
        </w:rPr>
        <w:t xml:space="preserve">Each competitive multiplex reaction mixture was amplified in a block thermal cycler with a heated lid for a total of 20 cycles under the following PCR conditions: 95 °C/2 min (Q5 HotStart </w:t>
      </w:r>
      <w:r w:rsidRPr="00C1475D">
        <w:rPr>
          <w:rFonts w:cstheme="minorHAnsi"/>
          <w:color w:val="000000" w:themeColor="text1"/>
        </w:rPr>
        <w:lastRenderedPageBreak/>
        <w:t>DNA Polymerase activation); 20 cycles of 94 °C/15 s (denaturation), 63 °C/30 (annealing), and 72 °C/30 s (extension); a final extension 72 °C/2 min extension to ensure complete extension of all products. PCR products were column-purified using QIAquick PCR Purification Kit (Qiagen, Hilden, Germany) according to manufacturer protocol and eluted in 300 μL TE buffer.</w:t>
      </w:r>
    </w:p>
    <w:p w:rsidR="00C1475D" w:rsidRPr="00C1475D" w:rsidRDefault="00C1475D" w:rsidP="00C1475D">
      <w:pPr>
        <w:spacing w:line="360" w:lineRule="auto"/>
        <w:rPr>
          <w:rFonts w:cstheme="minorHAnsi"/>
          <w:color w:val="000000" w:themeColor="text1"/>
        </w:rPr>
      </w:pPr>
    </w:p>
    <w:p w:rsidR="00C1475D" w:rsidRPr="00C1475D" w:rsidRDefault="00C1475D" w:rsidP="00C1475D">
      <w:pPr>
        <w:spacing w:line="360" w:lineRule="auto"/>
        <w:rPr>
          <w:rFonts w:cstheme="minorHAnsi"/>
          <w:color w:val="000000" w:themeColor="text1"/>
          <w:u w:val="single"/>
        </w:rPr>
      </w:pPr>
      <w:r w:rsidRPr="00C1475D">
        <w:rPr>
          <w:rFonts w:cstheme="minorHAnsi"/>
          <w:color w:val="000000" w:themeColor="text1"/>
          <w:u w:val="single"/>
        </w:rPr>
        <w:t>Round 2: Sample Barcoding PCR</w:t>
      </w:r>
    </w:p>
    <w:p w:rsidR="00C1475D" w:rsidRPr="00C1475D" w:rsidRDefault="00C1475D" w:rsidP="00C1475D">
      <w:pPr>
        <w:spacing w:line="360" w:lineRule="auto"/>
        <w:rPr>
          <w:rFonts w:cstheme="minorHAnsi"/>
          <w:color w:val="000000" w:themeColor="text1"/>
        </w:rPr>
      </w:pPr>
      <w:r w:rsidRPr="00C1475D">
        <w:rPr>
          <w:rFonts w:cstheme="minorHAnsi"/>
          <w:color w:val="000000" w:themeColor="text1"/>
        </w:rPr>
        <w:t>Barcode/adaptor primers at a final concentration of 1 μM</w:t>
      </w:r>
      <w:r w:rsidRPr="00C1475D" w:rsidDel="00A33783">
        <w:rPr>
          <w:rFonts w:cstheme="minorHAnsi"/>
          <w:color w:val="000000" w:themeColor="text1"/>
        </w:rPr>
        <w:t xml:space="preserve"> </w:t>
      </w:r>
      <w:r w:rsidRPr="00C1475D">
        <w:rPr>
          <w:rFonts w:cstheme="minorHAnsi"/>
          <w:color w:val="000000" w:themeColor="text1"/>
        </w:rPr>
        <w:t>and a 2 μL</w:t>
      </w:r>
      <w:r w:rsidRPr="00C1475D" w:rsidDel="00A33783">
        <w:rPr>
          <w:rFonts w:cstheme="minorHAnsi"/>
          <w:color w:val="000000" w:themeColor="text1"/>
        </w:rPr>
        <w:t xml:space="preserve"> </w:t>
      </w:r>
      <w:r w:rsidRPr="00C1475D">
        <w:rPr>
          <w:rFonts w:cstheme="minorHAnsi"/>
          <w:color w:val="000000" w:themeColor="text1"/>
        </w:rPr>
        <w:t>aliquot of each diluted, column-purified reaction from Round 1 were amplified for 15 cycles under the following PCR conditions: 95 °C/2 min (Q5 HotStart DNA Polymerase activation); 15 cycles of 94 °C/15 s (denaturation), 62 °C/30 (annealing), and 72 °C/30 s (extension); a final extension 72 °C/2 min extension to ensure complete extension of all products. The column-purified product from each AEC sample was labeled using a unique set of dual-indexed barcode (</w:t>
      </w:r>
      <w:r w:rsidRPr="00C1475D">
        <w:rPr>
          <w:rFonts w:cstheme="minorHAnsi"/>
          <w:b/>
          <w:bCs/>
          <w:color w:val="000000" w:themeColor="text1"/>
        </w:rPr>
        <w:t>Supplementary Table 2</w:t>
      </w:r>
      <w:r w:rsidRPr="00C1475D">
        <w:rPr>
          <w:rFonts w:cstheme="minorHAnsi"/>
          <w:color w:val="000000" w:themeColor="text1"/>
        </w:rPr>
        <w:t>) primers to reduce likelihood of false-indexing/barcoding a sequencing read.</w:t>
      </w:r>
    </w:p>
    <w:p w:rsidR="00C1475D" w:rsidRPr="00C1475D" w:rsidRDefault="00C1475D" w:rsidP="00C1475D">
      <w:pPr>
        <w:spacing w:line="360" w:lineRule="auto"/>
        <w:rPr>
          <w:rFonts w:cstheme="minorHAnsi"/>
          <w:color w:val="000000" w:themeColor="text1"/>
        </w:rPr>
      </w:pPr>
    </w:p>
    <w:p w:rsidR="00C1475D" w:rsidRPr="00C1475D" w:rsidRDefault="00C1475D" w:rsidP="00C1475D">
      <w:pPr>
        <w:spacing w:line="360" w:lineRule="auto"/>
        <w:rPr>
          <w:rFonts w:cstheme="minorHAnsi"/>
          <w:color w:val="000000" w:themeColor="text1"/>
          <w:u w:val="single"/>
        </w:rPr>
      </w:pPr>
      <w:r w:rsidRPr="00C1475D">
        <w:rPr>
          <w:rFonts w:cstheme="minorHAnsi"/>
          <w:color w:val="000000" w:themeColor="text1"/>
          <w:u w:val="single"/>
        </w:rPr>
        <w:t>Sample Pooling</w:t>
      </w:r>
    </w:p>
    <w:p w:rsidR="00C1475D" w:rsidRPr="00C1475D" w:rsidRDefault="00C1475D" w:rsidP="00C1475D">
      <w:pPr>
        <w:spacing w:line="360" w:lineRule="auto"/>
        <w:rPr>
          <w:rFonts w:cstheme="minorHAnsi"/>
          <w:color w:val="000000" w:themeColor="text1"/>
        </w:rPr>
      </w:pPr>
      <w:r w:rsidRPr="00C1475D">
        <w:rPr>
          <w:rFonts w:cstheme="minorHAnsi"/>
          <w:color w:val="000000" w:themeColor="text1"/>
        </w:rPr>
        <w:t>Following Round 2, each uniquely barcoded sample was quantified on an Agilent 2100 Bioanalyzer. Each sample was then mixed in equimolar ratios to optimize the percentage of sequencing reads that each sample would eventually receive.</w:t>
      </w:r>
    </w:p>
    <w:p w:rsidR="00C1475D" w:rsidRPr="00C1475D" w:rsidRDefault="00C1475D" w:rsidP="00C1475D">
      <w:pPr>
        <w:spacing w:line="360" w:lineRule="auto"/>
        <w:rPr>
          <w:rFonts w:cstheme="minorHAnsi"/>
          <w:color w:val="000000" w:themeColor="text1"/>
        </w:rPr>
      </w:pPr>
    </w:p>
    <w:p w:rsidR="00C1475D" w:rsidRPr="00C1475D" w:rsidRDefault="00C1475D" w:rsidP="00C1475D">
      <w:pPr>
        <w:spacing w:line="360" w:lineRule="auto"/>
        <w:rPr>
          <w:rFonts w:cstheme="minorHAnsi"/>
          <w:color w:val="000000" w:themeColor="text1"/>
          <w:u w:val="single"/>
        </w:rPr>
      </w:pPr>
      <w:r w:rsidRPr="00C1475D">
        <w:rPr>
          <w:rFonts w:cstheme="minorHAnsi"/>
          <w:color w:val="000000" w:themeColor="text1"/>
          <w:u w:val="single"/>
        </w:rPr>
        <w:t>Product Purification</w:t>
      </w:r>
    </w:p>
    <w:p w:rsidR="00C1475D" w:rsidRPr="00C1475D" w:rsidRDefault="00F86805" w:rsidP="00C1475D">
      <w:pPr>
        <w:spacing w:line="360" w:lineRule="auto"/>
        <w:rPr>
          <w:rFonts w:cstheme="minorHAnsi"/>
          <w:color w:val="000000" w:themeColor="text1"/>
        </w:rPr>
      </w:pPr>
      <w:r>
        <w:rPr>
          <w:rFonts w:cstheme="minorHAnsi"/>
          <w:color w:val="000000" w:themeColor="text1"/>
        </w:rPr>
        <w:t>Prior to sequencing, t</w:t>
      </w:r>
      <w:r w:rsidR="00C1475D" w:rsidRPr="00C1475D">
        <w:rPr>
          <w:rFonts w:cstheme="minorHAnsi"/>
          <w:color w:val="000000" w:themeColor="text1"/>
        </w:rPr>
        <w:t>he pooled sequencing library was purified using gel electrophoresis on a 2% w/v agarose gel. The resultant product band was then cut out, separating it from unwanted heterodimers, extracted using a QIAquick Gel Extraction Kit (Qiagen, Hilden, Germany), and eluted in</w:t>
      </w:r>
    </w:p>
    <w:p w:rsidR="00C1475D" w:rsidRPr="00C1475D" w:rsidRDefault="00C1475D" w:rsidP="00C1475D">
      <w:pPr>
        <w:spacing w:line="360" w:lineRule="auto"/>
        <w:rPr>
          <w:rFonts w:cstheme="minorHAnsi"/>
          <w:color w:val="000000" w:themeColor="text1"/>
        </w:rPr>
      </w:pPr>
      <w:r w:rsidRPr="00C1475D">
        <w:rPr>
          <w:rFonts w:cstheme="minorHAnsi"/>
          <w:color w:val="000000" w:themeColor="text1"/>
        </w:rPr>
        <w:t>50 μL elution buffer.</w:t>
      </w:r>
    </w:p>
    <w:p w:rsidR="00C1475D" w:rsidRDefault="00C1475D" w:rsidP="00173544">
      <w:pPr>
        <w:spacing w:line="360" w:lineRule="auto"/>
        <w:rPr>
          <w:rFonts w:cstheme="minorHAnsi"/>
          <w:b/>
          <w:bCs/>
          <w:color w:val="000000" w:themeColor="text1"/>
        </w:rPr>
      </w:pPr>
    </w:p>
    <w:p w:rsidR="00173544" w:rsidRPr="00173544" w:rsidRDefault="00173544" w:rsidP="00173544">
      <w:pPr>
        <w:spacing w:line="360" w:lineRule="auto"/>
        <w:rPr>
          <w:rFonts w:cstheme="minorHAnsi"/>
          <w:bCs/>
          <w:color w:val="000000" w:themeColor="text1"/>
        </w:rPr>
      </w:pPr>
    </w:p>
    <w:p w:rsidR="00966140" w:rsidRDefault="00747826"/>
    <w:sectPr w:rsidR="0096614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826" w:rsidRDefault="00747826" w:rsidP="00747826">
      <w:r>
        <w:separator/>
      </w:r>
    </w:p>
  </w:endnote>
  <w:endnote w:type="continuationSeparator" w:id="0">
    <w:p w:rsidR="00747826" w:rsidRDefault="00747826" w:rsidP="0074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826" w:rsidRDefault="00747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43185"/>
      <w:docPartObj>
        <w:docPartGallery w:val="Page Numbers (Bottom of Page)"/>
        <w:docPartUnique/>
      </w:docPartObj>
    </w:sdtPr>
    <w:sdtEndPr>
      <w:rPr>
        <w:noProof/>
      </w:rPr>
    </w:sdtEndPr>
    <w:sdtContent>
      <w:bookmarkStart w:id="0" w:name="_GoBack" w:displacedByCustomXml="prev"/>
      <w:bookmarkEnd w:id="0" w:displacedByCustomXml="prev"/>
      <w:p w:rsidR="00747826" w:rsidRDefault="007478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47826" w:rsidRDefault="007478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826" w:rsidRDefault="00747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826" w:rsidRDefault="00747826" w:rsidP="00747826">
      <w:r>
        <w:separator/>
      </w:r>
    </w:p>
  </w:footnote>
  <w:footnote w:type="continuationSeparator" w:id="0">
    <w:p w:rsidR="00747826" w:rsidRDefault="00747826" w:rsidP="0074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826" w:rsidRDefault="007478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826" w:rsidRDefault="00747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826" w:rsidRDefault="007478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44"/>
    <w:rsid w:val="00173544"/>
    <w:rsid w:val="00747826"/>
    <w:rsid w:val="008A210D"/>
    <w:rsid w:val="0091553F"/>
    <w:rsid w:val="00AA34A8"/>
    <w:rsid w:val="00AD7C34"/>
    <w:rsid w:val="00C1475D"/>
    <w:rsid w:val="00D25533"/>
    <w:rsid w:val="00DE2815"/>
    <w:rsid w:val="00EE3579"/>
    <w:rsid w:val="00F86805"/>
    <w:rsid w:val="00FE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03008-82DB-4901-A1C3-C2B9D4E2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54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826"/>
    <w:pPr>
      <w:tabs>
        <w:tab w:val="center" w:pos="4680"/>
        <w:tab w:val="right" w:pos="9360"/>
      </w:tabs>
    </w:pPr>
  </w:style>
  <w:style w:type="character" w:customStyle="1" w:styleId="HeaderChar">
    <w:name w:val="Header Char"/>
    <w:basedOn w:val="DefaultParagraphFont"/>
    <w:link w:val="Header"/>
    <w:uiPriority w:val="99"/>
    <w:rsid w:val="00747826"/>
    <w:rPr>
      <w:sz w:val="24"/>
      <w:szCs w:val="24"/>
    </w:rPr>
  </w:style>
  <w:style w:type="paragraph" w:styleId="Footer">
    <w:name w:val="footer"/>
    <w:basedOn w:val="Normal"/>
    <w:link w:val="FooterChar"/>
    <w:uiPriority w:val="99"/>
    <w:unhideWhenUsed/>
    <w:rsid w:val="00747826"/>
    <w:pPr>
      <w:tabs>
        <w:tab w:val="center" w:pos="4680"/>
        <w:tab w:val="right" w:pos="9360"/>
      </w:tabs>
    </w:pPr>
  </w:style>
  <w:style w:type="character" w:customStyle="1" w:styleId="FooterChar">
    <w:name w:val="Footer Char"/>
    <w:basedOn w:val="DefaultParagraphFont"/>
    <w:link w:val="Footer"/>
    <w:uiPriority w:val="99"/>
    <w:rsid w:val="007478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Toledo</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Erin</dc:creator>
  <cp:keywords/>
  <dc:description/>
  <cp:lastModifiedBy>Willey, James</cp:lastModifiedBy>
  <cp:revision>2</cp:revision>
  <cp:lastPrinted>2023-05-18T17:03:00Z</cp:lastPrinted>
  <dcterms:created xsi:type="dcterms:W3CDTF">2023-05-18T17:15:00Z</dcterms:created>
  <dcterms:modified xsi:type="dcterms:W3CDTF">2023-05-18T17:15:00Z</dcterms:modified>
</cp:coreProperties>
</file>