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2"/>
          <w:lang w:bidi="ar"/>
        </w:rPr>
      </w:pPr>
      <w:bookmarkStart w:id="0" w:name="_GoBack"/>
      <w:bookmarkEnd w:id="0"/>
      <w:r>
        <w:rPr>
          <w:rFonts w:ascii="Times New Roman" w:hAnsi="Times New Roman" w:eastAsia="宋体" w:cs="Times New Roman"/>
          <w:b/>
          <w:color w:val="000000"/>
          <w:sz w:val="22"/>
          <w:lang w:bidi="ar"/>
        </w:rPr>
        <w:t xml:space="preserve">Supplemental </w:t>
      </w:r>
      <w:r>
        <w:rPr>
          <w:rFonts w:ascii="Times New Roman" w:hAnsi="Times New Roman" w:eastAsia="宋体" w:cs="Times New Roman"/>
          <w:b/>
          <w:sz w:val="22"/>
          <w:lang w:bidi="ar"/>
        </w:rPr>
        <w:t xml:space="preserve">Table 3. Summarized results and subgroup analysis of </w:t>
      </w:r>
      <w:r>
        <w:rPr>
          <w:rFonts w:hint="eastAsia" w:ascii="Times New Roman" w:hAnsi="Times New Roman" w:eastAsia="宋体" w:cs="Times New Roman"/>
          <w:b/>
          <w:sz w:val="22"/>
          <w:lang w:bidi="ar"/>
        </w:rPr>
        <w:t>evaluation method</w:t>
      </w:r>
      <w:r>
        <w:rPr>
          <w:rFonts w:ascii="Times New Roman" w:hAnsi="Times New Roman" w:eastAsia="宋体" w:cs="Times New Roman"/>
          <w:b/>
          <w:sz w:val="22"/>
          <w:lang w:bidi="ar"/>
        </w:rPr>
        <w:t>.</w:t>
      </w:r>
    </w:p>
    <w:tbl>
      <w:tblPr>
        <w:tblStyle w:val="5"/>
        <w:tblW w:w="14528" w:type="dxa"/>
        <w:tblInd w:w="-29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2"/>
        <w:gridCol w:w="1397"/>
        <w:gridCol w:w="297"/>
        <w:gridCol w:w="35"/>
        <w:gridCol w:w="232"/>
        <w:gridCol w:w="30"/>
        <w:gridCol w:w="210"/>
        <w:gridCol w:w="87"/>
        <w:gridCol w:w="298"/>
        <w:gridCol w:w="1215"/>
        <w:gridCol w:w="1370"/>
        <w:gridCol w:w="1441"/>
        <w:gridCol w:w="1528"/>
        <w:gridCol w:w="1528"/>
        <w:gridCol w:w="1528"/>
        <w:gridCol w:w="1530"/>
      </w:tblGrid>
      <w:tr>
        <w:trPr>
          <w:trHeight w:val="245" w:hRule="atLeast"/>
        </w:trPr>
        <w:tc>
          <w:tcPr>
            <w:tcW w:w="180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Evaluation method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Author</w:t>
            </w:r>
          </w:p>
        </w:tc>
        <w:tc>
          <w:tcPr>
            <w:tcW w:w="1189" w:type="dxa"/>
            <w:gridSpan w:val="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Result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Reference standard</w:t>
            </w:r>
          </w:p>
        </w:tc>
        <w:tc>
          <w:tcPr>
            <w:tcW w:w="137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Pooled sensitivity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Pooled specificity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PLR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NLR</w:t>
            </w:r>
          </w:p>
        </w:tc>
        <w:tc>
          <w:tcPr>
            <w:tcW w:w="1528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DOR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AUC</w:t>
            </w: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9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TP</w:t>
            </w:r>
          </w:p>
        </w:tc>
        <w:tc>
          <w:tcPr>
            <w:tcW w:w="297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FP</w:t>
            </w:r>
          </w:p>
        </w:tc>
        <w:tc>
          <w:tcPr>
            <w:tcW w:w="297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FN</w:t>
            </w:r>
          </w:p>
        </w:tc>
        <w:tc>
          <w:tcPr>
            <w:tcW w:w="29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T   N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Patient-based</w:t>
            </w:r>
          </w:p>
        </w:tc>
        <w:tc>
          <w:tcPr>
            <w:tcW w:w="3801" w:type="dxa"/>
            <w:gridSpan w:val="9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all</w:t>
            </w:r>
          </w:p>
        </w:tc>
        <w:tc>
          <w:tcPr>
            <w:tcW w:w="137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0.95(0.93-0.97)</w:t>
            </w:r>
          </w:p>
        </w:tc>
        <w:tc>
          <w:tcPr>
            <w:tcW w:w="144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0.97(0.95-0.99)</w:t>
            </w:r>
          </w:p>
        </w:tc>
        <w:tc>
          <w:tcPr>
            <w:tcW w:w="15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33.4(14.7-64.1)</w:t>
            </w:r>
          </w:p>
        </w:tc>
        <w:tc>
          <w:tcPr>
            <w:tcW w:w="15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0.05(0.03-0.07)</w:t>
            </w:r>
          </w:p>
        </w:tc>
        <w:tc>
          <w:tcPr>
            <w:tcW w:w="15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671(338-1332)</w:t>
            </w:r>
          </w:p>
        </w:tc>
        <w:tc>
          <w:tcPr>
            <w:tcW w:w="15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0.99 (0.98 - 0.99)</w:t>
            </w: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Liu2000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comprehensive diagnosis</w:t>
            </w:r>
          </w:p>
        </w:tc>
        <w:tc>
          <w:tcPr>
            <w:tcW w:w="137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0.97(0.95-0.98)</w:t>
            </w:r>
          </w:p>
        </w:tc>
        <w:tc>
          <w:tcPr>
            <w:tcW w:w="144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0.97(0.93-0.98)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27.7(12.8-60.1)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0.03(0.02-0.06)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829(326-2106)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0.99(0.97-0.99)</w:t>
            </w: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Hamm2002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Tack2003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Kluner2006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Mulkens2007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Koteshwar2016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Chi2018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Kim2005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standard-dose CT</w:t>
            </w:r>
          </w:p>
        </w:tc>
        <w:tc>
          <w:tcPr>
            <w:tcW w:w="1370" w:type="dxa"/>
            <w:vMerge w:val="restart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0.93(0.90-0.95)</w:t>
            </w:r>
          </w:p>
        </w:tc>
        <w:tc>
          <w:tcPr>
            <w:tcW w:w="144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0.98(0.92-0.99)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42.3(1.7-152.4)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0.07(0.05-0.10)</w:t>
            </w:r>
          </w:p>
        </w:tc>
        <w:tc>
          <w:tcPr>
            <w:tcW w:w="15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605 (167-2193)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 xml:space="preserve"> 0.96 (0.94-0.98)</w:t>
            </w: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Poletti2006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Fracchia2012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Moore2014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Fontarensky2015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Urolithiasis-based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Park2014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215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standard-dose CT</w:t>
            </w:r>
          </w:p>
        </w:tc>
        <w:tc>
          <w:tcPr>
            <w:tcW w:w="1370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0.86(0.76-0.93)</w:t>
            </w:r>
          </w:p>
        </w:tc>
        <w:tc>
          <w:tcPr>
            <w:tcW w:w="1441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0.98(0.63-1.00)</w:t>
            </w:r>
          </w:p>
        </w:tc>
        <w:tc>
          <w:tcPr>
            <w:tcW w:w="1528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43.7(1.5-1261.4)</w:t>
            </w:r>
          </w:p>
        </w:tc>
        <w:tc>
          <w:tcPr>
            <w:tcW w:w="1528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0.14(0.07-0.27)</w:t>
            </w:r>
          </w:p>
        </w:tc>
        <w:tc>
          <w:tcPr>
            <w:tcW w:w="1528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313(7-13754)</w:t>
            </w:r>
          </w:p>
        </w:tc>
        <w:tc>
          <w:tcPr>
            <w:tcW w:w="1530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0.93(0.91-0.95)</w:t>
            </w: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Kwon2015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Malkawi2015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90" w:hRule="atLeast"/>
        </w:trPr>
        <w:tc>
          <w:tcPr>
            <w:tcW w:w="180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Park2015</w:t>
            </w:r>
          </w:p>
        </w:tc>
        <w:tc>
          <w:tcPr>
            <w:tcW w:w="33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222</w:t>
            </w:r>
          </w:p>
        </w:tc>
        <w:tc>
          <w:tcPr>
            <w:tcW w:w="2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8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276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</w:tr>
      <w:tr>
        <w:trPr>
          <w:trHeight w:val="270" w:hRule="atLeast"/>
        </w:trPr>
        <w:tc>
          <w:tcPr>
            <w:tcW w:w="180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9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Ahn2017</w:t>
            </w:r>
          </w:p>
        </w:tc>
        <w:tc>
          <w:tcPr>
            <w:tcW w:w="332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23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4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8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209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7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28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B9B"/>
    <w:rsid w:val="00865B9B"/>
    <w:rsid w:val="00874C01"/>
    <w:rsid w:val="009711B8"/>
    <w:rsid w:val="00CC2AA8"/>
    <w:rsid w:val="FEDDE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177</Words>
  <Characters>1011</Characters>
  <Lines>8</Lines>
  <Paragraphs>2</Paragraphs>
  <ScaleCrop>false</ScaleCrop>
  <LinksUpToDate>false</LinksUpToDate>
  <CharactersWithSpaces>1186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2020-03-15T12:02:00Z</dcterms:created>
  <dc:creator>1428125190@qq.com</dc:creator>
  <cp:lastModifiedBy>Ivan</cp:lastModifiedBy>
  <dcterms:modified xsi:type="dcterms:W3CDTF">2020-03-15T15:17:27Z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