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2"/>
          <w:lang w:bidi="ar"/>
        </w:rPr>
      </w:pPr>
      <w:r>
        <w:rPr>
          <w:rFonts w:ascii="Times New Roman" w:hAnsi="Times New Roman" w:eastAsia="宋体" w:cs="Times New Roman"/>
          <w:b/>
          <w:color w:val="000000"/>
          <w:sz w:val="22"/>
          <w:lang w:bidi="ar"/>
        </w:rPr>
        <w:t xml:space="preserve">Supplemental </w:t>
      </w:r>
      <w:r>
        <w:rPr>
          <w:rFonts w:ascii="Times New Roman" w:hAnsi="Times New Roman" w:eastAsia="宋体" w:cs="Times New Roman"/>
          <w:b/>
          <w:sz w:val="22"/>
          <w:lang w:bidi="ar"/>
        </w:rPr>
        <w:t>Table 2. Results of eligible studies in this meta-analysis on the diagnostic accuracy of LDCT in de detecting urolithiasis.</w:t>
      </w:r>
    </w:p>
    <w:tbl>
      <w:tblPr>
        <w:tblStyle w:val="5"/>
        <w:tblW w:w="1406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7"/>
        <w:gridCol w:w="1776"/>
        <w:gridCol w:w="1776"/>
        <w:gridCol w:w="1776"/>
        <w:gridCol w:w="1776"/>
        <w:gridCol w:w="1776"/>
        <w:gridCol w:w="1776"/>
        <w:gridCol w:w="1781"/>
      </w:tblGrid>
      <w:tr>
        <w:trPr>
          <w:trHeight w:val="329" w:hRule="atLeast"/>
        </w:trPr>
        <w:tc>
          <w:tcPr>
            <w:tcW w:w="1627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Author</w:t>
            </w:r>
          </w:p>
        </w:tc>
        <w:tc>
          <w:tcPr>
            <w:tcW w:w="12437" w:type="dxa"/>
            <w:gridSpan w:val="7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Main Result</w:t>
            </w:r>
          </w:p>
        </w:tc>
      </w:tr>
      <w:tr>
        <w:trPr>
          <w:trHeight w:val="90" w:hRule="atLeast"/>
        </w:trPr>
        <w:tc>
          <w:tcPr>
            <w:tcW w:w="1627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20"/>
              </w:rPr>
              <w:t>TP</w:t>
            </w: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20"/>
              </w:rPr>
              <w:t>FP</w:t>
            </w: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20"/>
              </w:rPr>
              <w:t>FN</w:t>
            </w: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20"/>
              </w:rPr>
              <w:t>TN</w:t>
            </w: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sensitivity</w:t>
            </w:r>
          </w:p>
        </w:tc>
        <w:tc>
          <w:tcPr>
            <w:tcW w:w="177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specificity</w:t>
            </w:r>
          </w:p>
        </w:tc>
        <w:tc>
          <w:tcPr>
            <w:tcW w:w="1781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prevalence</w:t>
            </w:r>
          </w:p>
        </w:tc>
      </w:tr>
      <w:tr>
        <w:trPr>
          <w:trHeight w:val="121" w:hRule="atLeast"/>
        </w:trPr>
        <w:tc>
          <w:tcPr>
            <w:tcW w:w="162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Liu2000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7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96%</w:t>
            </w:r>
          </w:p>
        </w:tc>
        <w:tc>
          <w:tcPr>
            <w:tcW w:w="178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61.67%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Hamm2002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73.39%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Tack2003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64.93%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Kim2005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86%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87.93%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Kluner2006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71.83%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Poletti2006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93%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66.93%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 xml:space="preserve"> Mulkens2007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99%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93%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50.67%</w:t>
            </w:r>
          </w:p>
        </w:tc>
      </w:tr>
      <w:tr>
        <w:trPr>
          <w:trHeight w:val="94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Fracchia2012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90%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83.17%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Moore2014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90%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99%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50.75%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 xml:space="preserve"> Park2014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96%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50.00%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Kwon2015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182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197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92%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95%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48.76%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Malkawi2015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70%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38%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67.50%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Park2015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222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276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80%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50.00%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Fontarensky2015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65.25%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Koteshwar2016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97%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71.00%</w:t>
            </w:r>
          </w:p>
        </w:tc>
      </w:tr>
      <w:tr>
        <w:trPr>
          <w:trHeight w:val="90" w:hRule="atLeast"/>
        </w:trPr>
        <w:tc>
          <w:tcPr>
            <w:tcW w:w="16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Ahn2017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192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209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80%</w:t>
            </w:r>
          </w:p>
        </w:tc>
        <w:tc>
          <w:tcPr>
            <w:tcW w:w="17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87%</w:t>
            </w:r>
          </w:p>
        </w:tc>
        <w:tc>
          <w:tcPr>
            <w:tcW w:w="178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50.00%</w:t>
            </w:r>
          </w:p>
        </w:tc>
      </w:tr>
      <w:tr>
        <w:trPr>
          <w:trHeight w:val="90" w:hRule="atLeast"/>
        </w:trPr>
        <w:tc>
          <w:tcPr>
            <w:tcW w:w="162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16"/>
                <w:szCs w:val="16"/>
              </w:rPr>
              <w:t>Chi2018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94%</w:t>
            </w:r>
          </w:p>
        </w:tc>
        <w:tc>
          <w:tcPr>
            <w:tcW w:w="177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100%</w:t>
            </w:r>
          </w:p>
        </w:tc>
        <w:tc>
          <w:tcPr>
            <w:tcW w:w="178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  <w:t>93.94%</w:t>
            </w:r>
          </w:p>
        </w:tc>
      </w:tr>
    </w:tbl>
    <w:p>
      <w:pPr>
        <w:spacing w:line="360" w:lineRule="auto"/>
        <w:jc w:val="left"/>
        <w:rPr>
          <w:rFonts w:ascii="Times New Roman" w:hAnsi="Times New Roman" w:eastAsia="宋体" w:cs="Times New Roman"/>
          <w:b/>
          <w:bCs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>TP=true positive, FP=false positive, FN=false negative, TN=true negative.</w:t>
      </w:r>
    </w:p>
    <w:p>
      <w:pPr>
        <w:spacing w:line="360" w:lineRule="auto"/>
        <w:jc w:val="left"/>
        <w:rPr>
          <w:rFonts w:hint="eastAsia" w:ascii="Times New Roman" w:hAnsi="Times New Roman" w:eastAsia="宋体" w:cs="Times New Roman"/>
          <w:b/>
          <w:bCs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D2E"/>
    <w:rsid w:val="00500BFC"/>
    <w:rsid w:val="009711B8"/>
    <w:rsid w:val="009D7D2E"/>
    <w:rsid w:val="00E66F7B"/>
    <w:rsid w:val="27E2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782</Characters>
  <Lines>6</Lines>
  <Paragraphs>1</Paragraphs>
  <TotalTime>0</TotalTime>
  <ScaleCrop>false</ScaleCrop>
  <LinksUpToDate>false</LinksUpToDate>
  <CharactersWithSpaces>918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2020-03-15T12:01:00Z</dcterms:created>
  <dc:creator>1428125190@qq.com</dc:creator>
  <cp:lastModifiedBy>Ivan</cp:lastModifiedBy>
  <dcterms:modified xsi:type="dcterms:W3CDTF">2020-03-15T15:16:36Z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