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6E2023" w14:textId="77777777" w:rsidR="00800D1F" w:rsidRDefault="00800D1F" w:rsidP="00800D1F">
      <w:pPr>
        <w:pStyle w:val="Heading2"/>
      </w:pPr>
      <w:r>
        <w:t>Extended Data</w:t>
      </w:r>
    </w:p>
    <w:p w14:paraId="0DD3A454" w14:textId="77777777" w:rsidR="00800D1F" w:rsidRDefault="00800D1F" w:rsidP="00800D1F">
      <w:r w:rsidRPr="00173B99">
        <w:rPr>
          <w:b/>
          <w:bCs/>
        </w:rPr>
        <w:t>Extended Data Table 1.</w:t>
      </w:r>
      <w:r w:rsidRPr="00BB0E49">
        <w:t xml:space="preserve"> </w:t>
      </w:r>
      <w:r>
        <w:t xml:space="preserve">Model coefficients and PSIS-LOO criterion values. Values in parentheses give 95% credible interval. All model ELPD_diff (difference in expected log-predictive density, ot goodness-of-fit) values  are within 6*SE_diff, so no models are rejected. </w:t>
      </w:r>
    </w:p>
    <w:tbl>
      <w:tblPr>
        <w:tblW w:w="5261" w:type="pct"/>
        <w:tblLayout w:type="fixed"/>
        <w:tblCellMar>
          <w:left w:w="28" w:type="dxa"/>
          <w:right w:w="28" w:type="dxa"/>
        </w:tblCellMar>
        <w:tblLook w:val="04A0" w:firstRow="1" w:lastRow="0" w:firstColumn="1" w:lastColumn="0" w:noHBand="0" w:noVBand="1"/>
      </w:tblPr>
      <w:tblGrid>
        <w:gridCol w:w="3275"/>
        <w:gridCol w:w="1556"/>
        <w:gridCol w:w="1556"/>
        <w:gridCol w:w="1556"/>
        <w:gridCol w:w="1554"/>
      </w:tblGrid>
      <w:tr w:rsidR="00800D1F" w:rsidRPr="00E26B1B" w14:paraId="4556C469" w14:textId="77777777" w:rsidTr="00D95A57">
        <w:trPr>
          <w:trHeight w:val="567"/>
        </w:trPr>
        <w:tc>
          <w:tcPr>
            <w:tcW w:w="1725" w:type="pct"/>
            <w:tcBorders>
              <w:top w:val="single" w:sz="4" w:space="0" w:color="auto"/>
              <w:left w:val="nil"/>
              <w:bottom w:val="single" w:sz="4" w:space="0" w:color="auto"/>
              <w:right w:val="nil"/>
            </w:tcBorders>
            <w:shd w:val="clear" w:color="auto" w:fill="auto"/>
            <w:noWrap/>
          </w:tcPr>
          <w:p w14:paraId="0B53D42E" w14:textId="77777777" w:rsidR="00800D1F" w:rsidRPr="007E158A" w:rsidRDefault="00800D1F" w:rsidP="00D95A57">
            <w:pPr>
              <w:spacing w:after="0" w:line="240" w:lineRule="auto"/>
              <w:rPr>
                <w:rFonts w:ascii="Calibri" w:eastAsia="Times New Roman" w:hAnsi="Calibri" w:cs="Calibri"/>
                <w:b/>
                <w:bCs/>
                <w:color w:val="000000"/>
                <w:sz w:val="18"/>
                <w:szCs w:val="18"/>
                <w:lang w:eastAsia="en-GB"/>
              </w:rPr>
            </w:pPr>
          </w:p>
        </w:tc>
        <w:tc>
          <w:tcPr>
            <w:tcW w:w="819" w:type="pct"/>
            <w:tcBorders>
              <w:top w:val="single" w:sz="4" w:space="0" w:color="auto"/>
              <w:left w:val="nil"/>
              <w:bottom w:val="single" w:sz="4" w:space="0" w:color="auto"/>
              <w:right w:val="nil"/>
            </w:tcBorders>
            <w:shd w:val="clear" w:color="auto" w:fill="auto"/>
            <w:noWrap/>
          </w:tcPr>
          <w:p w14:paraId="29FF9BE3" w14:textId="77777777" w:rsidR="00800D1F" w:rsidRPr="007E158A" w:rsidRDefault="00800D1F" w:rsidP="00D95A57">
            <w:pPr>
              <w:spacing w:after="0" w:line="240" w:lineRule="auto"/>
              <w:rPr>
                <w:rFonts w:ascii="Calibri" w:eastAsia="Times New Roman" w:hAnsi="Calibri" w:cs="Calibri"/>
                <w:b/>
                <w:bCs/>
                <w:color w:val="000000"/>
                <w:sz w:val="20"/>
                <w:szCs w:val="20"/>
                <w:lang w:eastAsia="en-GB"/>
              </w:rPr>
            </w:pPr>
            <w:r w:rsidRPr="007E158A">
              <w:rPr>
                <w:rFonts w:ascii="Calibri" w:eastAsia="Times New Roman" w:hAnsi="Calibri" w:cs="Calibri"/>
                <w:b/>
                <w:bCs/>
                <w:color w:val="000000"/>
                <w:sz w:val="20"/>
                <w:szCs w:val="20"/>
                <w:lang w:eastAsia="en-GB"/>
              </w:rPr>
              <w:t>year</w:t>
            </w:r>
          </w:p>
        </w:tc>
        <w:tc>
          <w:tcPr>
            <w:tcW w:w="819" w:type="pct"/>
            <w:tcBorders>
              <w:top w:val="single" w:sz="4" w:space="0" w:color="auto"/>
              <w:left w:val="nil"/>
              <w:bottom w:val="single" w:sz="4" w:space="0" w:color="auto"/>
              <w:right w:val="nil"/>
            </w:tcBorders>
            <w:shd w:val="clear" w:color="auto" w:fill="auto"/>
            <w:noWrap/>
          </w:tcPr>
          <w:p w14:paraId="4E0C2FA0" w14:textId="77777777" w:rsidR="00800D1F" w:rsidRPr="007E158A" w:rsidRDefault="00800D1F" w:rsidP="00D95A57">
            <w:pPr>
              <w:spacing w:after="0" w:line="240" w:lineRule="auto"/>
              <w:rPr>
                <w:rFonts w:ascii="Calibri" w:eastAsia="Times New Roman" w:hAnsi="Calibri" w:cs="Calibri"/>
                <w:b/>
                <w:bCs/>
                <w:color w:val="000000"/>
                <w:sz w:val="20"/>
                <w:szCs w:val="20"/>
                <w:lang w:eastAsia="en-GB"/>
              </w:rPr>
            </w:pPr>
            <w:r w:rsidRPr="007E158A">
              <w:rPr>
                <w:rFonts w:ascii="Calibri" w:eastAsia="Times New Roman" w:hAnsi="Calibri" w:cs="Calibri"/>
                <w:b/>
                <w:bCs/>
                <w:color w:val="000000"/>
                <w:sz w:val="20"/>
                <w:szCs w:val="20"/>
                <w:lang w:eastAsia="en-GB"/>
              </w:rPr>
              <w:t>year*climate</w:t>
            </w:r>
          </w:p>
        </w:tc>
        <w:tc>
          <w:tcPr>
            <w:tcW w:w="819" w:type="pct"/>
            <w:tcBorders>
              <w:top w:val="single" w:sz="4" w:space="0" w:color="auto"/>
              <w:left w:val="nil"/>
              <w:bottom w:val="single" w:sz="4" w:space="0" w:color="auto"/>
              <w:right w:val="nil"/>
            </w:tcBorders>
            <w:shd w:val="clear" w:color="auto" w:fill="auto"/>
            <w:noWrap/>
          </w:tcPr>
          <w:p w14:paraId="448BF700" w14:textId="77777777" w:rsidR="00800D1F" w:rsidRPr="007E158A" w:rsidRDefault="00800D1F" w:rsidP="00D95A57">
            <w:pPr>
              <w:spacing w:after="0" w:line="240" w:lineRule="auto"/>
              <w:rPr>
                <w:rFonts w:ascii="Calibri" w:eastAsia="Times New Roman" w:hAnsi="Calibri" w:cs="Calibri"/>
                <w:b/>
                <w:bCs/>
                <w:color w:val="000000"/>
                <w:sz w:val="20"/>
                <w:szCs w:val="20"/>
                <w:lang w:eastAsia="en-GB"/>
              </w:rPr>
            </w:pPr>
            <w:r w:rsidRPr="007E158A">
              <w:rPr>
                <w:rFonts w:ascii="Calibri" w:eastAsia="Times New Roman" w:hAnsi="Calibri" w:cs="Calibri"/>
                <w:b/>
                <w:bCs/>
                <w:color w:val="000000"/>
                <w:sz w:val="20"/>
                <w:szCs w:val="20"/>
                <w:lang w:eastAsia="en-GB"/>
              </w:rPr>
              <w:t>year*lifeform</w:t>
            </w:r>
          </w:p>
        </w:tc>
        <w:tc>
          <w:tcPr>
            <w:tcW w:w="819" w:type="pct"/>
            <w:tcBorders>
              <w:top w:val="single" w:sz="4" w:space="0" w:color="auto"/>
              <w:left w:val="nil"/>
              <w:bottom w:val="single" w:sz="4" w:space="0" w:color="auto"/>
              <w:right w:val="nil"/>
            </w:tcBorders>
            <w:shd w:val="clear" w:color="auto" w:fill="auto"/>
            <w:noWrap/>
          </w:tcPr>
          <w:p w14:paraId="488F87BA" w14:textId="77777777" w:rsidR="00800D1F" w:rsidRPr="007E158A" w:rsidRDefault="00800D1F" w:rsidP="00D95A57">
            <w:pPr>
              <w:spacing w:after="0" w:line="240" w:lineRule="auto"/>
              <w:rPr>
                <w:rFonts w:ascii="Calibri" w:eastAsia="Times New Roman" w:hAnsi="Calibri" w:cs="Calibri"/>
                <w:b/>
                <w:bCs/>
                <w:color w:val="000000"/>
                <w:sz w:val="20"/>
                <w:szCs w:val="20"/>
                <w:lang w:eastAsia="en-GB"/>
              </w:rPr>
            </w:pPr>
            <w:r w:rsidRPr="007E158A">
              <w:rPr>
                <w:rFonts w:ascii="Calibri" w:eastAsia="Times New Roman" w:hAnsi="Calibri" w:cs="Calibri"/>
                <w:b/>
                <w:bCs/>
                <w:color w:val="000000"/>
                <w:sz w:val="20"/>
                <w:szCs w:val="20"/>
                <w:lang w:eastAsia="en-GB"/>
              </w:rPr>
              <w:t>year*climate + year*lifeform</w:t>
            </w:r>
          </w:p>
        </w:tc>
      </w:tr>
      <w:tr w:rsidR="00800D1F" w:rsidRPr="00E26B1B" w14:paraId="5A4DD51B" w14:textId="77777777" w:rsidTr="00D95A57">
        <w:trPr>
          <w:trHeight w:val="567"/>
        </w:trPr>
        <w:tc>
          <w:tcPr>
            <w:tcW w:w="1725" w:type="pct"/>
            <w:tcBorders>
              <w:top w:val="single" w:sz="4" w:space="0" w:color="auto"/>
              <w:left w:val="nil"/>
              <w:bottom w:val="nil"/>
              <w:right w:val="nil"/>
            </w:tcBorders>
            <w:shd w:val="clear" w:color="auto" w:fill="auto"/>
            <w:noWrap/>
            <w:hideMark/>
          </w:tcPr>
          <w:p w14:paraId="2CB9C1D1"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Intercept</w:t>
            </w:r>
          </w:p>
        </w:tc>
        <w:tc>
          <w:tcPr>
            <w:tcW w:w="819" w:type="pct"/>
            <w:tcBorders>
              <w:top w:val="single" w:sz="4" w:space="0" w:color="auto"/>
              <w:left w:val="nil"/>
              <w:bottom w:val="nil"/>
              <w:right w:val="nil"/>
            </w:tcBorders>
            <w:shd w:val="clear" w:color="auto" w:fill="auto"/>
            <w:noWrap/>
            <w:hideMark/>
          </w:tcPr>
          <w:p w14:paraId="6D4D4850"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-32.134 </w:t>
            </w:r>
          </w:p>
          <w:p w14:paraId="48DC19A7" w14:textId="77777777" w:rsidR="00800D1F" w:rsidRPr="00E26B1B" w:rsidRDefault="00800D1F" w:rsidP="00D95A57">
            <w:pPr>
              <w:spacing w:after="0" w:line="240" w:lineRule="auto"/>
              <w:rPr>
                <w:rFonts w:ascii="Calibri" w:eastAsia="Times New Roman" w:hAnsi="Calibri" w:cs="Calibri"/>
                <w:color w:val="000000"/>
                <w:sz w:val="18"/>
                <w:szCs w:val="18"/>
                <w:lang w:eastAsia="en-GB"/>
              </w:rPr>
            </w:pPr>
            <w:r w:rsidRPr="00E26B1B">
              <w:rPr>
                <w:rFonts w:ascii="Calibri" w:eastAsia="Times New Roman" w:hAnsi="Calibri" w:cs="Calibri"/>
                <w:color w:val="000000"/>
                <w:sz w:val="16"/>
                <w:szCs w:val="16"/>
                <w:lang w:eastAsia="en-GB"/>
              </w:rPr>
              <w:t>(-32.848,-31.4)</w:t>
            </w:r>
          </w:p>
        </w:tc>
        <w:tc>
          <w:tcPr>
            <w:tcW w:w="819" w:type="pct"/>
            <w:tcBorders>
              <w:top w:val="single" w:sz="4" w:space="0" w:color="auto"/>
              <w:left w:val="nil"/>
              <w:bottom w:val="nil"/>
              <w:right w:val="nil"/>
            </w:tcBorders>
            <w:shd w:val="clear" w:color="auto" w:fill="auto"/>
            <w:noWrap/>
            <w:hideMark/>
          </w:tcPr>
          <w:p w14:paraId="3ED0E76C"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-33.409 </w:t>
            </w:r>
          </w:p>
          <w:p w14:paraId="6F4AE636" w14:textId="77777777" w:rsidR="00800D1F" w:rsidRPr="00E26B1B" w:rsidRDefault="00800D1F" w:rsidP="00D95A57">
            <w:pPr>
              <w:spacing w:after="0" w:line="240" w:lineRule="auto"/>
              <w:rPr>
                <w:rFonts w:ascii="Calibri" w:eastAsia="Times New Roman" w:hAnsi="Calibri" w:cs="Calibri"/>
                <w:color w:val="000000"/>
                <w:sz w:val="18"/>
                <w:szCs w:val="18"/>
                <w:lang w:eastAsia="en-GB"/>
              </w:rPr>
            </w:pPr>
            <w:r w:rsidRPr="00E26B1B">
              <w:rPr>
                <w:rFonts w:ascii="Calibri" w:eastAsia="Times New Roman" w:hAnsi="Calibri" w:cs="Calibri"/>
                <w:color w:val="000000"/>
                <w:sz w:val="16"/>
                <w:szCs w:val="16"/>
                <w:lang w:eastAsia="en-GB"/>
              </w:rPr>
              <w:t>(-34.755,-32.036)</w:t>
            </w:r>
          </w:p>
        </w:tc>
        <w:tc>
          <w:tcPr>
            <w:tcW w:w="819" w:type="pct"/>
            <w:tcBorders>
              <w:top w:val="single" w:sz="4" w:space="0" w:color="auto"/>
              <w:left w:val="nil"/>
              <w:bottom w:val="nil"/>
              <w:right w:val="nil"/>
            </w:tcBorders>
            <w:shd w:val="clear" w:color="auto" w:fill="auto"/>
            <w:noWrap/>
            <w:hideMark/>
          </w:tcPr>
          <w:p w14:paraId="276E8680"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-36.242 </w:t>
            </w:r>
          </w:p>
          <w:p w14:paraId="562AB118" w14:textId="77777777" w:rsidR="00800D1F" w:rsidRPr="00E26B1B" w:rsidRDefault="00800D1F" w:rsidP="00D95A57">
            <w:pPr>
              <w:spacing w:after="0" w:line="240" w:lineRule="auto"/>
              <w:rPr>
                <w:rFonts w:ascii="Calibri" w:eastAsia="Times New Roman" w:hAnsi="Calibri" w:cs="Calibri"/>
                <w:color w:val="000000"/>
                <w:sz w:val="18"/>
                <w:szCs w:val="18"/>
                <w:lang w:eastAsia="en-GB"/>
              </w:rPr>
            </w:pPr>
            <w:r w:rsidRPr="00E26B1B">
              <w:rPr>
                <w:rFonts w:ascii="Calibri" w:eastAsia="Times New Roman" w:hAnsi="Calibri" w:cs="Calibri"/>
                <w:color w:val="000000"/>
                <w:sz w:val="16"/>
                <w:szCs w:val="16"/>
                <w:lang w:eastAsia="en-GB"/>
              </w:rPr>
              <w:t>(-40.584,-31.983)</w:t>
            </w:r>
          </w:p>
        </w:tc>
        <w:tc>
          <w:tcPr>
            <w:tcW w:w="819" w:type="pct"/>
            <w:tcBorders>
              <w:top w:val="single" w:sz="4" w:space="0" w:color="auto"/>
              <w:left w:val="nil"/>
              <w:bottom w:val="nil"/>
              <w:right w:val="nil"/>
            </w:tcBorders>
            <w:shd w:val="clear" w:color="auto" w:fill="auto"/>
            <w:noWrap/>
            <w:hideMark/>
          </w:tcPr>
          <w:p w14:paraId="3ED8C255"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-36.622 </w:t>
            </w:r>
          </w:p>
          <w:p w14:paraId="1CA3FDD7" w14:textId="77777777" w:rsidR="00800D1F" w:rsidRPr="00E26B1B" w:rsidRDefault="00800D1F" w:rsidP="00D95A57">
            <w:pPr>
              <w:spacing w:after="0" w:line="240" w:lineRule="auto"/>
              <w:rPr>
                <w:rFonts w:ascii="Calibri" w:eastAsia="Times New Roman" w:hAnsi="Calibri" w:cs="Calibri"/>
                <w:color w:val="000000"/>
                <w:sz w:val="18"/>
                <w:szCs w:val="18"/>
                <w:lang w:eastAsia="en-GB"/>
              </w:rPr>
            </w:pPr>
            <w:r w:rsidRPr="00E26B1B">
              <w:rPr>
                <w:rFonts w:ascii="Calibri" w:eastAsia="Times New Roman" w:hAnsi="Calibri" w:cs="Calibri"/>
                <w:color w:val="000000"/>
                <w:sz w:val="16"/>
                <w:szCs w:val="16"/>
                <w:lang w:eastAsia="en-GB"/>
              </w:rPr>
              <w:t>( -41.128,-32.236)</w:t>
            </w:r>
          </w:p>
        </w:tc>
      </w:tr>
      <w:tr w:rsidR="00800D1F" w:rsidRPr="00E26B1B" w14:paraId="368130E9" w14:textId="77777777" w:rsidTr="00D95A57">
        <w:trPr>
          <w:trHeight w:val="567"/>
        </w:trPr>
        <w:tc>
          <w:tcPr>
            <w:tcW w:w="1725" w:type="pct"/>
            <w:tcBorders>
              <w:top w:val="nil"/>
              <w:left w:val="nil"/>
              <w:bottom w:val="nil"/>
              <w:right w:val="nil"/>
            </w:tcBorders>
            <w:shd w:val="clear" w:color="auto" w:fill="auto"/>
            <w:noWrap/>
            <w:hideMark/>
          </w:tcPr>
          <w:p w14:paraId="76F548E4"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year</w:t>
            </w:r>
          </w:p>
        </w:tc>
        <w:tc>
          <w:tcPr>
            <w:tcW w:w="819" w:type="pct"/>
            <w:tcBorders>
              <w:top w:val="nil"/>
              <w:left w:val="nil"/>
              <w:bottom w:val="nil"/>
              <w:right w:val="nil"/>
            </w:tcBorders>
            <w:shd w:val="clear" w:color="auto" w:fill="auto"/>
            <w:noWrap/>
            <w:hideMark/>
          </w:tcPr>
          <w:p w14:paraId="3AFA5C19"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0.0165 </w:t>
            </w:r>
          </w:p>
          <w:p w14:paraId="31ABFBEE"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(0.0161,0.0169)</w:t>
            </w:r>
          </w:p>
        </w:tc>
        <w:tc>
          <w:tcPr>
            <w:tcW w:w="819" w:type="pct"/>
            <w:tcBorders>
              <w:top w:val="nil"/>
              <w:left w:val="nil"/>
              <w:bottom w:val="nil"/>
              <w:right w:val="nil"/>
            </w:tcBorders>
            <w:shd w:val="clear" w:color="auto" w:fill="auto"/>
            <w:noWrap/>
            <w:hideMark/>
          </w:tcPr>
          <w:p w14:paraId="2DECB2ED"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20"/>
                <w:szCs w:val="20"/>
                <w:lang w:eastAsia="en-GB"/>
              </w:rPr>
              <w:t xml:space="preserve">0.0172 </w:t>
            </w:r>
            <w:r w:rsidRPr="00E26B1B">
              <w:rPr>
                <w:rFonts w:ascii="Calibri" w:eastAsia="Times New Roman" w:hAnsi="Calibri" w:cs="Calibri"/>
                <w:color w:val="000000"/>
                <w:sz w:val="16"/>
                <w:szCs w:val="16"/>
                <w:lang w:eastAsia="en-GB"/>
              </w:rPr>
              <w:t>(0.0164,0.0179)</w:t>
            </w:r>
          </w:p>
        </w:tc>
        <w:tc>
          <w:tcPr>
            <w:tcW w:w="819" w:type="pct"/>
            <w:tcBorders>
              <w:top w:val="nil"/>
              <w:left w:val="nil"/>
              <w:bottom w:val="nil"/>
              <w:right w:val="nil"/>
            </w:tcBorders>
            <w:shd w:val="clear" w:color="auto" w:fill="auto"/>
            <w:noWrap/>
            <w:hideMark/>
          </w:tcPr>
          <w:p w14:paraId="6C99034A"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0.0184 </w:t>
            </w:r>
          </w:p>
          <w:p w14:paraId="45201BE1"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(0.0161,0.0206)</w:t>
            </w:r>
          </w:p>
        </w:tc>
        <w:tc>
          <w:tcPr>
            <w:tcW w:w="819" w:type="pct"/>
            <w:tcBorders>
              <w:top w:val="nil"/>
              <w:left w:val="nil"/>
              <w:bottom w:val="nil"/>
              <w:right w:val="nil"/>
            </w:tcBorders>
            <w:shd w:val="clear" w:color="auto" w:fill="auto"/>
            <w:noWrap/>
            <w:hideMark/>
          </w:tcPr>
          <w:p w14:paraId="7BDA5316"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0.0186 </w:t>
            </w:r>
          </w:p>
          <w:p w14:paraId="01B276B8"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(0.0163,0.0209)</w:t>
            </w:r>
          </w:p>
        </w:tc>
      </w:tr>
      <w:tr w:rsidR="00800D1F" w:rsidRPr="00E26B1B" w14:paraId="51430973" w14:textId="77777777" w:rsidTr="00D95A57">
        <w:trPr>
          <w:trHeight w:val="567"/>
        </w:trPr>
        <w:tc>
          <w:tcPr>
            <w:tcW w:w="1725" w:type="pct"/>
            <w:tcBorders>
              <w:top w:val="nil"/>
              <w:left w:val="nil"/>
              <w:bottom w:val="nil"/>
              <w:right w:val="nil"/>
            </w:tcBorders>
            <w:shd w:val="clear" w:color="auto" w:fill="auto"/>
            <w:noWrap/>
            <w:hideMark/>
          </w:tcPr>
          <w:p w14:paraId="153E19BD"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climtropical</w:t>
            </w:r>
          </w:p>
        </w:tc>
        <w:tc>
          <w:tcPr>
            <w:tcW w:w="819" w:type="pct"/>
            <w:tcBorders>
              <w:top w:val="nil"/>
              <w:left w:val="nil"/>
              <w:bottom w:val="nil"/>
              <w:right w:val="nil"/>
            </w:tcBorders>
            <w:shd w:val="clear" w:color="auto" w:fill="auto"/>
            <w:noWrap/>
            <w:hideMark/>
          </w:tcPr>
          <w:p w14:paraId="0A6E2FE5"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nil"/>
              <w:right w:val="nil"/>
            </w:tcBorders>
            <w:shd w:val="clear" w:color="auto" w:fill="auto"/>
            <w:noWrap/>
            <w:hideMark/>
          </w:tcPr>
          <w:p w14:paraId="40301B90"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2.192 </w:t>
            </w:r>
          </w:p>
          <w:p w14:paraId="109E4612"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(0.647,3.818)</w:t>
            </w:r>
          </w:p>
        </w:tc>
        <w:tc>
          <w:tcPr>
            <w:tcW w:w="819" w:type="pct"/>
            <w:tcBorders>
              <w:top w:val="nil"/>
              <w:left w:val="nil"/>
              <w:bottom w:val="nil"/>
              <w:right w:val="nil"/>
            </w:tcBorders>
            <w:shd w:val="clear" w:color="auto" w:fill="auto"/>
            <w:noWrap/>
            <w:hideMark/>
          </w:tcPr>
          <w:p w14:paraId="22F2E374"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nil"/>
              <w:right w:val="nil"/>
            </w:tcBorders>
            <w:shd w:val="clear" w:color="auto" w:fill="auto"/>
            <w:noWrap/>
            <w:hideMark/>
          </w:tcPr>
          <w:p w14:paraId="5B0C947C"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1.774 </w:t>
            </w:r>
          </w:p>
          <w:p w14:paraId="0CA92D7F"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(0.043,3.465)</w:t>
            </w:r>
          </w:p>
        </w:tc>
      </w:tr>
      <w:tr w:rsidR="00800D1F" w:rsidRPr="00E26B1B" w14:paraId="28C34AA8" w14:textId="77777777" w:rsidTr="00D95A57">
        <w:trPr>
          <w:trHeight w:val="567"/>
        </w:trPr>
        <w:tc>
          <w:tcPr>
            <w:tcW w:w="1725" w:type="pct"/>
            <w:tcBorders>
              <w:top w:val="nil"/>
              <w:left w:val="nil"/>
              <w:bottom w:val="nil"/>
              <w:right w:val="nil"/>
            </w:tcBorders>
            <w:shd w:val="clear" w:color="auto" w:fill="auto"/>
            <w:noWrap/>
            <w:hideMark/>
          </w:tcPr>
          <w:p w14:paraId="13CE4FFB"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lifeformepiphyte</w:t>
            </w:r>
          </w:p>
        </w:tc>
        <w:tc>
          <w:tcPr>
            <w:tcW w:w="819" w:type="pct"/>
            <w:tcBorders>
              <w:top w:val="nil"/>
              <w:left w:val="nil"/>
              <w:bottom w:val="nil"/>
              <w:right w:val="nil"/>
            </w:tcBorders>
            <w:shd w:val="clear" w:color="auto" w:fill="auto"/>
            <w:noWrap/>
            <w:hideMark/>
          </w:tcPr>
          <w:p w14:paraId="6CDF036F"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nil"/>
              <w:right w:val="nil"/>
            </w:tcBorders>
            <w:shd w:val="clear" w:color="auto" w:fill="auto"/>
            <w:noWrap/>
            <w:hideMark/>
          </w:tcPr>
          <w:p w14:paraId="42939C74"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nil"/>
              <w:right w:val="nil"/>
            </w:tcBorders>
            <w:shd w:val="clear" w:color="auto" w:fill="auto"/>
            <w:noWrap/>
            <w:hideMark/>
          </w:tcPr>
          <w:p w14:paraId="33E5F3F8"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6.437 </w:t>
            </w:r>
          </w:p>
          <w:p w14:paraId="17CD452B"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(0.756,12.046)</w:t>
            </w:r>
          </w:p>
        </w:tc>
        <w:tc>
          <w:tcPr>
            <w:tcW w:w="819" w:type="pct"/>
            <w:tcBorders>
              <w:top w:val="nil"/>
              <w:left w:val="nil"/>
              <w:bottom w:val="nil"/>
              <w:right w:val="nil"/>
            </w:tcBorders>
            <w:shd w:val="clear" w:color="auto" w:fill="auto"/>
            <w:noWrap/>
            <w:hideMark/>
          </w:tcPr>
          <w:p w14:paraId="38E32E74"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5.384 </w:t>
            </w:r>
          </w:p>
          <w:p w14:paraId="7E79FBF1"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(-0.369,11.201)</w:t>
            </w:r>
          </w:p>
        </w:tc>
      </w:tr>
      <w:tr w:rsidR="00800D1F" w:rsidRPr="00E26B1B" w14:paraId="7C9B19BD" w14:textId="77777777" w:rsidTr="00D95A57">
        <w:trPr>
          <w:trHeight w:val="567"/>
        </w:trPr>
        <w:tc>
          <w:tcPr>
            <w:tcW w:w="1725" w:type="pct"/>
            <w:tcBorders>
              <w:top w:val="nil"/>
              <w:left w:val="nil"/>
              <w:bottom w:val="nil"/>
              <w:right w:val="nil"/>
            </w:tcBorders>
            <w:shd w:val="clear" w:color="auto" w:fill="auto"/>
            <w:noWrap/>
            <w:hideMark/>
          </w:tcPr>
          <w:p w14:paraId="6713DD7B"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lifeformherbaceousperennial</w:t>
            </w:r>
          </w:p>
        </w:tc>
        <w:tc>
          <w:tcPr>
            <w:tcW w:w="819" w:type="pct"/>
            <w:tcBorders>
              <w:top w:val="nil"/>
              <w:left w:val="nil"/>
              <w:bottom w:val="nil"/>
              <w:right w:val="nil"/>
            </w:tcBorders>
            <w:shd w:val="clear" w:color="auto" w:fill="auto"/>
            <w:noWrap/>
            <w:hideMark/>
          </w:tcPr>
          <w:p w14:paraId="00249858"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nil"/>
              <w:right w:val="nil"/>
            </w:tcBorders>
            <w:shd w:val="clear" w:color="auto" w:fill="auto"/>
            <w:noWrap/>
            <w:hideMark/>
          </w:tcPr>
          <w:p w14:paraId="16F52796"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nil"/>
              <w:right w:val="nil"/>
            </w:tcBorders>
            <w:shd w:val="clear" w:color="auto" w:fill="auto"/>
            <w:noWrap/>
            <w:hideMark/>
          </w:tcPr>
          <w:p w14:paraId="55FC6123"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4.447 </w:t>
            </w:r>
          </w:p>
          <w:p w14:paraId="4E275409"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(-0.194,9.017)</w:t>
            </w:r>
          </w:p>
        </w:tc>
        <w:tc>
          <w:tcPr>
            <w:tcW w:w="819" w:type="pct"/>
            <w:tcBorders>
              <w:top w:val="nil"/>
              <w:left w:val="nil"/>
              <w:bottom w:val="nil"/>
              <w:right w:val="nil"/>
            </w:tcBorders>
            <w:shd w:val="clear" w:color="auto" w:fill="auto"/>
            <w:noWrap/>
            <w:hideMark/>
          </w:tcPr>
          <w:p w14:paraId="55CFC4E5"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4.326 </w:t>
            </w:r>
          </w:p>
          <w:p w14:paraId="1EC1670D"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(-0.312,9.034)</w:t>
            </w:r>
          </w:p>
        </w:tc>
      </w:tr>
      <w:tr w:rsidR="00800D1F" w:rsidRPr="00E26B1B" w14:paraId="267942A8" w14:textId="77777777" w:rsidTr="00D95A57">
        <w:trPr>
          <w:trHeight w:val="567"/>
        </w:trPr>
        <w:tc>
          <w:tcPr>
            <w:tcW w:w="1725" w:type="pct"/>
            <w:tcBorders>
              <w:top w:val="nil"/>
              <w:left w:val="nil"/>
              <w:bottom w:val="nil"/>
              <w:right w:val="nil"/>
            </w:tcBorders>
            <w:shd w:val="clear" w:color="auto" w:fill="auto"/>
            <w:noWrap/>
            <w:hideMark/>
          </w:tcPr>
          <w:p w14:paraId="65375474"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lifeformwoodyperennial</w:t>
            </w:r>
          </w:p>
        </w:tc>
        <w:tc>
          <w:tcPr>
            <w:tcW w:w="819" w:type="pct"/>
            <w:tcBorders>
              <w:top w:val="nil"/>
              <w:left w:val="nil"/>
              <w:bottom w:val="nil"/>
              <w:right w:val="nil"/>
            </w:tcBorders>
            <w:shd w:val="clear" w:color="auto" w:fill="auto"/>
            <w:noWrap/>
            <w:hideMark/>
          </w:tcPr>
          <w:p w14:paraId="16AFDC75"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nil"/>
              <w:right w:val="nil"/>
            </w:tcBorders>
            <w:shd w:val="clear" w:color="auto" w:fill="auto"/>
            <w:noWrap/>
            <w:hideMark/>
          </w:tcPr>
          <w:p w14:paraId="73A920B5"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nil"/>
              <w:right w:val="nil"/>
            </w:tcBorders>
            <w:shd w:val="clear" w:color="auto" w:fill="auto"/>
            <w:noWrap/>
            <w:hideMark/>
          </w:tcPr>
          <w:p w14:paraId="3A58C667"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4.3 </w:t>
            </w:r>
          </w:p>
          <w:p w14:paraId="7AC020A0"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(0.004,8.658)</w:t>
            </w:r>
          </w:p>
        </w:tc>
        <w:tc>
          <w:tcPr>
            <w:tcW w:w="819" w:type="pct"/>
            <w:tcBorders>
              <w:top w:val="nil"/>
              <w:left w:val="nil"/>
              <w:bottom w:val="nil"/>
              <w:right w:val="nil"/>
            </w:tcBorders>
            <w:shd w:val="clear" w:color="auto" w:fill="auto"/>
            <w:noWrap/>
            <w:hideMark/>
          </w:tcPr>
          <w:p w14:paraId="37B097B5"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3.556 </w:t>
            </w:r>
          </w:p>
          <w:p w14:paraId="0CB8BEB8"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(-0.843,8.147)</w:t>
            </w:r>
          </w:p>
        </w:tc>
      </w:tr>
      <w:tr w:rsidR="00800D1F" w:rsidRPr="00E26B1B" w14:paraId="2F03C88E" w14:textId="77777777" w:rsidTr="00D95A57">
        <w:trPr>
          <w:trHeight w:val="567"/>
        </w:trPr>
        <w:tc>
          <w:tcPr>
            <w:tcW w:w="1725" w:type="pct"/>
            <w:tcBorders>
              <w:top w:val="nil"/>
              <w:left w:val="nil"/>
              <w:bottom w:val="nil"/>
              <w:right w:val="nil"/>
            </w:tcBorders>
            <w:shd w:val="clear" w:color="auto" w:fill="auto"/>
            <w:noWrap/>
            <w:hideMark/>
          </w:tcPr>
          <w:p w14:paraId="14FEE826"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year:climtropical</w:t>
            </w:r>
          </w:p>
        </w:tc>
        <w:tc>
          <w:tcPr>
            <w:tcW w:w="819" w:type="pct"/>
            <w:tcBorders>
              <w:top w:val="nil"/>
              <w:left w:val="nil"/>
              <w:bottom w:val="nil"/>
              <w:right w:val="nil"/>
            </w:tcBorders>
            <w:shd w:val="clear" w:color="auto" w:fill="auto"/>
            <w:noWrap/>
            <w:hideMark/>
          </w:tcPr>
          <w:p w14:paraId="121CA75D"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nil"/>
              <w:right w:val="nil"/>
            </w:tcBorders>
            <w:shd w:val="clear" w:color="auto" w:fill="auto"/>
            <w:noWrap/>
            <w:hideMark/>
          </w:tcPr>
          <w:p w14:paraId="704D5F0B"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-0.0011 </w:t>
            </w:r>
          </w:p>
          <w:p w14:paraId="6344150A"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(-0.002,-0.0003)</w:t>
            </w:r>
          </w:p>
        </w:tc>
        <w:tc>
          <w:tcPr>
            <w:tcW w:w="819" w:type="pct"/>
            <w:tcBorders>
              <w:top w:val="nil"/>
              <w:left w:val="nil"/>
              <w:bottom w:val="nil"/>
              <w:right w:val="nil"/>
            </w:tcBorders>
            <w:shd w:val="clear" w:color="auto" w:fill="auto"/>
            <w:noWrap/>
            <w:hideMark/>
          </w:tcPr>
          <w:p w14:paraId="45E81E23"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nil"/>
              <w:right w:val="nil"/>
            </w:tcBorders>
            <w:shd w:val="clear" w:color="auto" w:fill="auto"/>
            <w:noWrap/>
            <w:hideMark/>
          </w:tcPr>
          <w:p w14:paraId="74D90811"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-0.0009 </w:t>
            </w:r>
          </w:p>
          <w:p w14:paraId="45176ED5"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(-0.0018,0)</w:t>
            </w:r>
          </w:p>
        </w:tc>
      </w:tr>
      <w:tr w:rsidR="00800D1F" w:rsidRPr="00E26B1B" w14:paraId="01AF1945" w14:textId="77777777" w:rsidTr="00D95A57">
        <w:trPr>
          <w:trHeight w:val="567"/>
        </w:trPr>
        <w:tc>
          <w:tcPr>
            <w:tcW w:w="1725" w:type="pct"/>
            <w:tcBorders>
              <w:top w:val="nil"/>
              <w:left w:val="nil"/>
              <w:bottom w:val="nil"/>
              <w:right w:val="nil"/>
            </w:tcBorders>
            <w:shd w:val="clear" w:color="auto" w:fill="auto"/>
            <w:noWrap/>
            <w:hideMark/>
          </w:tcPr>
          <w:p w14:paraId="3F31CDFF"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year:</w:t>
            </w:r>
            <w:r w:rsidRPr="000B4475">
              <w:rPr>
                <w:rFonts w:ascii="Calibri" w:eastAsia="Times New Roman" w:hAnsi="Calibri" w:cs="Calibri"/>
                <w:color w:val="000000"/>
                <w:sz w:val="20"/>
                <w:szCs w:val="20"/>
                <w:lang w:eastAsia="en-GB"/>
              </w:rPr>
              <w:t xml:space="preserve"> </w:t>
            </w:r>
            <w:r w:rsidRPr="00E26B1B">
              <w:rPr>
                <w:rFonts w:ascii="Calibri" w:eastAsia="Times New Roman" w:hAnsi="Calibri" w:cs="Calibri"/>
                <w:color w:val="000000"/>
                <w:sz w:val="20"/>
                <w:szCs w:val="20"/>
                <w:lang w:eastAsia="en-GB"/>
              </w:rPr>
              <w:t>lifeformepiphyte</w:t>
            </w:r>
          </w:p>
        </w:tc>
        <w:tc>
          <w:tcPr>
            <w:tcW w:w="819" w:type="pct"/>
            <w:tcBorders>
              <w:top w:val="nil"/>
              <w:left w:val="nil"/>
              <w:bottom w:val="nil"/>
              <w:right w:val="nil"/>
            </w:tcBorders>
            <w:shd w:val="clear" w:color="auto" w:fill="auto"/>
            <w:noWrap/>
            <w:hideMark/>
          </w:tcPr>
          <w:p w14:paraId="74B88461"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nil"/>
              <w:right w:val="nil"/>
            </w:tcBorders>
            <w:shd w:val="clear" w:color="auto" w:fill="auto"/>
            <w:noWrap/>
            <w:hideMark/>
          </w:tcPr>
          <w:p w14:paraId="65BB67C9"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nil"/>
              <w:right w:val="nil"/>
            </w:tcBorders>
            <w:shd w:val="clear" w:color="auto" w:fill="auto"/>
            <w:noWrap/>
            <w:hideMark/>
          </w:tcPr>
          <w:p w14:paraId="61896F3F"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-0.0029 </w:t>
            </w:r>
          </w:p>
          <w:p w14:paraId="707DACEF"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(-0.0059,0)</w:t>
            </w:r>
          </w:p>
        </w:tc>
        <w:tc>
          <w:tcPr>
            <w:tcW w:w="819" w:type="pct"/>
            <w:tcBorders>
              <w:top w:val="nil"/>
              <w:left w:val="nil"/>
              <w:bottom w:val="nil"/>
              <w:right w:val="nil"/>
            </w:tcBorders>
            <w:shd w:val="clear" w:color="auto" w:fill="auto"/>
            <w:noWrap/>
            <w:hideMark/>
          </w:tcPr>
          <w:p w14:paraId="20603FFE"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-0.0024 </w:t>
            </w:r>
          </w:p>
          <w:p w14:paraId="2783ADCB"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(-0.0054,0.0006)</w:t>
            </w:r>
          </w:p>
        </w:tc>
      </w:tr>
      <w:tr w:rsidR="00800D1F" w:rsidRPr="00E26B1B" w14:paraId="5A710DD3" w14:textId="77777777" w:rsidTr="00D95A57">
        <w:trPr>
          <w:trHeight w:val="567"/>
        </w:trPr>
        <w:tc>
          <w:tcPr>
            <w:tcW w:w="1725" w:type="pct"/>
            <w:tcBorders>
              <w:top w:val="nil"/>
              <w:left w:val="nil"/>
              <w:right w:val="nil"/>
            </w:tcBorders>
            <w:shd w:val="clear" w:color="auto" w:fill="auto"/>
            <w:noWrap/>
            <w:hideMark/>
          </w:tcPr>
          <w:p w14:paraId="35691B59"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year:</w:t>
            </w:r>
            <w:r w:rsidRPr="000B4475">
              <w:rPr>
                <w:rFonts w:ascii="Calibri" w:eastAsia="Times New Roman" w:hAnsi="Calibri" w:cs="Calibri"/>
                <w:color w:val="000000"/>
                <w:sz w:val="20"/>
                <w:szCs w:val="20"/>
                <w:lang w:eastAsia="en-GB"/>
              </w:rPr>
              <w:t xml:space="preserve"> </w:t>
            </w:r>
            <w:r w:rsidRPr="00E26B1B">
              <w:rPr>
                <w:rFonts w:ascii="Calibri" w:eastAsia="Times New Roman" w:hAnsi="Calibri" w:cs="Calibri"/>
                <w:color w:val="000000"/>
                <w:sz w:val="20"/>
                <w:szCs w:val="20"/>
                <w:lang w:eastAsia="en-GB"/>
              </w:rPr>
              <w:t>lifeformherbaceousperennial</w:t>
            </w:r>
          </w:p>
        </w:tc>
        <w:tc>
          <w:tcPr>
            <w:tcW w:w="819" w:type="pct"/>
            <w:tcBorders>
              <w:top w:val="nil"/>
              <w:left w:val="nil"/>
              <w:right w:val="nil"/>
            </w:tcBorders>
            <w:shd w:val="clear" w:color="auto" w:fill="auto"/>
            <w:noWrap/>
            <w:hideMark/>
          </w:tcPr>
          <w:p w14:paraId="1C4AF06A"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right w:val="nil"/>
            </w:tcBorders>
            <w:shd w:val="clear" w:color="auto" w:fill="auto"/>
            <w:noWrap/>
            <w:hideMark/>
          </w:tcPr>
          <w:p w14:paraId="01F5DD24"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right w:val="nil"/>
            </w:tcBorders>
            <w:shd w:val="clear" w:color="auto" w:fill="auto"/>
            <w:noWrap/>
            <w:hideMark/>
          </w:tcPr>
          <w:p w14:paraId="50315E42"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-0.002 </w:t>
            </w:r>
          </w:p>
          <w:p w14:paraId="10F9DBF4"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(-0.0044,0.0004)</w:t>
            </w:r>
          </w:p>
        </w:tc>
        <w:tc>
          <w:tcPr>
            <w:tcW w:w="819" w:type="pct"/>
            <w:tcBorders>
              <w:top w:val="nil"/>
              <w:left w:val="nil"/>
              <w:right w:val="nil"/>
            </w:tcBorders>
            <w:shd w:val="clear" w:color="auto" w:fill="auto"/>
            <w:noWrap/>
            <w:hideMark/>
          </w:tcPr>
          <w:p w14:paraId="5C77DF2E"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-0.0019 </w:t>
            </w:r>
          </w:p>
          <w:p w14:paraId="7DB9C2BF"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(-0.0044,0.0005)</w:t>
            </w:r>
          </w:p>
        </w:tc>
      </w:tr>
      <w:tr w:rsidR="00800D1F" w:rsidRPr="00E26B1B" w14:paraId="1068AFFB" w14:textId="77777777" w:rsidTr="00D95A57">
        <w:trPr>
          <w:trHeight w:val="567"/>
        </w:trPr>
        <w:tc>
          <w:tcPr>
            <w:tcW w:w="1725" w:type="pct"/>
            <w:tcBorders>
              <w:top w:val="nil"/>
              <w:left w:val="nil"/>
              <w:bottom w:val="single" w:sz="4" w:space="0" w:color="auto"/>
              <w:right w:val="nil"/>
            </w:tcBorders>
            <w:shd w:val="clear" w:color="auto" w:fill="auto"/>
            <w:noWrap/>
            <w:hideMark/>
          </w:tcPr>
          <w:p w14:paraId="3E2C3BFB"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year:</w:t>
            </w:r>
            <w:r w:rsidRPr="000B4475">
              <w:rPr>
                <w:rFonts w:ascii="Calibri" w:eastAsia="Times New Roman" w:hAnsi="Calibri" w:cs="Calibri"/>
                <w:color w:val="000000"/>
                <w:sz w:val="20"/>
                <w:szCs w:val="20"/>
                <w:lang w:eastAsia="en-GB"/>
              </w:rPr>
              <w:t xml:space="preserve"> </w:t>
            </w:r>
            <w:r w:rsidRPr="00E26B1B">
              <w:rPr>
                <w:rFonts w:ascii="Calibri" w:eastAsia="Times New Roman" w:hAnsi="Calibri" w:cs="Calibri"/>
                <w:color w:val="000000"/>
                <w:sz w:val="20"/>
                <w:szCs w:val="20"/>
                <w:lang w:eastAsia="en-GB"/>
              </w:rPr>
              <w:t>lifeformwoodyperennial</w:t>
            </w:r>
          </w:p>
        </w:tc>
        <w:tc>
          <w:tcPr>
            <w:tcW w:w="819" w:type="pct"/>
            <w:tcBorders>
              <w:top w:val="nil"/>
              <w:left w:val="nil"/>
              <w:bottom w:val="single" w:sz="4" w:space="0" w:color="auto"/>
              <w:right w:val="nil"/>
            </w:tcBorders>
            <w:shd w:val="clear" w:color="auto" w:fill="auto"/>
            <w:noWrap/>
            <w:hideMark/>
          </w:tcPr>
          <w:p w14:paraId="4205EE57"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single" w:sz="4" w:space="0" w:color="auto"/>
              <w:right w:val="nil"/>
            </w:tcBorders>
            <w:shd w:val="clear" w:color="auto" w:fill="auto"/>
            <w:noWrap/>
            <w:hideMark/>
          </w:tcPr>
          <w:p w14:paraId="7895577E"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w:t>
            </w:r>
          </w:p>
        </w:tc>
        <w:tc>
          <w:tcPr>
            <w:tcW w:w="819" w:type="pct"/>
            <w:tcBorders>
              <w:top w:val="nil"/>
              <w:left w:val="nil"/>
              <w:bottom w:val="single" w:sz="4" w:space="0" w:color="auto"/>
              <w:right w:val="nil"/>
            </w:tcBorders>
            <w:shd w:val="clear" w:color="auto" w:fill="auto"/>
            <w:noWrap/>
            <w:hideMark/>
          </w:tcPr>
          <w:p w14:paraId="144A7F74"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 xml:space="preserve">-0.002 </w:t>
            </w:r>
          </w:p>
          <w:p w14:paraId="0908303A"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 xml:space="preserve"> -0.0042,0.0003)</w:t>
            </w:r>
          </w:p>
        </w:tc>
        <w:tc>
          <w:tcPr>
            <w:tcW w:w="819" w:type="pct"/>
            <w:tcBorders>
              <w:top w:val="nil"/>
              <w:left w:val="nil"/>
              <w:bottom w:val="single" w:sz="4" w:space="0" w:color="auto"/>
              <w:right w:val="nil"/>
            </w:tcBorders>
            <w:shd w:val="clear" w:color="auto" w:fill="auto"/>
            <w:noWrap/>
            <w:hideMark/>
          </w:tcPr>
          <w:p w14:paraId="1A2EE58F" w14:textId="77777777" w:rsidR="00800D1F" w:rsidRPr="003A7431" w:rsidRDefault="00800D1F" w:rsidP="00D95A57">
            <w:pPr>
              <w:spacing w:after="0" w:line="240" w:lineRule="auto"/>
              <w:rPr>
                <w:rFonts w:ascii="Calibri" w:eastAsia="Times New Roman" w:hAnsi="Calibri" w:cs="Calibri"/>
                <w:color w:val="000000"/>
                <w:sz w:val="20"/>
                <w:szCs w:val="20"/>
                <w:lang w:eastAsia="en-GB"/>
              </w:rPr>
            </w:pPr>
            <w:r w:rsidRPr="00E26B1B">
              <w:rPr>
                <w:rFonts w:ascii="Calibri" w:eastAsia="Times New Roman" w:hAnsi="Calibri" w:cs="Calibri"/>
                <w:color w:val="000000"/>
                <w:sz w:val="20"/>
                <w:szCs w:val="20"/>
                <w:lang w:eastAsia="en-GB"/>
              </w:rPr>
              <w:t>-0.0016</w:t>
            </w:r>
          </w:p>
          <w:p w14:paraId="1429532D" w14:textId="77777777" w:rsidR="00800D1F" w:rsidRPr="00E26B1B" w:rsidRDefault="00800D1F" w:rsidP="00D95A57">
            <w:pPr>
              <w:spacing w:after="0" w:line="240" w:lineRule="auto"/>
              <w:rPr>
                <w:rFonts w:ascii="Calibri" w:eastAsia="Times New Roman" w:hAnsi="Calibri" w:cs="Calibri"/>
                <w:color w:val="000000"/>
                <w:sz w:val="16"/>
                <w:szCs w:val="16"/>
                <w:lang w:eastAsia="en-GB"/>
              </w:rPr>
            </w:pPr>
            <w:r w:rsidRPr="00E26B1B">
              <w:rPr>
                <w:rFonts w:ascii="Calibri" w:eastAsia="Times New Roman" w:hAnsi="Calibri" w:cs="Calibri"/>
                <w:color w:val="000000"/>
                <w:sz w:val="16"/>
                <w:szCs w:val="16"/>
                <w:lang w:eastAsia="en-GB"/>
              </w:rPr>
              <w:t>(-0.004,0.0007)</w:t>
            </w:r>
          </w:p>
        </w:tc>
      </w:tr>
      <w:tr w:rsidR="00800D1F" w:rsidRPr="00E26B1B" w14:paraId="5BE05494" w14:textId="77777777" w:rsidTr="00D95A57">
        <w:trPr>
          <w:trHeight w:val="567"/>
        </w:trPr>
        <w:tc>
          <w:tcPr>
            <w:tcW w:w="1725" w:type="pct"/>
            <w:tcBorders>
              <w:top w:val="single" w:sz="4" w:space="0" w:color="auto"/>
              <w:left w:val="nil"/>
              <w:bottom w:val="nil"/>
              <w:right w:val="nil"/>
            </w:tcBorders>
            <w:shd w:val="clear" w:color="auto" w:fill="auto"/>
            <w:noWrap/>
            <w:vAlign w:val="center"/>
          </w:tcPr>
          <w:p w14:paraId="1B33E05D"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ELPD_diff</w:t>
            </w:r>
          </w:p>
        </w:tc>
        <w:tc>
          <w:tcPr>
            <w:tcW w:w="819" w:type="pct"/>
            <w:tcBorders>
              <w:top w:val="single" w:sz="4" w:space="0" w:color="auto"/>
              <w:left w:val="nil"/>
              <w:bottom w:val="nil"/>
              <w:right w:val="nil"/>
            </w:tcBorders>
            <w:shd w:val="clear" w:color="auto" w:fill="auto"/>
            <w:noWrap/>
            <w:vAlign w:val="center"/>
          </w:tcPr>
          <w:p w14:paraId="303321C2"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-45.7</w:t>
            </w:r>
          </w:p>
        </w:tc>
        <w:tc>
          <w:tcPr>
            <w:tcW w:w="819" w:type="pct"/>
            <w:tcBorders>
              <w:top w:val="single" w:sz="4" w:space="0" w:color="auto"/>
              <w:left w:val="nil"/>
              <w:bottom w:val="nil"/>
              <w:right w:val="nil"/>
            </w:tcBorders>
            <w:shd w:val="clear" w:color="auto" w:fill="auto"/>
            <w:noWrap/>
            <w:vAlign w:val="center"/>
          </w:tcPr>
          <w:p w14:paraId="34A2DE61"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-40.4</w:t>
            </w:r>
          </w:p>
        </w:tc>
        <w:tc>
          <w:tcPr>
            <w:tcW w:w="819" w:type="pct"/>
            <w:tcBorders>
              <w:top w:val="single" w:sz="4" w:space="0" w:color="auto"/>
              <w:left w:val="nil"/>
              <w:bottom w:val="nil"/>
              <w:right w:val="nil"/>
            </w:tcBorders>
            <w:shd w:val="clear" w:color="auto" w:fill="auto"/>
            <w:noWrap/>
            <w:vAlign w:val="center"/>
          </w:tcPr>
          <w:p w14:paraId="6739ECFA"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-3.0</w:t>
            </w:r>
          </w:p>
        </w:tc>
        <w:tc>
          <w:tcPr>
            <w:tcW w:w="819" w:type="pct"/>
            <w:tcBorders>
              <w:top w:val="single" w:sz="4" w:space="0" w:color="auto"/>
              <w:left w:val="nil"/>
              <w:bottom w:val="nil"/>
              <w:right w:val="nil"/>
            </w:tcBorders>
            <w:shd w:val="clear" w:color="auto" w:fill="auto"/>
            <w:noWrap/>
            <w:vAlign w:val="center"/>
          </w:tcPr>
          <w:p w14:paraId="34452670"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0</w:t>
            </w:r>
          </w:p>
        </w:tc>
      </w:tr>
      <w:tr w:rsidR="00800D1F" w:rsidRPr="00E26B1B" w14:paraId="3512BBD1" w14:textId="77777777" w:rsidTr="00D95A57">
        <w:trPr>
          <w:trHeight w:val="567"/>
        </w:trPr>
        <w:tc>
          <w:tcPr>
            <w:tcW w:w="1725" w:type="pct"/>
            <w:tcBorders>
              <w:top w:val="nil"/>
              <w:left w:val="nil"/>
              <w:bottom w:val="nil"/>
              <w:right w:val="nil"/>
            </w:tcBorders>
            <w:shd w:val="clear" w:color="auto" w:fill="auto"/>
            <w:noWrap/>
            <w:vAlign w:val="center"/>
          </w:tcPr>
          <w:p w14:paraId="48198CF4" w14:textId="77777777" w:rsidR="00800D1F"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SE_diff</w:t>
            </w:r>
          </w:p>
        </w:tc>
        <w:tc>
          <w:tcPr>
            <w:tcW w:w="819" w:type="pct"/>
            <w:tcBorders>
              <w:top w:val="nil"/>
              <w:left w:val="nil"/>
              <w:bottom w:val="nil"/>
              <w:right w:val="nil"/>
            </w:tcBorders>
            <w:shd w:val="clear" w:color="auto" w:fill="auto"/>
            <w:noWrap/>
            <w:vAlign w:val="center"/>
          </w:tcPr>
          <w:p w14:paraId="174148A8"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10</w:t>
            </w:r>
          </w:p>
        </w:tc>
        <w:tc>
          <w:tcPr>
            <w:tcW w:w="819" w:type="pct"/>
            <w:tcBorders>
              <w:top w:val="nil"/>
              <w:left w:val="nil"/>
              <w:bottom w:val="nil"/>
              <w:right w:val="nil"/>
            </w:tcBorders>
            <w:shd w:val="clear" w:color="auto" w:fill="auto"/>
            <w:noWrap/>
            <w:vAlign w:val="center"/>
          </w:tcPr>
          <w:p w14:paraId="3E8D0A9B"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9.3</w:t>
            </w:r>
          </w:p>
        </w:tc>
        <w:tc>
          <w:tcPr>
            <w:tcW w:w="819" w:type="pct"/>
            <w:tcBorders>
              <w:top w:val="nil"/>
              <w:left w:val="nil"/>
              <w:bottom w:val="nil"/>
              <w:right w:val="nil"/>
            </w:tcBorders>
            <w:shd w:val="clear" w:color="auto" w:fill="auto"/>
            <w:noWrap/>
            <w:vAlign w:val="center"/>
          </w:tcPr>
          <w:p w14:paraId="43DCB147"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3.2</w:t>
            </w:r>
          </w:p>
        </w:tc>
        <w:tc>
          <w:tcPr>
            <w:tcW w:w="819" w:type="pct"/>
            <w:tcBorders>
              <w:top w:val="nil"/>
              <w:left w:val="nil"/>
              <w:bottom w:val="nil"/>
              <w:right w:val="nil"/>
            </w:tcBorders>
            <w:shd w:val="clear" w:color="auto" w:fill="auto"/>
            <w:noWrap/>
            <w:vAlign w:val="center"/>
          </w:tcPr>
          <w:p w14:paraId="0489C9E3" w14:textId="77777777" w:rsidR="00800D1F" w:rsidRPr="00E26B1B"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0</w:t>
            </w:r>
          </w:p>
        </w:tc>
      </w:tr>
      <w:tr w:rsidR="00800D1F" w:rsidRPr="00E26B1B" w14:paraId="13290978" w14:textId="77777777" w:rsidTr="00D95A57">
        <w:trPr>
          <w:trHeight w:val="567"/>
        </w:trPr>
        <w:tc>
          <w:tcPr>
            <w:tcW w:w="1725" w:type="pct"/>
            <w:tcBorders>
              <w:top w:val="nil"/>
              <w:left w:val="nil"/>
              <w:bottom w:val="single" w:sz="4" w:space="0" w:color="auto"/>
              <w:right w:val="nil"/>
            </w:tcBorders>
            <w:shd w:val="clear" w:color="auto" w:fill="auto"/>
            <w:noWrap/>
            <w:vAlign w:val="center"/>
          </w:tcPr>
          <w:p w14:paraId="2ABC1D2A" w14:textId="77777777" w:rsidR="00800D1F"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ELPD_diff&lt;6*SE_diff</w:t>
            </w:r>
          </w:p>
        </w:tc>
        <w:tc>
          <w:tcPr>
            <w:tcW w:w="819" w:type="pct"/>
            <w:tcBorders>
              <w:top w:val="nil"/>
              <w:left w:val="nil"/>
              <w:bottom w:val="single" w:sz="4" w:space="0" w:color="auto"/>
              <w:right w:val="nil"/>
            </w:tcBorders>
            <w:shd w:val="clear" w:color="auto" w:fill="auto"/>
            <w:noWrap/>
            <w:vAlign w:val="center"/>
          </w:tcPr>
          <w:p w14:paraId="0DB79EBD" w14:textId="77777777" w:rsidR="00800D1F"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Yes</w:t>
            </w:r>
          </w:p>
        </w:tc>
        <w:tc>
          <w:tcPr>
            <w:tcW w:w="819" w:type="pct"/>
            <w:tcBorders>
              <w:top w:val="nil"/>
              <w:left w:val="nil"/>
              <w:bottom w:val="single" w:sz="4" w:space="0" w:color="auto"/>
              <w:right w:val="nil"/>
            </w:tcBorders>
            <w:shd w:val="clear" w:color="auto" w:fill="auto"/>
            <w:noWrap/>
            <w:vAlign w:val="center"/>
          </w:tcPr>
          <w:p w14:paraId="58518144" w14:textId="77777777" w:rsidR="00800D1F"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Yes</w:t>
            </w:r>
          </w:p>
        </w:tc>
        <w:tc>
          <w:tcPr>
            <w:tcW w:w="819" w:type="pct"/>
            <w:tcBorders>
              <w:top w:val="nil"/>
              <w:left w:val="nil"/>
              <w:bottom w:val="single" w:sz="4" w:space="0" w:color="auto"/>
              <w:right w:val="nil"/>
            </w:tcBorders>
            <w:shd w:val="clear" w:color="auto" w:fill="auto"/>
            <w:noWrap/>
            <w:vAlign w:val="center"/>
          </w:tcPr>
          <w:p w14:paraId="49D8E7EB" w14:textId="77777777" w:rsidR="00800D1F"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Yes</w:t>
            </w:r>
          </w:p>
        </w:tc>
        <w:tc>
          <w:tcPr>
            <w:tcW w:w="819" w:type="pct"/>
            <w:tcBorders>
              <w:top w:val="nil"/>
              <w:left w:val="nil"/>
              <w:bottom w:val="single" w:sz="4" w:space="0" w:color="auto"/>
              <w:right w:val="nil"/>
            </w:tcBorders>
            <w:shd w:val="clear" w:color="auto" w:fill="auto"/>
            <w:noWrap/>
            <w:vAlign w:val="center"/>
          </w:tcPr>
          <w:p w14:paraId="2145F086" w14:textId="77777777" w:rsidR="00800D1F" w:rsidRDefault="00800D1F" w:rsidP="00D95A57">
            <w:pPr>
              <w:spacing w:after="0" w:line="240" w:lineRule="auto"/>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Yes</w:t>
            </w:r>
          </w:p>
        </w:tc>
      </w:tr>
    </w:tbl>
    <w:p w14:paraId="285CEA55" w14:textId="77777777" w:rsidR="00800D1F" w:rsidRDefault="00800D1F" w:rsidP="00800D1F"/>
    <w:p w14:paraId="0F967907" w14:textId="77777777" w:rsidR="00800D1F" w:rsidRDefault="00800D1F" w:rsidP="00800D1F"/>
    <w:p w14:paraId="1AADB339" w14:textId="77777777" w:rsidR="00800D1F" w:rsidRDefault="00800D1F" w:rsidP="00800D1F">
      <w:r w:rsidRPr="00AB0FE4">
        <w:rPr>
          <w:noProof/>
        </w:rPr>
        <w:lastRenderedPageBreak/>
        <w:drawing>
          <wp:inline distT="0" distB="0" distL="0" distR="0" wp14:anchorId="168F9F75" wp14:editId="1EE50833">
            <wp:extent cx="5731510" cy="2870208"/>
            <wp:effectExtent l="0" t="0" r="254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2870208"/>
                    </a:xfrm>
                    <a:prstGeom prst="rect">
                      <a:avLst/>
                    </a:prstGeom>
                  </pic:spPr>
                </pic:pic>
              </a:graphicData>
            </a:graphic>
          </wp:inline>
        </w:drawing>
      </w:r>
    </w:p>
    <w:p w14:paraId="14C15598" w14:textId="77777777" w:rsidR="00800D1F" w:rsidRDefault="00800D1F" w:rsidP="00800D1F"/>
    <w:p w14:paraId="57FD716C" w14:textId="77777777" w:rsidR="00800D1F" w:rsidRDefault="00800D1F" w:rsidP="00800D1F">
      <w:r w:rsidRPr="00173B99">
        <w:rPr>
          <w:b/>
          <w:bCs/>
        </w:rPr>
        <w:t>Extended Data Figure 1.</w:t>
      </w:r>
      <w:r w:rsidRPr="001B7BE5">
        <w:t xml:space="preserve"> </w:t>
      </w:r>
      <w:r>
        <w:t xml:space="preserve">Comparison of coefficients across partitioned data. To facilitate comparison, all coefficients were calculated for each group (e.g. intercept for epiphyte.tropical = Intercept + lifeformepiphyte + climtropical from Extended Data Table 1). </w:t>
      </w:r>
    </w:p>
    <w:p w14:paraId="30F527D5" w14:textId="77777777" w:rsidR="00800D1F" w:rsidRDefault="00800D1F" w:rsidP="00800D1F"/>
    <w:p w14:paraId="4805E9EC" w14:textId="77777777" w:rsidR="00800D1F" w:rsidRDefault="00800D1F" w:rsidP="00800D1F">
      <w:r>
        <w:rPr>
          <w:noProof/>
        </w:rPr>
        <w:lastRenderedPageBreak/>
        <w:drawing>
          <wp:anchor distT="0" distB="0" distL="114300" distR="114300" simplePos="0" relativeHeight="251661312" behindDoc="0" locked="0" layoutInCell="1" allowOverlap="1" wp14:anchorId="537844F3" wp14:editId="47F9EF80">
            <wp:simplePos x="0" y="0"/>
            <wp:positionH relativeFrom="margin">
              <wp:posOffset>320040</wp:posOffset>
            </wp:positionH>
            <wp:positionV relativeFrom="paragraph">
              <wp:posOffset>71120</wp:posOffset>
            </wp:positionV>
            <wp:extent cx="5121275" cy="6050280"/>
            <wp:effectExtent l="0" t="0" r="3175" b="762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121275" cy="6050280"/>
                    </a:xfrm>
                    <a:prstGeom prst="rect">
                      <a:avLst/>
                    </a:prstGeom>
                  </pic:spPr>
                </pic:pic>
              </a:graphicData>
            </a:graphic>
            <wp14:sizeRelH relativeFrom="margin">
              <wp14:pctWidth>0</wp14:pctWidth>
            </wp14:sizeRelH>
            <wp14:sizeRelV relativeFrom="margin">
              <wp14:pctHeight>0</wp14:pctHeight>
            </wp14:sizeRelV>
          </wp:anchor>
        </w:drawing>
      </w:r>
    </w:p>
    <w:p w14:paraId="25EBF0E2" w14:textId="77777777" w:rsidR="00800D1F" w:rsidRDefault="00800D1F" w:rsidP="00800D1F">
      <w:r w:rsidRPr="00173B99">
        <w:rPr>
          <w:b/>
          <w:bCs/>
        </w:rPr>
        <w:t>Extended Data Figure 2.</w:t>
      </w:r>
      <w:r>
        <w:t xml:space="preserve"> The </w:t>
      </w:r>
      <w:r w:rsidRPr="00507F34">
        <w:t xml:space="preserve">numbers (a) and proportions (b) of </w:t>
      </w:r>
      <w:r>
        <w:t xml:space="preserve">species described and assessed per year, partitioned by climate. Although temperate species are less likely to have a global Red List Assessment, the increase in the proportion of threatened species (mid-grey) is clear in both climatic zones, so our results are not driven by tropical species alone.  </w:t>
      </w:r>
    </w:p>
    <w:p w14:paraId="6784C206" w14:textId="77777777" w:rsidR="00800D1F" w:rsidRDefault="00800D1F" w:rsidP="00800D1F">
      <w:r>
        <w:br w:type="page"/>
      </w:r>
    </w:p>
    <w:p w14:paraId="6B145BA9" w14:textId="77777777" w:rsidR="00800D1F" w:rsidRDefault="00800D1F" w:rsidP="00800D1F">
      <w:r w:rsidRPr="00212639">
        <w:rPr>
          <w:noProof/>
        </w:rPr>
        <w:lastRenderedPageBreak/>
        <w:drawing>
          <wp:anchor distT="0" distB="0" distL="114300" distR="114300" simplePos="0" relativeHeight="251659264" behindDoc="0" locked="0" layoutInCell="1" allowOverlap="1" wp14:anchorId="5A65D771" wp14:editId="1006F101">
            <wp:simplePos x="0" y="0"/>
            <wp:positionH relativeFrom="column">
              <wp:posOffset>198120</wp:posOffset>
            </wp:positionH>
            <wp:positionV relativeFrom="paragraph">
              <wp:posOffset>285750</wp:posOffset>
            </wp:positionV>
            <wp:extent cx="3422015" cy="2286635"/>
            <wp:effectExtent l="0" t="0" r="6985"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22015" cy="2286635"/>
                    </a:xfrm>
                    <a:prstGeom prst="rect">
                      <a:avLst/>
                    </a:prstGeom>
                  </pic:spPr>
                </pic:pic>
              </a:graphicData>
            </a:graphic>
            <wp14:sizeRelH relativeFrom="page">
              <wp14:pctWidth>0</wp14:pctWidth>
            </wp14:sizeRelH>
            <wp14:sizeRelV relativeFrom="page">
              <wp14:pctHeight>0</wp14:pctHeight>
            </wp14:sizeRelV>
          </wp:anchor>
        </w:drawing>
      </w:r>
    </w:p>
    <w:p w14:paraId="070D496D" w14:textId="77777777" w:rsidR="00800D1F" w:rsidRDefault="00800D1F" w:rsidP="00800D1F"/>
    <w:p w14:paraId="23C684C9" w14:textId="77777777" w:rsidR="00800D1F" w:rsidRDefault="00800D1F" w:rsidP="00800D1F">
      <w:r w:rsidRPr="00173B99">
        <w:rPr>
          <w:b/>
          <w:bCs/>
          <w:noProof/>
        </w:rPr>
        <w:drawing>
          <wp:anchor distT="0" distB="0" distL="114300" distR="114300" simplePos="0" relativeHeight="251660288" behindDoc="0" locked="0" layoutInCell="1" allowOverlap="1" wp14:anchorId="75587CDD" wp14:editId="5EBB31C1">
            <wp:simplePos x="0" y="0"/>
            <wp:positionH relativeFrom="column">
              <wp:posOffset>193675</wp:posOffset>
            </wp:positionH>
            <wp:positionV relativeFrom="paragraph">
              <wp:posOffset>1013460</wp:posOffset>
            </wp:positionV>
            <wp:extent cx="3404870" cy="2275205"/>
            <wp:effectExtent l="0" t="0" r="5080"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04870" cy="2275205"/>
                    </a:xfrm>
                    <a:prstGeom prst="rect">
                      <a:avLst/>
                    </a:prstGeom>
                  </pic:spPr>
                </pic:pic>
              </a:graphicData>
            </a:graphic>
            <wp14:sizeRelH relativeFrom="page">
              <wp14:pctWidth>0</wp14:pctWidth>
            </wp14:sizeRelH>
            <wp14:sizeRelV relativeFrom="page">
              <wp14:pctHeight>0</wp14:pctHeight>
            </wp14:sizeRelV>
          </wp:anchor>
        </w:drawing>
      </w:r>
      <w:r w:rsidRPr="00173B99">
        <w:rPr>
          <w:b/>
          <w:bCs/>
        </w:rPr>
        <w:t>Extended Data Figure 3.</w:t>
      </w:r>
      <w:r w:rsidRPr="00173B99">
        <w:t xml:space="preserve"> </w:t>
      </w:r>
      <w:r>
        <w:t xml:space="preserve">Proportion of species that have been assessed by year of description as raw values (histogram) and smoothed trend (line shows generalised additive model fit, ribbon shows SE). Although there is a slight downwards trend (fewer recently described species have been assessed), there is no strong overall bias, and the drop-off after 2010 is likely due to the lag between description and assessment. </w:t>
      </w:r>
    </w:p>
    <w:p w14:paraId="11E0D09D" w14:textId="77777777" w:rsidR="00800D1F" w:rsidRDefault="00800D1F" w:rsidP="00800D1F"/>
    <w:p w14:paraId="78AFD659" w14:textId="77777777" w:rsidR="00800D1F" w:rsidRDefault="00800D1F" w:rsidP="00800D1F">
      <w:r w:rsidRPr="00173B99">
        <w:rPr>
          <w:b/>
          <w:bCs/>
        </w:rPr>
        <w:t>Extended Data Figure 4</w:t>
      </w:r>
      <w:r>
        <w:t xml:space="preserve">. Proportion of species that are endemic to a single botanical country (World Geographic Scheme for Recording Plant Distributions) by year of description as raw values (histogram) and smoothed trend (line shows generalised additive model fit, ribbon shows SE). Overall, 56% of species are endemic to a single botanical country (red dotted line), but this proportion is much higher for newly described (and undescribed) species. </w:t>
      </w:r>
    </w:p>
    <w:p w14:paraId="0CBF00D5" w14:textId="77777777" w:rsidR="00800D1F" w:rsidRDefault="00800D1F" w:rsidP="00800D1F"/>
    <w:p w14:paraId="07A3EF0B" w14:textId="77777777" w:rsidR="001760E5" w:rsidRDefault="00800D1F"/>
    <w:sectPr w:rsidR="001760E5" w:rsidSect="005F3769">
      <w:footerReference w:type="default" r:id="rId8"/>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38991143"/>
      <w:docPartObj>
        <w:docPartGallery w:val="Page Numbers (Bottom of Page)"/>
        <w:docPartUnique/>
      </w:docPartObj>
    </w:sdtPr>
    <w:sdtEndPr>
      <w:rPr>
        <w:noProof/>
      </w:rPr>
    </w:sdtEndPr>
    <w:sdtContent>
      <w:p w14:paraId="4E70A289" w14:textId="77777777" w:rsidR="005F3769" w:rsidRDefault="00800D1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2185169" w14:textId="77777777" w:rsidR="005F3769" w:rsidRDefault="00800D1F">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D1F"/>
    <w:rsid w:val="006E225C"/>
    <w:rsid w:val="00800D1F"/>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A7975"/>
  <w15:chartTrackingRefBased/>
  <w15:docId w15:val="{866FD7B0-9808-4BE7-9E54-63C9ED022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D1F"/>
    <w:rPr>
      <w:lang w:val="en-GB"/>
    </w:rPr>
  </w:style>
  <w:style w:type="paragraph" w:styleId="Heading2">
    <w:name w:val="heading 2"/>
    <w:basedOn w:val="Normal"/>
    <w:next w:val="Normal"/>
    <w:link w:val="Heading2Char"/>
    <w:uiPriority w:val="9"/>
    <w:unhideWhenUsed/>
    <w:qFormat/>
    <w:rsid w:val="00800D1F"/>
    <w:pPr>
      <w:keepNext/>
      <w:keepLines/>
      <w:spacing w:before="40" w:after="0"/>
      <w:outlineLvl w:val="1"/>
    </w:pPr>
    <w:rPr>
      <w:rFonts w:asciiTheme="majorHAnsi" w:eastAsiaTheme="majorEastAsia" w:hAnsiTheme="majorHAnsi" w:cstheme="majorBidi"/>
      <w:b/>
      <w:bCs/>
      <w:color w:val="000000" w:themeColor="tex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00D1F"/>
    <w:rPr>
      <w:rFonts w:asciiTheme="majorHAnsi" w:eastAsiaTheme="majorEastAsia" w:hAnsiTheme="majorHAnsi" w:cstheme="majorBidi"/>
      <w:b/>
      <w:bCs/>
      <w:color w:val="000000" w:themeColor="text1"/>
      <w:sz w:val="26"/>
      <w:szCs w:val="26"/>
      <w:lang w:val="en-GB"/>
    </w:rPr>
  </w:style>
  <w:style w:type="paragraph" w:styleId="Footer">
    <w:name w:val="footer"/>
    <w:basedOn w:val="Normal"/>
    <w:link w:val="FooterChar"/>
    <w:uiPriority w:val="99"/>
    <w:unhideWhenUsed/>
    <w:rsid w:val="00800D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0D1F"/>
    <w:rPr>
      <w:lang w:val="en-GB"/>
    </w:rPr>
  </w:style>
  <w:style w:type="character" w:styleId="LineNumber">
    <w:name w:val="line number"/>
    <w:basedOn w:val="DefaultParagraphFont"/>
    <w:uiPriority w:val="99"/>
    <w:semiHidden/>
    <w:unhideWhenUsed/>
    <w:rsid w:val="00800D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412</Words>
  <Characters>2351</Characters>
  <Application>Microsoft Office Word</Application>
  <DocSecurity>0</DocSecurity>
  <Lines>19</Lines>
  <Paragraphs>5</Paragraphs>
  <ScaleCrop>false</ScaleCrop>
  <Company>Springer Nature</Company>
  <LinksUpToDate>false</LinksUpToDate>
  <CharactersWithSpaces>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2023-05-22T06:08:00Z</dcterms:created>
  <dcterms:modified xsi:type="dcterms:W3CDTF">2023-05-22T06:08:00Z</dcterms:modified>
</cp:coreProperties>
</file>