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590C" w14:textId="3E9F72F6" w:rsidR="00AF48DC" w:rsidRPr="00AF48DC" w:rsidRDefault="00AF48DC" w:rsidP="00BE152B">
      <w:pPr>
        <w:spacing w:line="480" w:lineRule="auto"/>
        <w:rPr>
          <w:b/>
          <w:sz w:val="24"/>
          <w:szCs w:val="24"/>
        </w:rPr>
      </w:pPr>
      <w:r w:rsidRPr="00AF48DC">
        <w:rPr>
          <w:b/>
          <w:sz w:val="24"/>
          <w:szCs w:val="24"/>
        </w:rPr>
        <w:t>Supplementary figure legends</w:t>
      </w:r>
      <w:r w:rsidR="00DA6F44">
        <w:rPr>
          <w:b/>
          <w:sz w:val="24"/>
          <w:szCs w:val="24"/>
        </w:rPr>
        <w:t xml:space="preserve"> </w:t>
      </w:r>
    </w:p>
    <w:p w14:paraId="0E66DECB" w14:textId="0BBF384E" w:rsidR="00166AC5" w:rsidRPr="00BE152B" w:rsidRDefault="00AF48DC" w:rsidP="00BE152B">
      <w:pPr>
        <w:spacing w:line="480" w:lineRule="auto"/>
        <w:rPr>
          <w:rFonts w:hint="eastAsia"/>
          <w:b/>
          <w:bCs/>
          <w:color w:val="000000"/>
          <w:sz w:val="20"/>
          <w:szCs w:val="20"/>
        </w:rPr>
      </w:pPr>
      <w:r w:rsidRPr="00DA6F44">
        <w:rPr>
          <w:rFonts w:hint="eastAsia"/>
          <w:b/>
          <w:bCs/>
          <w:color w:val="000000"/>
          <w:sz w:val="20"/>
          <w:szCs w:val="20"/>
        </w:rPr>
        <w:t>Fig</w:t>
      </w:r>
      <w:r w:rsidRPr="00DA6F44">
        <w:rPr>
          <w:b/>
          <w:bCs/>
          <w:color w:val="000000"/>
          <w:sz w:val="20"/>
          <w:szCs w:val="20"/>
        </w:rPr>
        <w:t xml:space="preserve">. S1. Glycolysis is involved in SOX2-induced </w:t>
      </w:r>
      <w:r w:rsidRPr="00DA6F44">
        <w:rPr>
          <w:b/>
          <w:bCs/>
          <w:sz w:val="20"/>
          <w:szCs w:val="20"/>
        </w:rPr>
        <w:t>vasculogenic mimicry</w:t>
      </w:r>
      <w:r w:rsidRPr="00DA6F44">
        <w:rPr>
          <w:b/>
          <w:bCs/>
          <w:color w:val="000000"/>
          <w:sz w:val="20"/>
          <w:szCs w:val="20"/>
        </w:rPr>
        <w:t xml:space="preserve"> in CRC cells.</w:t>
      </w:r>
      <w:r w:rsidRPr="00DA6F44">
        <w:rPr>
          <w:rFonts w:hint="eastAsia"/>
          <w:b/>
          <w:bCs/>
          <w:color w:val="000000"/>
          <w:sz w:val="20"/>
          <w:szCs w:val="20"/>
        </w:rPr>
        <w:t xml:space="preserve"> </w:t>
      </w:r>
    </w:p>
    <w:p w14:paraId="20BA2483" w14:textId="6B5CD488" w:rsidR="00AF48DC" w:rsidRPr="00AF48DC" w:rsidRDefault="00AF48DC" w:rsidP="00BE152B">
      <w:pPr>
        <w:spacing w:line="480" w:lineRule="auto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a,</w:t>
      </w:r>
      <w:r w:rsidRPr="00AF48DC">
        <w:rPr>
          <w:sz w:val="20"/>
          <w:szCs w:val="20"/>
        </w:rPr>
        <w:t xml:space="preserve"> Scattergram of GO enrichment analysis for differentially expressed genes (DEGs, FDR &lt; 0.05) in HCT116 cells after transfection with SOX2 clones. </w:t>
      </w:r>
      <w:r>
        <w:rPr>
          <w:b/>
          <w:bCs/>
          <w:sz w:val="20"/>
          <w:szCs w:val="20"/>
        </w:rPr>
        <w:t>b,</w:t>
      </w:r>
      <w:r w:rsidRPr="00AF48DC">
        <w:rPr>
          <w:sz w:val="20"/>
          <w:szCs w:val="20"/>
        </w:rPr>
        <w:t xml:space="preserve"> HCT116 and SW620 cells were transfected with a SOX2 clone or SOX2 shRNA for 48 h.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was performed to analyze the expression of the indicated molecules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t-test).</w:t>
      </w:r>
      <w:r w:rsidRPr="00AF48DC">
        <w:rPr>
          <w:rFonts w:hint="eastAsia"/>
          <w:color w:val="00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c,</w:t>
      </w:r>
      <w:r w:rsidRPr="00AF48DC">
        <w:rPr>
          <w:sz w:val="20"/>
          <w:szCs w:val="20"/>
        </w:rPr>
        <w:t xml:space="preserve"> HCT116 and SW620 cells were transfected with SOX2 clone or SOX2 shRNA for 72 h, then treated with 2-DG (3 mM) for 24 h. </w:t>
      </w:r>
      <w:proofErr w:type="spellStart"/>
      <w:r w:rsidRPr="00AF48DC">
        <w:rPr>
          <w:sz w:val="20"/>
          <w:szCs w:val="20"/>
        </w:rPr>
        <w:t>Transwell</w:t>
      </w:r>
      <w:proofErr w:type="spellEnd"/>
      <w:r w:rsidRPr="00AF48DC">
        <w:rPr>
          <w:sz w:val="20"/>
          <w:szCs w:val="20"/>
        </w:rPr>
        <w:t xml:space="preserve"> migration assays w</w:t>
      </w:r>
      <w:r w:rsidRPr="00AF48DC">
        <w:rPr>
          <w:rFonts w:hint="eastAsia"/>
          <w:sz w:val="20"/>
          <w:szCs w:val="20"/>
        </w:rPr>
        <w:t>ere</w:t>
      </w:r>
      <w:r w:rsidRPr="00AF48DC">
        <w:rPr>
          <w:sz w:val="20"/>
          <w:szCs w:val="20"/>
        </w:rPr>
        <w:t xml:space="preserve"> performed to assess the migratory ability of the indicated cells (</w:t>
      </w:r>
      <w:r w:rsidRPr="00AF48DC">
        <w:rPr>
          <w:rFonts w:hint="eastAsia"/>
          <w:sz w:val="20"/>
          <w:szCs w:val="20"/>
        </w:rPr>
        <w:t>Scale</w:t>
      </w:r>
      <w:r w:rsidRPr="00AF48DC">
        <w:rPr>
          <w:sz w:val="20"/>
          <w:szCs w:val="20"/>
        </w:rPr>
        <w:t>, 200</w:t>
      </w:r>
      <w:r w:rsidRPr="00AF48DC">
        <w:rPr>
          <w:rFonts w:hint="eastAsia"/>
          <w:sz w:val="20"/>
          <w:szCs w:val="20"/>
        </w:rPr>
        <w:t>μ</w:t>
      </w:r>
      <w:r w:rsidRPr="00AF48DC">
        <w:rPr>
          <w:rFonts w:hint="eastAsia"/>
          <w:sz w:val="20"/>
          <w:szCs w:val="20"/>
        </w:rPr>
        <w:t>m</w:t>
      </w:r>
      <w:r w:rsidRPr="00AF48DC">
        <w:rPr>
          <w:sz w:val="20"/>
          <w:szCs w:val="20"/>
        </w:rPr>
        <w:t xml:space="preserve">; 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t-test). </w:t>
      </w:r>
      <w:r>
        <w:rPr>
          <w:b/>
          <w:bCs/>
          <w:sz w:val="20"/>
          <w:szCs w:val="20"/>
        </w:rPr>
        <w:t>d,</w:t>
      </w:r>
      <w:r w:rsidRPr="00AF48DC">
        <w:rPr>
          <w:sz w:val="20"/>
          <w:szCs w:val="20"/>
        </w:rPr>
        <w:t xml:space="preserve"> Western blotting was performed to analyze the indicated proteins in SOX2-overexpressing HCT116 and SOX2-knockdown SW620 xenografts. </w:t>
      </w:r>
      <w:r w:rsidRPr="00AF48DC">
        <w:rPr>
          <w:bCs/>
          <w:color w:val="000000"/>
          <w:sz w:val="20"/>
          <w:szCs w:val="20"/>
        </w:rPr>
        <w:t>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0.05, 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0.01, 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0.001 and ****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0.0001.</w:t>
      </w:r>
      <w:r w:rsidR="00DA6F44">
        <w:rPr>
          <w:bCs/>
          <w:color w:val="000000"/>
          <w:sz w:val="20"/>
          <w:szCs w:val="20"/>
        </w:rPr>
        <w:t xml:space="preserve"> </w:t>
      </w:r>
    </w:p>
    <w:p w14:paraId="4E6F69BA" w14:textId="77777777" w:rsidR="00BE152B" w:rsidRDefault="00AF48DC" w:rsidP="00BE152B">
      <w:pPr>
        <w:widowControl/>
        <w:spacing w:line="480" w:lineRule="auto"/>
        <w:jc w:val="left"/>
        <w:rPr>
          <w:b/>
          <w:bCs/>
          <w:sz w:val="20"/>
          <w:szCs w:val="20"/>
        </w:rPr>
      </w:pPr>
      <w:r w:rsidRPr="00DA6F44">
        <w:rPr>
          <w:rFonts w:hint="eastAsia"/>
          <w:b/>
          <w:bCs/>
          <w:color w:val="000000"/>
          <w:sz w:val="20"/>
          <w:szCs w:val="20"/>
        </w:rPr>
        <w:t>Fig</w:t>
      </w:r>
      <w:r w:rsidRPr="00DA6F44">
        <w:rPr>
          <w:b/>
          <w:bCs/>
          <w:color w:val="000000"/>
          <w:sz w:val="20"/>
          <w:szCs w:val="20"/>
        </w:rPr>
        <w:t>. S2. The efficacy of genes transfection</w:t>
      </w:r>
      <w:r w:rsidRPr="00DA6F44">
        <w:rPr>
          <w:rFonts w:hint="eastAsia"/>
          <w:b/>
          <w:bCs/>
          <w:color w:val="000000"/>
          <w:sz w:val="20"/>
          <w:szCs w:val="20"/>
        </w:rPr>
        <w:t>.</w:t>
      </w:r>
      <w:r w:rsidRPr="00DA6F44">
        <w:rPr>
          <w:rFonts w:hint="eastAsia"/>
          <w:b/>
          <w:bCs/>
          <w:sz w:val="20"/>
          <w:szCs w:val="20"/>
        </w:rPr>
        <w:t xml:space="preserve"> </w:t>
      </w:r>
    </w:p>
    <w:p w14:paraId="38E4BE70" w14:textId="0B015D92" w:rsidR="00AF48DC" w:rsidRPr="00BE152B" w:rsidRDefault="00AF48DC" w:rsidP="00BE152B">
      <w:pPr>
        <w:widowControl/>
        <w:spacing w:line="480" w:lineRule="auto"/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a</w:t>
      </w:r>
      <w:r w:rsidRPr="00AF48DC">
        <w:rPr>
          <w:b/>
          <w:bCs/>
          <w:sz w:val="20"/>
          <w:szCs w:val="20"/>
        </w:rPr>
        <w:t xml:space="preserve"> </w:t>
      </w:r>
      <w:r w:rsidRPr="00AF48DC">
        <w:rPr>
          <w:sz w:val="20"/>
          <w:szCs w:val="20"/>
        </w:rPr>
        <w:t>and</w:t>
      </w:r>
      <w:r w:rsidRPr="00AF48D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b,</w:t>
      </w:r>
      <w:r w:rsidRPr="00AF48DC">
        <w:rPr>
          <w:sz w:val="20"/>
          <w:szCs w:val="20"/>
        </w:rPr>
        <w:t xml:space="preserve"> Overexpression or knockdown of AC005392.2 w</w:t>
      </w:r>
      <w:r w:rsidRPr="00AF48DC">
        <w:rPr>
          <w:rFonts w:hint="eastAsia"/>
          <w:sz w:val="20"/>
          <w:szCs w:val="20"/>
        </w:rPr>
        <w:t>as</w:t>
      </w:r>
      <w:r w:rsidRPr="00AF48DC">
        <w:rPr>
          <w:sz w:val="20"/>
          <w:szCs w:val="20"/>
        </w:rPr>
        <w:t xml:space="preserve"> performed in HCT116 (</w:t>
      </w:r>
      <w:r>
        <w:rPr>
          <w:sz w:val="20"/>
          <w:szCs w:val="20"/>
        </w:rPr>
        <w:t>a</w:t>
      </w:r>
      <w:r w:rsidRPr="00AF48DC">
        <w:rPr>
          <w:sz w:val="20"/>
          <w:szCs w:val="20"/>
        </w:rPr>
        <w:t>) or SW620 (</w:t>
      </w:r>
      <w:r>
        <w:rPr>
          <w:sz w:val="20"/>
          <w:szCs w:val="20"/>
        </w:rPr>
        <w:t>b</w:t>
      </w:r>
      <w:r w:rsidRPr="00AF48DC">
        <w:rPr>
          <w:sz w:val="20"/>
          <w:szCs w:val="20"/>
        </w:rPr>
        <w:t xml:space="preserve">) cells transfected with SOX2 clone or SOX2 shRNA. Gene transfection efficacy was evaluated using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 or western blotting. </w:t>
      </w:r>
      <w:r>
        <w:rPr>
          <w:b/>
          <w:bCs/>
          <w:sz w:val="20"/>
          <w:szCs w:val="20"/>
        </w:rPr>
        <w:t>c,</w:t>
      </w:r>
      <w:r w:rsidRPr="00AF48DC">
        <w:rPr>
          <w:sz w:val="20"/>
          <w:szCs w:val="20"/>
        </w:rPr>
        <w:t xml:space="preserve"> HCT116 and SW620 cells were transfected with AC005392.2 clone or AC005392.2 siRNA for 48 h. The expression of AC005392.2 was assessed by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</w:t>
      </w:r>
      <w:r w:rsidRPr="00AF48DC">
        <w:rPr>
          <w:sz w:val="20"/>
          <w:szCs w:val="20"/>
        </w:rPr>
        <w:lastRenderedPageBreak/>
        <w:t xml:space="preserve">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t-test). </w:t>
      </w:r>
      <w:r>
        <w:rPr>
          <w:b/>
          <w:bCs/>
          <w:sz w:val="20"/>
          <w:szCs w:val="20"/>
        </w:rPr>
        <w:t>d,</w:t>
      </w:r>
      <w:r w:rsidRPr="00AF48DC">
        <w:rPr>
          <w:sz w:val="20"/>
          <w:szCs w:val="20"/>
        </w:rPr>
        <w:t xml:space="preserve"> Overexpression or knockdown of SUMO1 was conducted in HCT116 or SW620 cells transfected with AC005392.2 clone or AC005392.2 shRNA. Gene transfection efficacy was evaluated by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 or western blotting at 48 h and 72 h after transfection, respectively. </w:t>
      </w:r>
      <w:r>
        <w:rPr>
          <w:b/>
          <w:bCs/>
          <w:sz w:val="20"/>
          <w:szCs w:val="20"/>
        </w:rPr>
        <w:t>e,</w:t>
      </w:r>
      <w:r w:rsidRPr="00AF48DC">
        <w:rPr>
          <w:sz w:val="20"/>
          <w:szCs w:val="20"/>
        </w:rPr>
        <w:t xml:space="preserve"> HCT116 and SW620 cells were transfected with GLUT1 clone or GLUT1 siRNA. The expression of GLUT1 was assessed at 48 h and 72 h by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 or western blotting, respectively.</w:t>
      </w:r>
      <w:r w:rsidRPr="00AF48DC">
        <w:rPr>
          <w:rFonts w:hint="eastAsia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f,</w:t>
      </w:r>
      <w:r w:rsidRPr="00AF48DC">
        <w:rPr>
          <w:sz w:val="20"/>
          <w:szCs w:val="20"/>
        </w:rPr>
        <w:t xml:space="preserve"> Overexpression or knockdown of GLUT1 was conducted in HCT116 or SW620 cells transfected with SOX2 clone or SOX2 shRNA. Gene transfection efficacy was evaluated by </w:t>
      </w:r>
      <w:proofErr w:type="spellStart"/>
      <w:r w:rsidRPr="00AF48DC">
        <w:rPr>
          <w:sz w:val="20"/>
          <w:szCs w:val="20"/>
        </w:rPr>
        <w:t>qRT</w:t>
      </w:r>
      <w:proofErr w:type="spellEnd"/>
      <w:r w:rsidRPr="00AF48DC">
        <w:rPr>
          <w:sz w:val="20"/>
          <w:szCs w:val="20"/>
        </w:rPr>
        <w:t xml:space="preserve">-PCR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 or western blotting. </w:t>
      </w:r>
      <w:r w:rsidRPr="00AF48DC">
        <w:rPr>
          <w:bCs/>
          <w:color w:val="000000"/>
          <w:sz w:val="20"/>
          <w:szCs w:val="20"/>
        </w:rPr>
        <w:t>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0.05, 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0.01, 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0.001 and ****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0.0001.</w:t>
      </w:r>
      <w:r w:rsidR="00DA6F44">
        <w:rPr>
          <w:bCs/>
          <w:color w:val="000000"/>
          <w:sz w:val="20"/>
          <w:szCs w:val="20"/>
        </w:rPr>
        <w:t xml:space="preserve"> </w:t>
      </w:r>
    </w:p>
    <w:p w14:paraId="7478C350" w14:textId="72AEBCFA" w:rsidR="00BE152B" w:rsidRPr="00BE152B" w:rsidRDefault="00AF48DC" w:rsidP="00BE152B">
      <w:pPr>
        <w:widowControl/>
        <w:spacing w:line="480" w:lineRule="auto"/>
        <w:jc w:val="left"/>
        <w:rPr>
          <w:bCs/>
          <w:color w:val="000000"/>
          <w:sz w:val="20"/>
          <w:szCs w:val="20"/>
        </w:rPr>
      </w:pPr>
      <w:r w:rsidRPr="00DA6F44">
        <w:rPr>
          <w:b/>
          <w:bCs/>
          <w:color w:val="000000"/>
          <w:sz w:val="20"/>
          <w:szCs w:val="20"/>
        </w:rPr>
        <w:t>Fig. S3. GLUT1 is involved in CRC glycolysis and vasculogenic mimicry.</w:t>
      </w:r>
      <w:r w:rsidR="00DA6F44" w:rsidRPr="00DA6F44">
        <w:rPr>
          <w:b/>
          <w:bCs/>
          <w:color w:val="000000"/>
          <w:sz w:val="20"/>
          <w:szCs w:val="20"/>
        </w:rPr>
        <w:t xml:space="preserve"> </w:t>
      </w:r>
    </w:p>
    <w:p w14:paraId="7688AFB8" w14:textId="6FF711F4" w:rsidR="0043198C" w:rsidRPr="00BE152B" w:rsidRDefault="00AF48DC" w:rsidP="00BE152B">
      <w:pPr>
        <w:spacing w:line="48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</w:t>
      </w:r>
      <w:r w:rsidRPr="00AF48DC">
        <w:rPr>
          <w:color w:val="000000"/>
          <w:sz w:val="20"/>
          <w:szCs w:val="20"/>
        </w:rPr>
        <w:t xml:space="preserve"> and </w:t>
      </w:r>
      <w:r>
        <w:rPr>
          <w:b/>
          <w:bCs/>
          <w:color w:val="000000"/>
          <w:sz w:val="20"/>
          <w:szCs w:val="20"/>
        </w:rPr>
        <w:t>b,</w:t>
      </w:r>
      <w:r w:rsidRPr="00AF48DC">
        <w:rPr>
          <w:color w:val="000000"/>
          <w:sz w:val="20"/>
          <w:szCs w:val="20"/>
        </w:rPr>
        <w:t xml:space="preserve"> </w:t>
      </w:r>
      <w:r w:rsidRPr="00AF48DC">
        <w:rPr>
          <w:sz w:val="20"/>
          <w:szCs w:val="20"/>
        </w:rPr>
        <w:t xml:space="preserve">HCT116 and SW620 cells </w:t>
      </w:r>
      <w:r w:rsidRPr="00AF48DC">
        <w:rPr>
          <w:rFonts w:hint="eastAsia"/>
          <w:sz w:val="20"/>
          <w:szCs w:val="20"/>
        </w:rPr>
        <w:t>were</w:t>
      </w:r>
      <w:r w:rsidRPr="00AF48DC">
        <w:rPr>
          <w:sz w:val="20"/>
          <w:szCs w:val="20"/>
        </w:rPr>
        <w:t xml:space="preserve"> transfected with a GLUT1 clone or GLUT1 siRNA for 72 h. </w:t>
      </w:r>
      <w:r w:rsidRPr="00AF48DC">
        <w:rPr>
          <w:color w:val="000000"/>
          <w:sz w:val="20"/>
          <w:szCs w:val="20"/>
        </w:rPr>
        <w:t>The effect of GLUT1 on glucose consumption (</w:t>
      </w:r>
      <w:r>
        <w:rPr>
          <w:color w:val="000000"/>
          <w:sz w:val="20"/>
          <w:szCs w:val="20"/>
        </w:rPr>
        <w:t>a</w:t>
      </w:r>
      <w:r w:rsidRPr="00AF48DC">
        <w:rPr>
          <w:color w:val="000000"/>
          <w:sz w:val="20"/>
          <w:szCs w:val="20"/>
        </w:rPr>
        <w:t>) and lactate production (</w:t>
      </w:r>
      <w:r>
        <w:rPr>
          <w:color w:val="000000"/>
          <w:sz w:val="20"/>
          <w:szCs w:val="20"/>
        </w:rPr>
        <w:t>b</w:t>
      </w:r>
      <w:r w:rsidRPr="00AF48DC">
        <w:rPr>
          <w:color w:val="000000"/>
          <w:sz w:val="20"/>
          <w:szCs w:val="20"/>
        </w:rPr>
        <w:t xml:space="preserve">) </w:t>
      </w:r>
      <w:r w:rsidRPr="00AF48DC">
        <w:rPr>
          <w:rFonts w:hint="eastAsia"/>
          <w:color w:val="000000"/>
          <w:sz w:val="20"/>
          <w:szCs w:val="20"/>
        </w:rPr>
        <w:t>was</w:t>
      </w:r>
      <w:r w:rsidRPr="00AF48DC">
        <w:rPr>
          <w:color w:val="000000"/>
          <w:sz w:val="20"/>
          <w:szCs w:val="20"/>
        </w:rPr>
        <w:t xml:space="preserve"> assessed using fluorescence-based kits (mean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color w:val="000000"/>
          <w:sz w:val="20"/>
          <w:szCs w:val="20"/>
        </w:rPr>
        <w:t xml:space="preserve"> Student’s t-test).</w:t>
      </w:r>
      <w:r w:rsidRPr="00AF48DC">
        <w:rPr>
          <w:rFonts w:hint="eastAsia"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c,</w:t>
      </w:r>
      <w:r w:rsidRPr="00AF48DC">
        <w:rPr>
          <w:color w:val="000000"/>
          <w:sz w:val="20"/>
          <w:szCs w:val="20"/>
        </w:rPr>
        <w:t xml:space="preserve"> </w:t>
      </w:r>
      <w:proofErr w:type="gramStart"/>
      <w:r w:rsidRPr="00AF48DC">
        <w:rPr>
          <w:color w:val="000000"/>
          <w:sz w:val="20"/>
          <w:szCs w:val="20"/>
        </w:rPr>
        <w:t>The</w:t>
      </w:r>
      <w:proofErr w:type="gramEnd"/>
      <w:r w:rsidRPr="00AF48DC">
        <w:rPr>
          <w:color w:val="000000"/>
          <w:sz w:val="20"/>
          <w:szCs w:val="20"/>
        </w:rPr>
        <w:t xml:space="preserve"> effect of GLUT1 on the extracellular acidification rate (ECAR) was measured using a Seahorse XF assay in HCT116 and SW620 cells.</w:t>
      </w:r>
      <w:r w:rsidRPr="00AF48DC">
        <w:rPr>
          <w:rFonts w:hint="eastAsia"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d,</w:t>
      </w:r>
      <w:r w:rsidRPr="00AF48DC">
        <w:rPr>
          <w:color w:val="000000"/>
          <w:sz w:val="20"/>
          <w:szCs w:val="20"/>
        </w:rPr>
        <w:t xml:space="preserve"> </w:t>
      </w:r>
      <w:r w:rsidRPr="00AF48DC">
        <w:rPr>
          <w:sz w:val="20"/>
          <w:szCs w:val="20"/>
        </w:rPr>
        <w:t xml:space="preserve">HCT116 and SW620 cells were transfected with a GLUT1 clone or GLUT1 siRNA for 72 h. </w:t>
      </w:r>
      <w:r w:rsidRPr="00AF48DC">
        <w:rPr>
          <w:color w:val="000000"/>
          <w:sz w:val="20"/>
          <w:szCs w:val="20"/>
        </w:rPr>
        <w:t xml:space="preserve">Western blotting </w:t>
      </w:r>
      <w:r w:rsidRPr="00AF48DC">
        <w:rPr>
          <w:color w:val="000000"/>
          <w:sz w:val="20"/>
          <w:szCs w:val="20"/>
        </w:rPr>
        <w:lastRenderedPageBreak/>
        <w:t>was performed using the indicated antibodies.</w:t>
      </w:r>
      <w:r w:rsidRPr="00AF48DC">
        <w:rPr>
          <w:rFonts w:hint="eastAsia"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e</w:t>
      </w:r>
      <w:r w:rsidRPr="00AF48DC">
        <w:rPr>
          <w:color w:val="000000"/>
          <w:sz w:val="20"/>
          <w:szCs w:val="20"/>
        </w:rPr>
        <w:t xml:space="preserve"> and </w:t>
      </w:r>
      <w:r>
        <w:rPr>
          <w:b/>
          <w:bCs/>
          <w:color w:val="000000"/>
          <w:sz w:val="20"/>
          <w:szCs w:val="20"/>
        </w:rPr>
        <w:t>f,</w:t>
      </w:r>
      <w:r w:rsidRPr="00AF48DC">
        <w:rPr>
          <w:color w:val="000000"/>
          <w:sz w:val="20"/>
          <w:szCs w:val="20"/>
        </w:rPr>
        <w:t xml:space="preserve"> </w:t>
      </w:r>
      <w:r w:rsidRPr="00AF48DC">
        <w:rPr>
          <w:sz w:val="20"/>
          <w:szCs w:val="20"/>
        </w:rPr>
        <w:t xml:space="preserve">HCT116 and SW620 cells were transfected with a GLUT1 clone or GLUT1 siRNA for 72 h. </w:t>
      </w:r>
      <w:proofErr w:type="spellStart"/>
      <w:r w:rsidRPr="00AF48DC">
        <w:rPr>
          <w:sz w:val="20"/>
          <w:szCs w:val="20"/>
        </w:rPr>
        <w:t>Transwell</w:t>
      </w:r>
      <w:proofErr w:type="spellEnd"/>
      <w:r w:rsidRPr="00AF48DC">
        <w:rPr>
          <w:sz w:val="20"/>
          <w:szCs w:val="20"/>
        </w:rPr>
        <w:t xml:space="preserve"> migration assays (</w:t>
      </w:r>
      <w:r>
        <w:rPr>
          <w:sz w:val="20"/>
          <w:szCs w:val="20"/>
        </w:rPr>
        <w:t>e</w:t>
      </w:r>
      <w:r w:rsidRPr="00AF48DC">
        <w:rPr>
          <w:sz w:val="20"/>
          <w:szCs w:val="20"/>
        </w:rPr>
        <w:t>) and tube formation assays (</w:t>
      </w:r>
      <w:r>
        <w:rPr>
          <w:sz w:val="20"/>
          <w:szCs w:val="20"/>
        </w:rPr>
        <w:t>f</w:t>
      </w:r>
      <w:r w:rsidRPr="00AF48DC">
        <w:rPr>
          <w:sz w:val="20"/>
          <w:szCs w:val="20"/>
        </w:rPr>
        <w:t>) were conducted (</w:t>
      </w:r>
      <w:r w:rsidRPr="00AF48DC">
        <w:rPr>
          <w:rFonts w:hint="eastAsia"/>
          <w:sz w:val="20"/>
          <w:szCs w:val="20"/>
        </w:rPr>
        <w:t>Scale</w:t>
      </w:r>
      <w:r w:rsidRPr="00AF48DC">
        <w:rPr>
          <w:sz w:val="20"/>
          <w:szCs w:val="20"/>
        </w:rPr>
        <w:t xml:space="preserve">, 200μm; mean ± SD; n=3, </w:t>
      </w:r>
      <w:r w:rsidRPr="00AF48DC">
        <w:rPr>
          <w:rFonts w:hint="eastAsia"/>
          <w:sz w:val="20"/>
          <w:szCs w:val="20"/>
        </w:rPr>
        <w:t>two-tailed</w:t>
      </w:r>
      <w:r w:rsidRPr="00AF48DC">
        <w:rPr>
          <w:sz w:val="20"/>
          <w:szCs w:val="20"/>
        </w:rPr>
        <w:t xml:space="preserve"> Student’s t-test).</w:t>
      </w:r>
      <w:r w:rsidRPr="00AF48DC">
        <w:rPr>
          <w:rFonts w:hint="eastAsia"/>
          <w:color w:val="000000"/>
          <w:sz w:val="20"/>
          <w:szCs w:val="20"/>
        </w:rPr>
        <w:t xml:space="preserve"> </w:t>
      </w:r>
      <w:r w:rsidRPr="00AF48DC">
        <w:rPr>
          <w:bCs/>
          <w:color w:val="000000"/>
          <w:sz w:val="20"/>
          <w:szCs w:val="20"/>
        </w:rPr>
        <w:t>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0.05, 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0.01, 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0.001 and ****</w:t>
      </w:r>
      <w:r w:rsidRPr="00AF48DC">
        <w:rPr>
          <w:bCs/>
          <w:i/>
          <w:iCs/>
          <w:color w:val="000000"/>
          <w:sz w:val="20"/>
          <w:szCs w:val="20"/>
        </w:rPr>
        <w:t>p</w:t>
      </w:r>
      <w:r w:rsidRPr="00AF48DC">
        <w:rPr>
          <w:bCs/>
          <w:color w:val="000000"/>
          <w:sz w:val="20"/>
          <w:szCs w:val="20"/>
        </w:rPr>
        <w:t xml:space="preserve"> &lt; 0.0001.</w:t>
      </w:r>
      <w:r w:rsidR="00DA6F44">
        <w:rPr>
          <w:bCs/>
          <w:color w:val="000000"/>
          <w:sz w:val="20"/>
          <w:szCs w:val="20"/>
        </w:rPr>
        <w:t xml:space="preserve"> </w:t>
      </w:r>
    </w:p>
    <w:sectPr w:rsidR="0043198C" w:rsidRPr="00BE152B" w:rsidSect="00BE152B">
      <w:pgSz w:w="11906" w:h="16838"/>
      <w:pgMar w:top="1440" w:right="2880" w:bottom="1440" w:left="28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1D"/>
    <w:rsid w:val="00003A0E"/>
    <w:rsid w:val="00011DB5"/>
    <w:rsid w:val="00030C45"/>
    <w:rsid w:val="00031606"/>
    <w:rsid w:val="00036EF0"/>
    <w:rsid w:val="00052211"/>
    <w:rsid w:val="0007154B"/>
    <w:rsid w:val="000B077D"/>
    <w:rsid w:val="000B72B8"/>
    <w:rsid w:val="000D4F06"/>
    <w:rsid w:val="000E028A"/>
    <w:rsid w:val="000E7D62"/>
    <w:rsid w:val="00122BFB"/>
    <w:rsid w:val="00124952"/>
    <w:rsid w:val="001263D5"/>
    <w:rsid w:val="0013313A"/>
    <w:rsid w:val="00141331"/>
    <w:rsid w:val="00152A79"/>
    <w:rsid w:val="00154170"/>
    <w:rsid w:val="00156795"/>
    <w:rsid w:val="00157D17"/>
    <w:rsid w:val="00162B59"/>
    <w:rsid w:val="00166AC5"/>
    <w:rsid w:val="00196BEA"/>
    <w:rsid w:val="001A55FE"/>
    <w:rsid w:val="001C1C87"/>
    <w:rsid w:val="001C6EC0"/>
    <w:rsid w:val="001D1EC7"/>
    <w:rsid w:val="001D2F38"/>
    <w:rsid w:val="001D3209"/>
    <w:rsid w:val="001D754A"/>
    <w:rsid w:val="00201F85"/>
    <w:rsid w:val="00254018"/>
    <w:rsid w:val="00263B39"/>
    <w:rsid w:val="00263BA0"/>
    <w:rsid w:val="002851FF"/>
    <w:rsid w:val="002A422D"/>
    <w:rsid w:val="002A44D1"/>
    <w:rsid w:val="002C28E7"/>
    <w:rsid w:val="003130CB"/>
    <w:rsid w:val="003332EE"/>
    <w:rsid w:val="00342C1C"/>
    <w:rsid w:val="003540B7"/>
    <w:rsid w:val="00363D0B"/>
    <w:rsid w:val="00371B7E"/>
    <w:rsid w:val="00382D2A"/>
    <w:rsid w:val="0038311D"/>
    <w:rsid w:val="003A46E5"/>
    <w:rsid w:val="003A4AFF"/>
    <w:rsid w:val="003B64FD"/>
    <w:rsid w:val="003B66BA"/>
    <w:rsid w:val="003C2D9C"/>
    <w:rsid w:val="003D414C"/>
    <w:rsid w:val="003E33B7"/>
    <w:rsid w:val="003F0574"/>
    <w:rsid w:val="003F300D"/>
    <w:rsid w:val="00401FD4"/>
    <w:rsid w:val="00416DEB"/>
    <w:rsid w:val="0043198C"/>
    <w:rsid w:val="00433700"/>
    <w:rsid w:val="004443C0"/>
    <w:rsid w:val="00444BF5"/>
    <w:rsid w:val="00447717"/>
    <w:rsid w:val="004523E7"/>
    <w:rsid w:val="00470C9D"/>
    <w:rsid w:val="004723FA"/>
    <w:rsid w:val="00480581"/>
    <w:rsid w:val="004A1C28"/>
    <w:rsid w:val="004A2958"/>
    <w:rsid w:val="004C46FA"/>
    <w:rsid w:val="004D59AD"/>
    <w:rsid w:val="004D6337"/>
    <w:rsid w:val="004D68BF"/>
    <w:rsid w:val="004F76E7"/>
    <w:rsid w:val="0051291D"/>
    <w:rsid w:val="00524629"/>
    <w:rsid w:val="00526C8F"/>
    <w:rsid w:val="005512AD"/>
    <w:rsid w:val="00555CAF"/>
    <w:rsid w:val="005569A3"/>
    <w:rsid w:val="00572856"/>
    <w:rsid w:val="005A30AE"/>
    <w:rsid w:val="005B07BA"/>
    <w:rsid w:val="005B115F"/>
    <w:rsid w:val="005D67A3"/>
    <w:rsid w:val="005E2B47"/>
    <w:rsid w:val="005F7671"/>
    <w:rsid w:val="00621EA3"/>
    <w:rsid w:val="00653150"/>
    <w:rsid w:val="006627E7"/>
    <w:rsid w:val="00667262"/>
    <w:rsid w:val="006923AF"/>
    <w:rsid w:val="006B2CFB"/>
    <w:rsid w:val="006C665C"/>
    <w:rsid w:val="006E45D1"/>
    <w:rsid w:val="006F1BCF"/>
    <w:rsid w:val="00705EB7"/>
    <w:rsid w:val="00714230"/>
    <w:rsid w:val="00721342"/>
    <w:rsid w:val="0075245C"/>
    <w:rsid w:val="0076193C"/>
    <w:rsid w:val="0076377A"/>
    <w:rsid w:val="007638C1"/>
    <w:rsid w:val="00773EDE"/>
    <w:rsid w:val="00781BDE"/>
    <w:rsid w:val="0079650D"/>
    <w:rsid w:val="007D0993"/>
    <w:rsid w:val="007D78CB"/>
    <w:rsid w:val="007E480A"/>
    <w:rsid w:val="008045FE"/>
    <w:rsid w:val="008072E5"/>
    <w:rsid w:val="00814DB6"/>
    <w:rsid w:val="008222FB"/>
    <w:rsid w:val="00830678"/>
    <w:rsid w:val="008316C0"/>
    <w:rsid w:val="00844C0A"/>
    <w:rsid w:val="00847FD2"/>
    <w:rsid w:val="008565C9"/>
    <w:rsid w:val="00877157"/>
    <w:rsid w:val="00886189"/>
    <w:rsid w:val="008911A1"/>
    <w:rsid w:val="008D1A0A"/>
    <w:rsid w:val="008D2F45"/>
    <w:rsid w:val="008D6E84"/>
    <w:rsid w:val="008D7D56"/>
    <w:rsid w:val="008E0849"/>
    <w:rsid w:val="008E4E94"/>
    <w:rsid w:val="008E756F"/>
    <w:rsid w:val="008F2164"/>
    <w:rsid w:val="00901F41"/>
    <w:rsid w:val="00945BF0"/>
    <w:rsid w:val="00947E46"/>
    <w:rsid w:val="009529A8"/>
    <w:rsid w:val="009610D7"/>
    <w:rsid w:val="009844FE"/>
    <w:rsid w:val="009F662A"/>
    <w:rsid w:val="00A11B49"/>
    <w:rsid w:val="00A21B85"/>
    <w:rsid w:val="00A30DD1"/>
    <w:rsid w:val="00A37EBD"/>
    <w:rsid w:val="00A42997"/>
    <w:rsid w:val="00A50B7B"/>
    <w:rsid w:val="00A64819"/>
    <w:rsid w:val="00A75782"/>
    <w:rsid w:val="00A764DB"/>
    <w:rsid w:val="00A87F6D"/>
    <w:rsid w:val="00A90E9B"/>
    <w:rsid w:val="00A9473B"/>
    <w:rsid w:val="00AE1863"/>
    <w:rsid w:val="00AE4490"/>
    <w:rsid w:val="00AF48DC"/>
    <w:rsid w:val="00B06292"/>
    <w:rsid w:val="00B10902"/>
    <w:rsid w:val="00B142AE"/>
    <w:rsid w:val="00B14533"/>
    <w:rsid w:val="00B214F0"/>
    <w:rsid w:val="00B246FA"/>
    <w:rsid w:val="00B4449E"/>
    <w:rsid w:val="00B44C69"/>
    <w:rsid w:val="00B45136"/>
    <w:rsid w:val="00B534D9"/>
    <w:rsid w:val="00B65AD2"/>
    <w:rsid w:val="00B67B64"/>
    <w:rsid w:val="00B71B5C"/>
    <w:rsid w:val="00B830EB"/>
    <w:rsid w:val="00B84724"/>
    <w:rsid w:val="00B8548A"/>
    <w:rsid w:val="00BB01C0"/>
    <w:rsid w:val="00BB59D1"/>
    <w:rsid w:val="00BB703F"/>
    <w:rsid w:val="00BD1F59"/>
    <w:rsid w:val="00BE152B"/>
    <w:rsid w:val="00BE3207"/>
    <w:rsid w:val="00BE4B1A"/>
    <w:rsid w:val="00BF67B5"/>
    <w:rsid w:val="00C14ECB"/>
    <w:rsid w:val="00C57623"/>
    <w:rsid w:val="00C61C71"/>
    <w:rsid w:val="00CA4155"/>
    <w:rsid w:val="00CA6FDC"/>
    <w:rsid w:val="00CC3846"/>
    <w:rsid w:val="00CC7D0B"/>
    <w:rsid w:val="00CD19D6"/>
    <w:rsid w:val="00CD2D43"/>
    <w:rsid w:val="00CE3B20"/>
    <w:rsid w:val="00CE6D9D"/>
    <w:rsid w:val="00CF50FF"/>
    <w:rsid w:val="00CF6F71"/>
    <w:rsid w:val="00D06C9E"/>
    <w:rsid w:val="00D171F5"/>
    <w:rsid w:val="00D346E5"/>
    <w:rsid w:val="00D378DF"/>
    <w:rsid w:val="00D53626"/>
    <w:rsid w:val="00D575BE"/>
    <w:rsid w:val="00D62B8F"/>
    <w:rsid w:val="00D6453B"/>
    <w:rsid w:val="00D71EB0"/>
    <w:rsid w:val="00D764E8"/>
    <w:rsid w:val="00D92292"/>
    <w:rsid w:val="00DA6F44"/>
    <w:rsid w:val="00DA770D"/>
    <w:rsid w:val="00DD4BA5"/>
    <w:rsid w:val="00DE4948"/>
    <w:rsid w:val="00E1456A"/>
    <w:rsid w:val="00E147FA"/>
    <w:rsid w:val="00E2149A"/>
    <w:rsid w:val="00E37B18"/>
    <w:rsid w:val="00E54558"/>
    <w:rsid w:val="00E66DDC"/>
    <w:rsid w:val="00E75F0C"/>
    <w:rsid w:val="00E8252D"/>
    <w:rsid w:val="00E944A7"/>
    <w:rsid w:val="00EC78D8"/>
    <w:rsid w:val="00EF56B6"/>
    <w:rsid w:val="00F11EDA"/>
    <w:rsid w:val="00F30256"/>
    <w:rsid w:val="00F3509A"/>
    <w:rsid w:val="00F45EC6"/>
    <w:rsid w:val="00F462A8"/>
    <w:rsid w:val="00F53FEF"/>
    <w:rsid w:val="00F6033C"/>
    <w:rsid w:val="00F613BF"/>
    <w:rsid w:val="00F6789E"/>
    <w:rsid w:val="00F75EB8"/>
    <w:rsid w:val="00F81F04"/>
    <w:rsid w:val="00FA004B"/>
    <w:rsid w:val="00FB029B"/>
    <w:rsid w:val="00FB0623"/>
    <w:rsid w:val="00FB4490"/>
    <w:rsid w:val="00FC6B9F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3002"/>
  <w15:chartTrackingRefBased/>
  <w15:docId w15:val="{64885DC8-8D6C-9A4A-95A5-01C8A81F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8D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小璇</dc:creator>
  <cp:keywords/>
  <dc:description/>
  <cp:lastModifiedBy>王 小璇</cp:lastModifiedBy>
  <cp:revision>12</cp:revision>
  <dcterms:created xsi:type="dcterms:W3CDTF">2023-05-12T16:42:00Z</dcterms:created>
  <dcterms:modified xsi:type="dcterms:W3CDTF">2023-05-18T07:57:00Z</dcterms:modified>
</cp:coreProperties>
</file>