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2FD56" w14:textId="77777777" w:rsidR="00D4030F" w:rsidRPr="00D4030F" w:rsidRDefault="00D4030F" w:rsidP="00D4030F">
      <w:pPr>
        <w:pStyle w:val="Heading3"/>
      </w:pPr>
      <w:r w:rsidRPr="00D4030F">
        <w:t>Additional file 7</w:t>
      </w:r>
      <w:r w:rsidRPr="00D4030F">
        <w:tab/>
        <w:t>ROC curve analysis of MENQOL overall and domain scores: responder vs non-responder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2504"/>
        <w:gridCol w:w="1365"/>
        <w:gridCol w:w="693"/>
        <w:gridCol w:w="1317"/>
        <w:gridCol w:w="1317"/>
        <w:gridCol w:w="1133"/>
      </w:tblGrid>
      <w:tr w:rsidR="00D4030F" w:rsidRPr="00D4030F" w14:paraId="4DC8CFFD" w14:textId="77777777" w:rsidTr="006A198D">
        <w:trPr>
          <w:trHeight w:val="180"/>
        </w:trPr>
        <w:tc>
          <w:tcPr>
            <w:tcW w:w="0" w:type="auto"/>
            <w:hideMark/>
          </w:tcPr>
          <w:p w14:paraId="707DA5EE" w14:textId="77777777" w:rsidR="00D4030F" w:rsidRPr="00D4030F" w:rsidRDefault="00D4030F" w:rsidP="006A198D">
            <w:pPr>
              <w:spacing w:before="0" w:after="0" w:line="360" w:lineRule="auto"/>
              <w:rPr>
                <w:b/>
                <w:bCs/>
                <w:sz w:val="22"/>
                <w:lang w:val="en-GB"/>
              </w:rPr>
            </w:pPr>
            <w:r w:rsidRPr="00D4030F">
              <w:rPr>
                <w:b/>
                <w:bCs/>
                <w:sz w:val="22"/>
                <w:lang w:val="en-GB"/>
              </w:rPr>
              <w:t>Timepoint</w:t>
            </w:r>
          </w:p>
        </w:tc>
        <w:tc>
          <w:tcPr>
            <w:tcW w:w="0" w:type="auto"/>
            <w:hideMark/>
          </w:tcPr>
          <w:p w14:paraId="1F538590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b/>
                <w:bCs/>
                <w:sz w:val="22"/>
                <w:lang w:val="en-GB"/>
              </w:rPr>
            </w:pPr>
            <w:r w:rsidRPr="00D4030F">
              <w:rPr>
                <w:b/>
                <w:bCs/>
                <w:sz w:val="22"/>
                <w:lang w:val="en-GB"/>
              </w:rPr>
              <w:t>Anchor</w:t>
            </w:r>
          </w:p>
        </w:tc>
        <w:tc>
          <w:tcPr>
            <w:tcW w:w="0" w:type="auto"/>
            <w:hideMark/>
          </w:tcPr>
          <w:p w14:paraId="6237A094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b/>
                <w:bCs/>
                <w:sz w:val="22"/>
                <w:lang w:val="en-GB"/>
              </w:rPr>
            </w:pPr>
            <w:r w:rsidRPr="00D4030F">
              <w:rPr>
                <w:b/>
                <w:bCs/>
                <w:sz w:val="22"/>
                <w:lang w:val="en-GB"/>
              </w:rPr>
              <w:t>AUC</w:t>
            </w:r>
          </w:p>
        </w:tc>
        <w:tc>
          <w:tcPr>
            <w:tcW w:w="0" w:type="auto"/>
            <w:hideMark/>
          </w:tcPr>
          <w:p w14:paraId="0B18419C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b/>
                <w:bCs/>
                <w:sz w:val="22"/>
                <w:lang w:val="en-GB"/>
              </w:rPr>
            </w:pPr>
            <w:r w:rsidRPr="00D4030F">
              <w:rPr>
                <w:b/>
                <w:bCs/>
                <w:sz w:val="22"/>
                <w:lang w:val="en-GB"/>
              </w:rPr>
              <w:t>Sensitivity</w:t>
            </w:r>
          </w:p>
        </w:tc>
        <w:tc>
          <w:tcPr>
            <w:tcW w:w="0" w:type="auto"/>
            <w:hideMark/>
          </w:tcPr>
          <w:p w14:paraId="3C99AA1B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b/>
                <w:bCs/>
                <w:sz w:val="22"/>
                <w:lang w:val="en-GB"/>
              </w:rPr>
            </w:pPr>
            <w:r w:rsidRPr="00D4030F">
              <w:rPr>
                <w:b/>
                <w:bCs/>
                <w:sz w:val="22"/>
                <w:lang w:val="en-GB"/>
              </w:rPr>
              <w:t>Specificity</w:t>
            </w:r>
          </w:p>
        </w:tc>
        <w:tc>
          <w:tcPr>
            <w:tcW w:w="0" w:type="auto"/>
            <w:hideMark/>
          </w:tcPr>
          <w:p w14:paraId="6E1F9CA1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b/>
                <w:bCs/>
                <w:sz w:val="22"/>
                <w:lang w:val="en-GB"/>
              </w:rPr>
            </w:pPr>
            <w:r w:rsidRPr="00D4030F">
              <w:rPr>
                <w:b/>
                <w:bCs/>
                <w:sz w:val="22"/>
                <w:lang w:val="en-GB"/>
              </w:rPr>
              <w:t>Criterion</w:t>
            </w:r>
          </w:p>
        </w:tc>
      </w:tr>
      <w:tr w:rsidR="00D4030F" w:rsidRPr="00D4030F" w14:paraId="48C803E8" w14:textId="77777777" w:rsidTr="006A198D">
        <w:trPr>
          <w:trHeight w:val="180"/>
        </w:trPr>
        <w:tc>
          <w:tcPr>
            <w:tcW w:w="0" w:type="auto"/>
            <w:gridSpan w:val="6"/>
            <w:hideMark/>
          </w:tcPr>
          <w:p w14:paraId="2BDFEE5C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MENQOL overall score</w:t>
            </w:r>
          </w:p>
        </w:tc>
      </w:tr>
      <w:tr w:rsidR="00D4030F" w:rsidRPr="00D4030F" w14:paraId="5E3269D1" w14:textId="77777777" w:rsidTr="006A198D">
        <w:trPr>
          <w:trHeight w:val="180"/>
        </w:trPr>
        <w:tc>
          <w:tcPr>
            <w:tcW w:w="0" w:type="auto"/>
            <w:hideMark/>
          </w:tcPr>
          <w:p w14:paraId="3C4AB5DF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ab/>
              <w:t>Baseline to Week 4</w:t>
            </w:r>
          </w:p>
        </w:tc>
        <w:tc>
          <w:tcPr>
            <w:tcW w:w="0" w:type="auto"/>
            <w:hideMark/>
          </w:tcPr>
          <w:p w14:paraId="192FF6A5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PGI-C VMS</w:t>
            </w:r>
          </w:p>
        </w:tc>
        <w:tc>
          <w:tcPr>
            <w:tcW w:w="0" w:type="auto"/>
            <w:hideMark/>
          </w:tcPr>
          <w:p w14:paraId="6015C81E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0.73</w:t>
            </w:r>
          </w:p>
        </w:tc>
        <w:tc>
          <w:tcPr>
            <w:tcW w:w="0" w:type="auto"/>
            <w:hideMark/>
          </w:tcPr>
          <w:p w14:paraId="3EAB1F3C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0.64</w:t>
            </w:r>
          </w:p>
        </w:tc>
        <w:tc>
          <w:tcPr>
            <w:tcW w:w="0" w:type="auto"/>
            <w:hideMark/>
          </w:tcPr>
          <w:p w14:paraId="45DA0FB2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0.73</w:t>
            </w:r>
          </w:p>
        </w:tc>
        <w:tc>
          <w:tcPr>
            <w:tcW w:w="0" w:type="auto"/>
            <w:hideMark/>
          </w:tcPr>
          <w:p w14:paraId="599903C4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-1.08</w:t>
            </w:r>
          </w:p>
        </w:tc>
      </w:tr>
      <w:tr w:rsidR="00D4030F" w:rsidRPr="00D4030F" w14:paraId="405480DB" w14:textId="77777777" w:rsidTr="006A198D">
        <w:tc>
          <w:tcPr>
            <w:tcW w:w="0" w:type="auto"/>
            <w:hideMark/>
          </w:tcPr>
          <w:p w14:paraId="4F125B2E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ab/>
              <w:t>Baseline to Week 12</w:t>
            </w:r>
          </w:p>
        </w:tc>
        <w:tc>
          <w:tcPr>
            <w:tcW w:w="0" w:type="auto"/>
            <w:hideMark/>
          </w:tcPr>
          <w:p w14:paraId="0E40CEE7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PGI-C VMS</w:t>
            </w:r>
          </w:p>
        </w:tc>
        <w:tc>
          <w:tcPr>
            <w:tcW w:w="0" w:type="auto"/>
            <w:hideMark/>
          </w:tcPr>
          <w:p w14:paraId="674E2991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0.75</w:t>
            </w:r>
          </w:p>
        </w:tc>
        <w:tc>
          <w:tcPr>
            <w:tcW w:w="0" w:type="auto"/>
            <w:hideMark/>
          </w:tcPr>
          <w:p w14:paraId="3C9D7B9D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0.71</w:t>
            </w:r>
          </w:p>
        </w:tc>
        <w:tc>
          <w:tcPr>
            <w:tcW w:w="0" w:type="auto"/>
            <w:hideMark/>
          </w:tcPr>
          <w:p w14:paraId="009C0B02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0.70</w:t>
            </w:r>
          </w:p>
        </w:tc>
        <w:tc>
          <w:tcPr>
            <w:tcW w:w="0" w:type="auto"/>
            <w:hideMark/>
          </w:tcPr>
          <w:p w14:paraId="7D5EFE73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-0.91</w:t>
            </w:r>
          </w:p>
        </w:tc>
      </w:tr>
      <w:tr w:rsidR="00D4030F" w:rsidRPr="00D4030F" w14:paraId="290461AC" w14:textId="77777777" w:rsidTr="006A198D">
        <w:tc>
          <w:tcPr>
            <w:tcW w:w="0" w:type="auto"/>
            <w:gridSpan w:val="6"/>
            <w:hideMark/>
          </w:tcPr>
          <w:p w14:paraId="04E03957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MENQOL Vasomotor score</w:t>
            </w:r>
          </w:p>
        </w:tc>
      </w:tr>
      <w:tr w:rsidR="00D4030F" w:rsidRPr="00D4030F" w14:paraId="060A20C8" w14:textId="77777777" w:rsidTr="006A198D">
        <w:tc>
          <w:tcPr>
            <w:tcW w:w="0" w:type="auto"/>
            <w:hideMark/>
          </w:tcPr>
          <w:p w14:paraId="2823DDA0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ab/>
              <w:t>Baseline to Week 4</w:t>
            </w:r>
          </w:p>
        </w:tc>
        <w:tc>
          <w:tcPr>
            <w:tcW w:w="0" w:type="auto"/>
            <w:hideMark/>
          </w:tcPr>
          <w:p w14:paraId="02FA0A50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PGI-C VMS</w:t>
            </w:r>
          </w:p>
        </w:tc>
        <w:tc>
          <w:tcPr>
            <w:tcW w:w="0" w:type="auto"/>
            <w:hideMark/>
          </w:tcPr>
          <w:p w14:paraId="4D6A419B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0.80</w:t>
            </w:r>
          </w:p>
        </w:tc>
        <w:tc>
          <w:tcPr>
            <w:tcW w:w="0" w:type="auto"/>
            <w:hideMark/>
          </w:tcPr>
          <w:p w14:paraId="0063A70A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0.71</w:t>
            </w:r>
          </w:p>
        </w:tc>
        <w:tc>
          <w:tcPr>
            <w:tcW w:w="0" w:type="auto"/>
            <w:hideMark/>
          </w:tcPr>
          <w:p w14:paraId="0A0BD8F1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0.76</w:t>
            </w:r>
          </w:p>
        </w:tc>
        <w:tc>
          <w:tcPr>
            <w:tcW w:w="0" w:type="auto"/>
            <w:hideMark/>
          </w:tcPr>
          <w:p w14:paraId="038E52C6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-2.00</w:t>
            </w:r>
          </w:p>
        </w:tc>
      </w:tr>
      <w:tr w:rsidR="00D4030F" w:rsidRPr="00D4030F" w14:paraId="03A97626" w14:textId="77777777" w:rsidTr="006A198D">
        <w:tc>
          <w:tcPr>
            <w:tcW w:w="0" w:type="auto"/>
            <w:hideMark/>
          </w:tcPr>
          <w:p w14:paraId="4D985F57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ab/>
              <w:t>Baseline to Week 12</w:t>
            </w:r>
          </w:p>
        </w:tc>
        <w:tc>
          <w:tcPr>
            <w:tcW w:w="0" w:type="auto"/>
            <w:hideMark/>
          </w:tcPr>
          <w:p w14:paraId="698E78DE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PGI-C VMS</w:t>
            </w:r>
          </w:p>
        </w:tc>
        <w:tc>
          <w:tcPr>
            <w:tcW w:w="0" w:type="auto"/>
            <w:hideMark/>
          </w:tcPr>
          <w:p w14:paraId="19BFB943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0.81</w:t>
            </w:r>
          </w:p>
        </w:tc>
        <w:tc>
          <w:tcPr>
            <w:tcW w:w="0" w:type="auto"/>
            <w:hideMark/>
          </w:tcPr>
          <w:p w14:paraId="6B33064B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0.73</w:t>
            </w:r>
          </w:p>
        </w:tc>
        <w:tc>
          <w:tcPr>
            <w:tcW w:w="0" w:type="auto"/>
            <w:hideMark/>
          </w:tcPr>
          <w:p w14:paraId="1F856BFA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0.74</w:t>
            </w:r>
          </w:p>
        </w:tc>
        <w:tc>
          <w:tcPr>
            <w:tcW w:w="0" w:type="auto"/>
            <w:hideMark/>
          </w:tcPr>
          <w:p w14:paraId="5C8C0BB1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-2.00</w:t>
            </w:r>
          </w:p>
        </w:tc>
      </w:tr>
      <w:tr w:rsidR="00D4030F" w:rsidRPr="00D4030F" w14:paraId="2F5AD093" w14:textId="77777777" w:rsidTr="006A198D">
        <w:tc>
          <w:tcPr>
            <w:tcW w:w="0" w:type="auto"/>
            <w:gridSpan w:val="6"/>
            <w:hideMark/>
          </w:tcPr>
          <w:p w14:paraId="1726320D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MENQOL Psychosocial score</w:t>
            </w:r>
          </w:p>
        </w:tc>
      </w:tr>
      <w:tr w:rsidR="00D4030F" w:rsidRPr="00D4030F" w14:paraId="7E715F34" w14:textId="77777777" w:rsidTr="006A198D">
        <w:tc>
          <w:tcPr>
            <w:tcW w:w="0" w:type="auto"/>
            <w:hideMark/>
          </w:tcPr>
          <w:p w14:paraId="4A00658D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ab/>
              <w:t>Baseline to Week 4</w:t>
            </w:r>
          </w:p>
        </w:tc>
        <w:tc>
          <w:tcPr>
            <w:tcW w:w="0" w:type="auto"/>
            <w:hideMark/>
          </w:tcPr>
          <w:p w14:paraId="0C44BD60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PGI-C VMS</w:t>
            </w:r>
          </w:p>
        </w:tc>
        <w:tc>
          <w:tcPr>
            <w:tcW w:w="0" w:type="auto"/>
            <w:hideMark/>
          </w:tcPr>
          <w:p w14:paraId="4421B59C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0.65</w:t>
            </w:r>
          </w:p>
        </w:tc>
        <w:tc>
          <w:tcPr>
            <w:tcW w:w="0" w:type="auto"/>
            <w:hideMark/>
          </w:tcPr>
          <w:p w14:paraId="5C41022E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0.61</w:t>
            </w:r>
          </w:p>
        </w:tc>
        <w:tc>
          <w:tcPr>
            <w:tcW w:w="0" w:type="auto"/>
            <w:hideMark/>
          </w:tcPr>
          <w:p w14:paraId="44FD76C0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0.63</w:t>
            </w:r>
          </w:p>
        </w:tc>
        <w:tc>
          <w:tcPr>
            <w:tcW w:w="0" w:type="auto"/>
            <w:hideMark/>
          </w:tcPr>
          <w:p w14:paraId="4AC18DFF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-0.71</w:t>
            </w:r>
          </w:p>
        </w:tc>
      </w:tr>
      <w:tr w:rsidR="00D4030F" w:rsidRPr="00D4030F" w14:paraId="7DA9BE1C" w14:textId="77777777" w:rsidTr="006A198D">
        <w:tc>
          <w:tcPr>
            <w:tcW w:w="0" w:type="auto"/>
            <w:hideMark/>
          </w:tcPr>
          <w:p w14:paraId="5E5E397C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ab/>
              <w:t>Baseline to Week 12</w:t>
            </w:r>
          </w:p>
        </w:tc>
        <w:tc>
          <w:tcPr>
            <w:tcW w:w="0" w:type="auto"/>
            <w:hideMark/>
          </w:tcPr>
          <w:p w14:paraId="5FD043F4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PGI-C VMS</w:t>
            </w:r>
          </w:p>
        </w:tc>
        <w:tc>
          <w:tcPr>
            <w:tcW w:w="0" w:type="auto"/>
            <w:hideMark/>
          </w:tcPr>
          <w:p w14:paraId="53CBD5C9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0.66</w:t>
            </w:r>
          </w:p>
        </w:tc>
        <w:tc>
          <w:tcPr>
            <w:tcW w:w="0" w:type="auto"/>
            <w:hideMark/>
          </w:tcPr>
          <w:p w14:paraId="4DD55A4F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0.60</w:t>
            </w:r>
          </w:p>
        </w:tc>
        <w:tc>
          <w:tcPr>
            <w:tcW w:w="0" w:type="auto"/>
            <w:hideMark/>
          </w:tcPr>
          <w:p w14:paraId="0CF65DD2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0.64</w:t>
            </w:r>
          </w:p>
        </w:tc>
        <w:tc>
          <w:tcPr>
            <w:tcW w:w="0" w:type="auto"/>
            <w:hideMark/>
          </w:tcPr>
          <w:p w14:paraId="627A01F3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-0.71</w:t>
            </w:r>
          </w:p>
        </w:tc>
      </w:tr>
      <w:tr w:rsidR="00D4030F" w:rsidRPr="00D4030F" w14:paraId="3BCB4731" w14:textId="77777777" w:rsidTr="006A198D">
        <w:tc>
          <w:tcPr>
            <w:tcW w:w="0" w:type="auto"/>
            <w:gridSpan w:val="6"/>
            <w:hideMark/>
          </w:tcPr>
          <w:p w14:paraId="73EF3B85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MENQOL Physical score</w:t>
            </w:r>
          </w:p>
        </w:tc>
      </w:tr>
      <w:tr w:rsidR="00D4030F" w:rsidRPr="00D4030F" w14:paraId="2D04E8D1" w14:textId="77777777" w:rsidTr="006A198D">
        <w:tc>
          <w:tcPr>
            <w:tcW w:w="0" w:type="auto"/>
            <w:hideMark/>
          </w:tcPr>
          <w:p w14:paraId="0076EF9B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ab/>
              <w:t>Baseline to Week 4</w:t>
            </w:r>
          </w:p>
        </w:tc>
        <w:tc>
          <w:tcPr>
            <w:tcW w:w="0" w:type="auto"/>
            <w:hideMark/>
          </w:tcPr>
          <w:p w14:paraId="6DD2C7C0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PGI-C VMS</w:t>
            </w:r>
          </w:p>
        </w:tc>
        <w:tc>
          <w:tcPr>
            <w:tcW w:w="0" w:type="auto"/>
            <w:hideMark/>
          </w:tcPr>
          <w:p w14:paraId="4A4604AA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0.64</w:t>
            </w:r>
          </w:p>
        </w:tc>
        <w:tc>
          <w:tcPr>
            <w:tcW w:w="0" w:type="auto"/>
            <w:hideMark/>
          </w:tcPr>
          <w:p w14:paraId="7B2DD322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0.62</w:t>
            </w:r>
          </w:p>
        </w:tc>
        <w:tc>
          <w:tcPr>
            <w:tcW w:w="0" w:type="auto"/>
            <w:hideMark/>
          </w:tcPr>
          <w:p w14:paraId="2809B657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0.58</w:t>
            </w:r>
          </w:p>
        </w:tc>
        <w:tc>
          <w:tcPr>
            <w:tcW w:w="0" w:type="auto"/>
            <w:hideMark/>
          </w:tcPr>
          <w:p w14:paraId="17A4EC2B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-0.69</w:t>
            </w:r>
          </w:p>
        </w:tc>
      </w:tr>
      <w:tr w:rsidR="00D4030F" w:rsidRPr="00D4030F" w14:paraId="4D9BEE89" w14:textId="77777777" w:rsidTr="006A198D">
        <w:tc>
          <w:tcPr>
            <w:tcW w:w="0" w:type="auto"/>
            <w:hideMark/>
          </w:tcPr>
          <w:p w14:paraId="3064606F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ab/>
              <w:t>Baseline to Week 12</w:t>
            </w:r>
          </w:p>
        </w:tc>
        <w:tc>
          <w:tcPr>
            <w:tcW w:w="0" w:type="auto"/>
            <w:hideMark/>
          </w:tcPr>
          <w:p w14:paraId="15D4593E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PGI-C VMS</w:t>
            </w:r>
          </w:p>
        </w:tc>
        <w:tc>
          <w:tcPr>
            <w:tcW w:w="0" w:type="auto"/>
            <w:hideMark/>
          </w:tcPr>
          <w:p w14:paraId="0E706DFA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0.66</w:t>
            </w:r>
          </w:p>
        </w:tc>
        <w:tc>
          <w:tcPr>
            <w:tcW w:w="0" w:type="auto"/>
            <w:hideMark/>
          </w:tcPr>
          <w:p w14:paraId="0A37CA1E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0.61</w:t>
            </w:r>
          </w:p>
        </w:tc>
        <w:tc>
          <w:tcPr>
            <w:tcW w:w="0" w:type="auto"/>
            <w:hideMark/>
          </w:tcPr>
          <w:p w14:paraId="1951A084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0.64</w:t>
            </w:r>
          </w:p>
        </w:tc>
        <w:tc>
          <w:tcPr>
            <w:tcW w:w="0" w:type="auto"/>
            <w:hideMark/>
          </w:tcPr>
          <w:p w14:paraId="6B87A398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-0.69</w:t>
            </w:r>
          </w:p>
        </w:tc>
      </w:tr>
      <w:tr w:rsidR="00D4030F" w:rsidRPr="00D4030F" w14:paraId="0C6C3AB9" w14:textId="77777777" w:rsidTr="006A198D">
        <w:tc>
          <w:tcPr>
            <w:tcW w:w="0" w:type="auto"/>
            <w:gridSpan w:val="6"/>
            <w:hideMark/>
          </w:tcPr>
          <w:p w14:paraId="721AE265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MENQOL Sexual score</w:t>
            </w:r>
          </w:p>
        </w:tc>
      </w:tr>
      <w:tr w:rsidR="00D4030F" w:rsidRPr="00D4030F" w14:paraId="5A7EC0BB" w14:textId="77777777" w:rsidTr="006A198D">
        <w:tc>
          <w:tcPr>
            <w:tcW w:w="0" w:type="auto"/>
            <w:hideMark/>
          </w:tcPr>
          <w:p w14:paraId="2F1592C4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ab/>
              <w:t>Baseline to Week 4</w:t>
            </w:r>
          </w:p>
        </w:tc>
        <w:tc>
          <w:tcPr>
            <w:tcW w:w="0" w:type="auto"/>
            <w:hideMark/>
          </w:tcPr>
          <w:p w14:paraId="69AC2E96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PGI-C VMS</w:t>
            </w:r>
          </w:p>
        </w:tc>
        <w:tc>
          <w:tcPr>
            <w:tcW w:w="0" w:type="auto"/>
            <w:hideMark/>
          </w:tcPr>
          <w:p w14:paraId="0D8411FA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0.57</w:t>
            </w:r>
          </w:p>
        </w:tc>
        <w:tc>
          <w:tcPr>
            <w:tcW w:w="0" w:type="auto"/>
            <w:hideMark/>
          </w:tcPr>
          <w:p w14:paraId="1EB2635D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0.51</w:t>
            </w:r>
          </w:p>
        </w:tc>
        <w:tc>
          <w:tcPr>
            <w:tcW w:w="0" w:type="auto"/>
            <w:hideMark/>
          </w:tcPr>
          <w:p w14:paraId="3C9A9B76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0.56</w:t>
            </w:r>
          </w:p>
        </w:tc>
        <w:tc>
          <w:tcPr>
            <w:tcW w:w="0" w:type="auto"/>
            <w:hideMark/>
          </w:tcPr>
          <w:p w14:paraId="124ACBF2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-0.33</w:t>
            </w:r>
          </w:p>
        </w:tc>
      </w:tr>
      <w:tr w:rsidR="00D4030F" w:rsidRPr="00D4030F" w14:paraId="0D113700" w14:textId="77777777" w:rsidTr="006A198D">
        <w:tc>
          <w:tcPr>
            <w:tcW w:w="0" w:type="auto"/>
            <w:hideMark/>
          </w:tcPr>
          <w:p w14:paraId="4BB49A27" w14:textId="77777777" w:rsidR="00D4030F" w:rsidRPr="00D4030F" w:rsidRDefault="00D4030F" w:rsidP="006A198D">
            <w:pPr>
              <w:tabs>
                <w:tab w:val="left" w:pos="270"/>
              </w:tabs>
              <w:spacing w:before="0" w:after="0" w:line="360" w:lineRule="auto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ab/>
              <w:t>Baseline to Week 12</w:t>
            </w:r>
          </w:p>
        </w:tc>
        <w:tc>
          <w:tcPr>
            <w:tcW w:w="0" w:type="auto"/>
            <w:hideMark/>
          </w:tcPr>
          <w:p w14:paraId="6A8AAA4C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PGI-C VMS</w:t>
            </w:r>
          </w:p>
        </w:tc>
        <w:tc>
          <w:tcPr>
            <w:tcW w:w="0" w:type="auto"/>
            <w:hideMark/>
          </w:tcPr>
          <w:p w14:paraId="64B42788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0.60</w:t>
            </w:r>
          </w:p>
        </w:tc>
        <w:tc>
          <w:tcPr>
            <w:tcW w:w="0" w:type="auto"/>
            <w:hideMark/>
          </w:tcPr>
          <w:p w14:paraId="6E5D8B42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0.54</w:t>
            </w:r>
          </w:p>
        </w:tc>
        <w:tc>
          <w:tcPr>
            <w:tcW w:w="0" w:type="auto"/>
            <w:hideMark/>
          </w:tcPr>
          <w:p w14:paraId="15B450AD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0.60</w:t>
            </w:r>
          </w:p>
        </w:tc>
        <w:tc>
          <w:tcPr>
            <w:tcW w:w="0" w:type="auto"/>
            <w:hideMark/>
          </w:tcPr>
          <w:p w14:paraId="4187AD54" w14:textId="77777777" w:rsidR="00D4030F" w:rsidRPr="00D4030F" w:rsidRDefault="00D4030F" w:rsidP="006A198D">
            <w:pPr>
              <w:spacing w:before="0" w:after="0" w:line="360" w:lineRule="auto"/>
              <w:jc w:val="center"/>
              <w:rPr>
                <w:sz w:val="22"/>
                <w:lang w:val="en-GB"/>
              </w:rPr>
            </w:pPr>
            <w:r w:rsidRPr="00D4030F">
              <w:rPr>
                <w:sz w:val="22"/>
                <w:lang w:val="en-GB"/>
              </w:rPr>
              <w:t>-0.33</w:t>
            </w:r>
          </w:p>
        </w:tc>
      </w:tr>
    </w:tbl>
    <w:p w14:paraId="6877B96A" w14:textId="77777777" w:rsidR="00D4030F" w:rsidRPr="00FD61D1" w:rsidRDefault="00D4030F" w:rsidP="00D4030F">
      <w:pPr>
        <w:spacing w:line="240" w:lineRule="auto"/>
        <w:rPr>
          <w:sz w:val="16"/>
          <w:szCs w:val="16"/>
        </w:rPr>
      </w:pPr>
      <w:r w:rsidRPr="00FD61D1">
        <w:rPr>
          <w:sz w:val="16"/>
          <w:szCs w:val="16"/>
          <w:vertAlign w:val="superscript"/>
        </w:rPr>
        <w:br/>
      </w:r>
      <w:r w:rsidRPr="00FD61D1">
        <w:rPr>
          <w:sz w:val="16"/>
          <w:szCs w:val="16"/>
        </w:rPr>
        <w:t>For PGI-</w:t>
      </w:r>
      <w:r>
        <w:rPr>
          <w:sz w:val="16"/>
          <w:szCs w:val="16"/>
        </w:rPr>
        <w:t>C</w:t>
      </w:r>
      <w:r w:rsidRPr="00FD61D1">
        <w:rPr>
          <w:sz w:val="16"/>
          <w:szCs w:val="16"/>
        </w:rPr>
        <w:t xml:space="preserve"> </w:t>
      </w:r>
      <w:r>
        <w:rPr>
          <w:sz w:val="16"/>
          <w:szCs w:val="16"/>
        </w:rPr>
        <w:t>VMS</w:t>
      </w:r>
      <w:r w:rsidRPr="00FD61D1">
        <w:rPr>
          <w:sz w:val="16"/>
          <w:szCs w:val="16"/>
        </w:rPr>
        <w:t xml:space="preserve">, responders were defined by </w:t>
      </w:r>
      <w:r>
        <w:rPr>
          <w:sz w:val="16"/>
          <w:szCs w:val="16"/>
        </w:rPr>
        <w:t>‘</w:t>
      </w:r>
      <w:r w:rsidRPr="00FD61D1">
        <w:rPr>
          <w:sz w:val="16"/>
          <w:szCs w:val="16"/>
        </w:rPr>
        <w:t>moderately better</w:t>
      </w:r>
      <w:r>
        <w:rPr>
          <w:sz w:val="16"/>
          <w:szCs w:val="16"/>
        </w:rPr>
        <w:t>’</w:t>
      </w:r>
      <w:r w:rsidRPr="00FD61D1">
        <w:rPr>
          <w:sz w:val="16"/>
          <w:szCs w:val="16"/>
        </w:rPr>
        <w:t xml:space="preserve"> or</w:t>
      </w:r>
      <w:r>
        <w:rPr>
          <w:sz w:val="16"/>
          <w:szCs w:val="16"/>
        </w:rPr>
        <w:t xml:space="preserve"> ‘</w:t>
      </w:r>
      <w:r w:rsidRPr="00FD61D1">
        <w:rPr>
          <w:sz w:val="16"/>
          <w:szCs w:val="16"/>
        </w:rPr>
        <w:t>much better</w:t>
      </w:r>
      <w:r>
        <w:rPr>
          <w:sz w:val="16"/>
          <w:szCs w:val="16"/>
        </w:rPr>
        <w:t>’</w:t>
      </w:r>
      <w:r w:rsidRPr="00FD61D1">
        <w:rPr>
          <w:sz w:val="16"/>
          <w:szCs w:val="16"/>
        </w:rPr>
        <w:t xml:space="preserve"> </w:t>
      </w:r>
      <w:r>
        <w:rPr>
          <w:sz w:val="16"/>
          <w:szCs w:val="16"/>
        </w:rPr>
        <w:t>improvement</w:t>
      </w:r>
      <w:r w:rsidRPr="00FD61D1">
        <w:rPr>
          <w:sz w:val="16"/>
          <w:szCs w:val="16"/>
        </w:rPr>
        <w:t>, with all other levels defined as non-responders.</w:t>
      </w:r>
    </w:p>
    <w:p w14:paraId="5410FD1C" w14:textId="77777777" w:rsidR="00D4030F" w:rsidRPr="00FD61D1" w:rsidRDefault="00D4030F" w:rsidP="00D4030F">
      <w:pPr>
        <w:spacing w:line="240" w:lineRule="auto"/>
        <w:rPr>
          <w:sz w:val="16"/>
          <w:szCs w:val="16"/>
        </w:rPr>
      </w:pPr>
      <w:r w:rsidRPr="00EE6491">
        <w:rPr>
          <w:i/>
          <w:iCs/>
          <w:sz w:val="16"/>
          <w:szCs w:val="16"/>
        </w:rPr>
        <w:t>AUC</w:t>
      </w:r>
      <w:r w:rsidRPr="00FD61D1">
        <w:rPr>
          <w:sz w:val="16"/>
          <w:szCs w:val="16"/>
        </w:rPr>
        <w:t xml:space="preserve"> area under the curve</w:t>
      </w:r>
      <w:r>
        <w:rPr>
          <w:sz w:val="16"/>
          <w:szCs w:val="16"/>
        </w:rPr>
        <w:t>,</w:t>
      </w:r>
      <w:r w:rsidRPr="00FD61D1">
        <w:rPr>
          <w:sz w:val="16"/>
          <w:szCs w:val="16"/>
        </w:rPr>
        <w:t xml:space="preserve"> </w:t>
      </w:r>
      <w:r w:rsidRPr="00EE6491">
        <w:rPr>
          <w:i/>
          <w:iCs/>
          <w:sz w:val="16"/>
          <w:szCs w:val="16"/>
        </w:rPr>
        <w:t>PGI-C VMS</w:t>
      </w:r>
      <w:r w:rsidRPr="00FD61D1">
        <w:rPr>
          <w:sz w:val="16"/>
          <w:szCs w:val="16"/>
        </w:rPr>
        <w:t xml:space="preserve"> Patient Global Impression of Change Vasomotor Symptoms</w:t>
      </w:r>
      <w:r>
        <w:rPr>
          <w:sz w:val="16"/>
          <w:szCs w:val="16"/>
        </w:rPr>
        <w:t>,</w:t>
      </w:r>
      <w:r w:rsidRPr="00FD61D1">
        <w:rPr>
          <w:sz w:val="16"/>
          <w:szCs w:val="16"/>
        </w:rPr>
        <w:t xml:space="preserve"> </w:t>
      </w:r>
      <w:r w:rsidRPr="00EE6491">
        <w:rPr>
          <w:i/>
          <w:iCs/>
          <w:sz w:val="16"/>
          <w:szCs w:val="16"/>
        </w:rPr>
        <w:t>ROC</w:t>
      </w:r>
      <w:r w:rsidRPr="00FD61D1">
        <w:rPr>
          <w:sz w:val="16"/>
          <w:szCs w:val="16"/>
        </w:rPr>
        <w:t xml:space="preserve"> receiver operating characteristic</w:t>
      </w:r>
    </w:p>
    <w:p w14:paraId="2ACB00B4" w14:textId="77777777" w:rsidR="00D4030F" w:rsidRDefault="00D4030F" w:rsidP="00D4030F">
      <w:pPr>
        <w:spacing w:line="240" w:lineRule="auto"/>
      </w:pPr>
    </w:p>
    <w:p w14:paraId="320BE3A7" w14:textId="77777777" w:rsidR="002510D4" w:rsidRPr="00D4030F" w:rsidRDefault="002510D4" w:rsidP="00D4030F"/>
    <w:sectPr w:rsidR="002510D4" w:rsidRPr="00D4030F" w:rsidSect="00D40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4A"/>
    <w:rsid w:val="00226189"/>
    <w:rsid w:val="002510D4"/>
    <w:rsid w:val="006A594A"/>
    <w:rsid w:val="006B4702"/>
    <w:rsid w:val="009F553E"/>
    <w:rsid w:val="00C6260E"/>
    <w:rsid w:val="00D4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75C01"/>
  <w15:chartTrackingRefBased/>
  <w15:docId w15:val="{8CEB4B91-9631-4A3F-80D9-8E356F4F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94A"/>
    <w:pPr>
      <w:spacing w:before="60" w:after="120" w:line="480" w:lineRule="auto"/>
    </w:pPr>
    <w:rPr>
      <w:rFonts w:ascii="Arial" w:eastAsia="Calibri" w:hAnsi="Arial" w:cs="Arial"/>
      <w:lang w:val="en-US"/>
    </w:rPr>
  </w:style>
  <w:style w:type="paragraph" w:styleId="Heading3">
    <w:name w:val="heading 3"/>
    <w:basedOn w:val="Normal"/>
    <w:next w:val="Normal"/>
    <w:link w:val="Heading3Char1"/>
    <w:autoRedefine/>
    <w:qFormat/>
    <w:rsid w:val="006A594A"/>
    <w:pPr>
      <w:keepNext/>
      <w:keepLines/>
      <w:spacing w:before="0" w:after="0" w:line="360" w:lineRule="auto"/>
      <w:outlineLvl w:val="2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594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3Char1">
    <w:name w:val="Heading 3 Char1"/>
    <w:basedOn w:val="DefaultParagraphFont"/>
    <w:link w:val="Heading3"/>
    <w:rsid w:val="006A594A"/>
    <w:rPr>
      <w:rFonts w:ascii="Arial" w:eastAsia="Calibri" w:hAnsi="Arial" w:cs="Arial"/>
      <w:b/>
      <w:bCs/>
    </w:rPr>
  </w:style>
  <w:style w:type="table" w:styleId="TableGrid">
    <w:name w:val="Table Grid"/>
    <w:basedOn w:val="TableNormal"/>
    <w:uiPriority w:val="39"/>
    <w:rsid w:val="00C6260E"/>
    <w:pPr>
      <w:spacing w:after="0" w:line="240" w:lineRule="auto"/>
    </w:pPr>
    <w:rPr>
      <w:rFonts w:ascii="Arial" w:eastAsia="Calibri" w:hAnsi="Arial" w:cs="Arial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2023-05-18T14:04:00Z</dcterms:created>
  <dcterms:modified xsi:type="dcterms:W3CDTF">2023-05-18T14:04:00Z</dcterms:modified>
</cp:coreProperties>
</file>