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DED79" w14:textId="77777777" w:rsidR="001756B6" w:rsidRDefault="001756B6" w:rsidP="001756B6">
      <w:pPr>
        <w:pStyle w:val="Heading3"/>
      </w:pPr>
      <w:r w:rsidRPr="00B524A3">
        <w:t xml:space="preserve">Additional </w:t>
      </w:r>
      <w:r>
        <w:t>f</w:t>
      </w:r>
      <w:r w:rsidRPr="00B524A3">
        <w:t>ile 1</w:t>
      </w:r>
      <w:r w:rsidRPr="00B524A3">
        <w:tab/>
      </w:r>
      <w:r w:rsidRPr="00066585">
        <w:t>The other patient-reported outcome instruments included in this analysis</w:t>
      </w:r>
    </w:p>
    <w:p w14:paraId="5A5C0A74" w14:textId="77777777" w:rsidR="001756B6" w:rsidRPr="00035754" w:rsidRDefault="001756B6" w:rsidP="001756B6">
      <w:pPr>
        <w:rPr>
          <w:highlight w:val="magenta"/>
        </w:rPr>
      </w:pPr>
    </w:p>
    <w:p w14:paraId="1809F9A2" w14:textId="77777777" w:rsidR="001756B6" w:rsidRPr="00B524A3" w:rsidRDefault="001756B6" w:rsidP="001756B6">
      <w:r w:rsidRPr="00B524A3">
        <w:t xml:space="preserve">The Patient-Reported Outcomes Measurement Information System Sleep-Related Impairment – Short Form 8a (PROMIS SRI SF 8a) comprises eight items selected from the PROMIS SRI item bank. The form encompasses self-reported perceptions of alertness, sleepiness, and tiredness during usual waking hours, as well as perceived functional impairments during wakefulness that are associated with sleep problems or impaired alertness. The PROMIS SD SF 8b also includes eight items from the PROMIS SRI item bank to measure sleep disturbance across the severity continuum. Respondents </w:t>
      </w:r>
      <w:r>
        <w:t>were</w:t>
      </w:r>
      <w:r w:rsidRPr="00B524A3">
        <w:t xml:space="preserve"> asked to record sleep disturbance during the previous 7 days. The total score for each PROMIS SRI SF measure </w:t>
      </w:r>
      <w:r>
        <w:t>was</w:t>
      </w:r>
      <w:r w:rsidRPr="00B524A3">
        <w:t xml:space="preserve"> calculated by summing the items, and </w:t>
      </w:r>
      <w:r>
        <w:t>could</w:t>
      </w:r>
      <w:r w:rsidRPr="00B524A3">
        <w:t xml:space="preserve"> be calculated only if all eight items </w:t>
      </w:r>
      <w:r>
        <w:t>were</w:t>
      </w:r>
      <w:r w:rsidRPr="00B524A3">
        <w:t xml:space="preserve"> completed. Scores on both scales range between 8 and 40, with higher scores associated with more disturbed sleep.</w:t>
      </w:r>
    </w:p>
    <w:p w14:paraId="51BA6822" w14:textId="77777777" w:rsidR="001756B6" w:rsidRPr="00B524A3" w:rsidRDefault="001756B6" w:rsidP="001756B6">
      <w:pPr>
        <w:rPr>
          <w:highlight w:val="magenta"/>
        </w:rPr>
      </w:pPr>
      <w:r w:rsidRPr="00B524A3">
        <w:t xml:space="preserve">For assessment of vasomotor symptom (VMS) episodes, participants recorded the number of VMS and the severity of each episode using an electronic daily diary. The severity of each episode was defined as mild (sensation of heat but no sweating), moderate (sensation of heat with sweating, but able to continue activity), or severe (sensation of heat and sweating causing cessation of activity) [1, 2]. </w:t>
      </w:r>
    </w:p>
    <w:p w14:paraId="7739C79A" w14:textId="77777777" w:rsidR="001756B6" w:rsidRPr="00B524A3" w:rsidRDefault="001756B6" w:rsidP="001756B6">
      <w:pPr>
        <w:rPr>
          <w:highlight w:val="magenta"/>
        </w:rPr>
      </w:pPr>
      <w:bookmarkStart w:id="0" w:name="_Hlk110592426"/>
      <w:bookmarkStart w:id="1" w:name="_Hlk110523292"/>
      <w:r w:rsidRPr="00B524A3">
        <w:t xml:space="preserve">On the Patient Global Impression of Severity Sleep Disturbance (PGI-S SD), respondents rated the overall severity of their current sleep disturbance on a four-point scale (0 </w:t>
      </w:r>
      <w:r w:rsidRPr="005D7CDB">
        <w:t>=</w:t>
      </w:r>
      <w:r w:rsidRPr="00B524A3">
        <w:t xml:space="preserve"> no problems; 3 = severe problems)</w:t>
      </w:r>
      <w:bookmarkEnd w:id="0"/>
      <w:r w:rsidRPr="00B524A3">
        <w:t>.</w:t>
      </w:r>
      <w:bookmarkEnd w:id="1"/>
    </w:p>
    <w:p w14:paraId="7EAB4452" w14:textId="77777777" w:rsidR="001756B6" w:rsidRPr="00B524A3" w:rsidRDefault="001756B6" w:rsidP="001756B6">
      <w:pPr>
        <w:rPr>
          <w:highlight w:val="magenta"/>
        </w:rPr>
      </w:pPr>
      <w:bookmarkStart w:id="2" w:name="_Hlk110592454"/>
      <w:bookmarkStart w:id="3" w:name="_Hlk110523368"/>
      <w:r w:rsidRPr="00B524A3">
        <w:t xml:space="preserve">Changes in sleep disturbance and VMS were measured using the Patient Global Impression of Change Sleep Disturbance (PGI-C SD) and PGI-C VMS instruments, respectively. Respondents rated the overall change from baseline to </w:t>
      </w:r>
      <w:r>
        <w:t>W</w:t>
      </w:r>
      <w:r w:rsidRPr="00B524A3">
        <w:t>eeks 4 and 12 in their sleep disturbance and VMS on a seven-point scale (much worse = –3; much better = +3)</w:t>
      </w:r>
      <w:bookmarkEnd w:id="2"/>
      <w:r w:rsidRPr="00B524A3">
        <w:t xml:space="preserve">. </w:t>
      </w:r>
      <w:bookmarkEnd w:id="3"/>
    </w:p>
    <w:p w14:paraId="0B68F4DB" w14:textId="77777777" w:rsidR="001756B6" w:rsidRPr="00B524A3" w:rsidRDefault="001756B6" w:rsidP="001756B6">
      <w:pPr>
        <w:rPr>
          <w:highlight w:val="magenta"/>
        </w:rPr>
      </w:pPr>
      <w:r w:rsidRPr="00B524A3">
        <w:lastRenderedPageBreak/>
        <w:t xml:space="preserve">The </w:t>
      </w:r>
      <w:proofErr w:type="spellStart"/>
      <w:r w:rsidRPr="00B524A3">
        <w:t>EuroQoL</w:t>
      </w:r>
      <w:proofErr w:type="spellEnd"/>
      <w:r w:rsidRPr="00B524A3">
        <w:t xml:space="preserve"> 5-dimension 5-level (EQ-5D-5L) questionnaire measures mobility, self-care, usual activities, pain/discomfort, and anxiety/depression [3]. Respondents rated each item with one of five responses: no problems, slight problems, moderate problems, severe problems, and unable to/extreme problems. The EQ Visual Analog Scale (VAS) records overall self-rated health status on a vertical VAS from 0 (the worst health you can imagine) to 100 (the best health you can imagine.</w:t>
      </w:r>
    </w:p>
    <w:p w14:paraId="54861ACC" w14:textId="77777777" w:rsidR="001756B6" w:rsidRPr="00B524A3" w:rsidRDefault="001756B6" w:rsidP="001756B6">
      <w:r w:rsidRPr="00B524A3">
        <w:t>The Work Productivity and Activity Impairment questionnaire specific to Vasomotor Symptoms (WPAI-VMS) consists of six items that examine impairments in work productivity and activity in the preceding 7 days as a result of VMS. Four domain scores are produced using the WPAI-VMS: absenteeism (percentage of work time missed because of VMS), presenteeism (percentage of impairment experienced while at work because of VMS), overall work productivity loss (measured by combining absenteeism and presenteeism to determine the total percentage of missed time), and activity impairment (percentage impairment in daily activities because of VMS). Outcomes are expressed as percentages, with higher numbers indicating greater impairment and less productivity.</w:t>
      </w:r>
    </w:p>
    <w:p w14:paraId="37BEE884" w14:textId="77777777" w:rsidR="001756B6" w:rsidRPr="00B524A3" w:rsidRDefault="001756B6" w:rsidP="001756B6">
      <w:r w:rsidRPr="00B524A3">
        <w:t>In the present analysis, the PROMIS SRI SF 8a and 8b, VMS episodes, PGI-S SD, EQ VAS, and WPAI-VMS were used to assess convergent validity, while the PROMIS SRI SF 8a and 8b, VMS episodes, PGI</w:t>
      </w:r>
      <w:r w:rsidRPr="00B524A3">
        <w:noBreakHyphen/>
        <w:t xml:space="preserve">S SD, PGI-C SD, PCI-C VMS, and EQ VAS were used to assess sensitivity to change. </w:t>
      </w:r>
      <w:r>
        <w:t>A</w:t>
      </w:r>
      <w:r w:rsidRPr="00B524A3">
        <w:t>ddition</w:t>
      </w:r>
      <w:r>
        <w:t>ally</w:t>
      </w:r>
      <w:r w:rsidRPr="00B524A3">
        <w:t>, the PGI-S SD was used to assess known-groups validity, and the PGI</w:t>
      </w:r>
      <w:r w:rsidRPr="00B524A3">
        <w:noBreakHyphen/>
        <w:t>S SD and the PGI-C SD were used to derive the responder definition.</w:t>
      </w:r>
    </w:p>
    <w:p w14:paraId="31EAD2B7" w14:textId="77777777" w:rsidR="001756B6" w:rsidRPr="00B524A3" w:rsidRDefault="001756B6" w:rsidP="001756B6">
      <w:pPr>
        <w:spacing w:before="0" w:after="0" w:line="240" w:lineRule="auto"/>
        <w:rPr>
          <w:b/>
          <w:bCs/>
        </w:rPr>
      </w:pPr>
      <w:r w:rsidRPr="00B524A3">
        <w:rPr>
          <w:b/>
          <w:bCs/>
        </w:rPr>
        <w:br w:type="page"/>
      </w:r>
    </w:p>
    <w:p w14:paraId="18A28A41" w14:textId="77777777" w:rsidR="001756B6" w:rsidRPr="00B524A3" w:rsidRDefault="001756B6" w:rsidP="001756B6">
      <w:pPr>
        <w:rPr>
          <w:b/>
          <w:bCs/>
        </w:rPr>
      </w:pPr>
      <w:r w:rsidRPr="00B524A3">
        <w:rPr>
          <w:b/>
          <w:bCs/>
        </w:rPr>
        <w:lastRenderedPageBreak/>
        <w:t>References</w:t>
      </w:r>
    </w:p>
    <w:p w14:paraId="2E9E95F0" w14:textId="77777777" w:rsidR="001756B6" w:rsidRPr="00B524A3" w:rsidRDefault="001756B6" w:rsidP="001756B6">
      <w:pPr>
        <w:pStyle w:val="EndNoteBibliography"/>
        <w:spacing w:after="240"/>
        <w:ind w:left="720" w:hanging="720"/>
      </w:pPr>
      <w:r w:rsidRPr="00B524A3">
        <w:rPr>
          <w:bCs/>
        </w:rPr>
        <w:t>1.</w:t>
      </w:r>
      <w:r w:rsidRPr="00B524A3">
        <w:rPr>
          <w:bCs/>
        </w:rPr>
        <w:tab/>
      </w:r>
      <w:r w:rsidRPr="00B524A3">
        <w:rPr>
          <w:b/>
        </w:rPr>
        <w:t xml:space="preserve">Guidance for industry. Estrogen and estrogen/progestin drug products to treat vasomotor symptoms and vulvar and vaginal atrophy symptoms — recommendations for clinical evaluation. Draft guidance. 2003 </w:t>
      </w:r>
      <w:r w:rsidRPr="00B524A3">
        <w:rPr>
          <w:bCs/>
        </w:rPr>
        <w:t>[</w:t>
      </w:r>
      <w:hyperlink r:id="rId4" w:history="1">
        <w:r w:rsidRPr="00B524A3">
          <w:rPr>
            <w:rStyle w:val="Hyperlink"/>
          </w:rPr>
          <w:t>https://www.fda.gov/media/71359/download</w:t>
        </w:r>
      </w:hyperlink>
      <w:r w:rsidRPr="00B524A3">
        <w:t>]</w:t>
      </w:r>
    </w:p>
    <w:p w14:paraId="14EAE61E" w14:textId="77777777" w:rsidR="001756B6" w:rsidRPr="00B524A3" w:rsidRDefault="001756B6" w:rsidP="001756B6">
      <w:pPr>
        <w:ind w:left="720" w:hanging="720"/>
        <w:rPr>
          <w:noProof/>
        </w:rPr>
      </w:pPr>
      <w:r w:rsidRPr="00B524A3">
        <w:rPr>
          <w:noProof/>
        </w:rPr>
        <w:t>2.</w:t>
      </w:r>
      <w:r w:rsidRPr="00B524A3">
        <w:rPr>
          <w:noProof/>
        </w:rPr>
        <w:tab/>
      </w:r>
      <w:r w:rsidRPr="00B524A3">
        <w:rPr>
          <w:b/>
          <w:noProof/>
        </w:rPr>
        <w:t xml:space="preserve">Guideline on clinical investigation of medicinal products for hormone replacement therapy of oestrogen deficiency symptoms in postmenopausal women. 2005 </w:t>
      </w:r>
      <w:r w:rsidRPr="00B524A3">
        <w:rPr>
          <w:noProof/>
        </w:rPr>
        <w:t>[</w:t>
      </w:r>
      <w:hyperlink r:id="rId5" w:history="1">
        <w:r w:rsidRPr="00B524A3">
          <w:rPr>
            <w:rStyle w:val="Hyperlink"/>
            <w:noProof/>
          </w:rPr>
          <w:t>https://www.ema.europa.eu/en/documents/scientific-guideline/guideline-clinical-investigation-medicinal-products-hormone-replacement-therapy-oestrogen-deficiency_en.pdf</w:t>
        </w:r>
      </w:hyperlink>
      <w:r w:rsidRPr="00B524A3">
        <w:rPr>
          <w:noProof/>
        </w:rPr>
        <w:t>]</w:t>
      </w:r>
    </w:p>
    <w:p w14:paraId="128ABCC8" w14:textId="77777777" w:rsidR="001756B6" w:rsidRPr="00B524A3" w:rsidRDefault="001756B6" w:rsidP="001756B6">
      <w:pPr>
        <w:ind w:left="720" w:hanging="720"/>
        <w:rPr>
          <w:noProof/>
        </w:rPr>
      </w:pPr>
      <w:r w:rsidRPr="00B524A3">
        <w:rPr>
          <w:noProof/>
        </w:rPr>
        <w:t>3.</w:t>
      </w:r>
      <w:r w:rsidRPr="00B524A3">
        <w:rPr>
          <w:noProof/>
        </w:rPr>
        <w:tab/>
        <w:t xml:space="preserve">Herdman M, Gudex C, Lloyd A, Janssen M, Kind P, Parkin D, Bonsel G, Badia X: </w:t>
      </w:r>
      <w:r w:rsidRPr="00B524A3">
        <w:rPr>
          <w:b/>
          <w:noProof/>
        </w:rPr>
        <w:t>Development and preliminary testing of the new five-level version of EQ-5D (EQ-5D-5L).</w:t>
      </w:r>
      <w:r w:rsidRPr="00B524A3">
        <w:rPr>
          <w:noProof/>
        </w:rPr>
        <w:t xml:space="preserve"> </w:t>
      </w:r>
      <w:r w:rsidRPr="00B524A3">
        <w:rPr>
          <w:i/>
          <w:noProof/>
        </w:rPr>
        <w:t xml:space="preserve">Qual Life Res </w:t>
      </w:r>
      <w:r w:rsidRPr="00B524A3">
        <w:rPr>
          <w:noProof/>
        </w:rPr>
        <w:t xml:space="preserve">2011, </w:t>
      </w:r>
      <w:r w:rsidRPr="00B524A3">
        <w:rPr>
          <w:b/>
          <w:noProof/>
        </w:rPr>
        <w:t>20:</w:t>
      </w:r>
      <w:r w:rsidRPr="00B524A3">
        <w:rPr>
          <w:noProof/>
        </w:rPr>
        <w:t>1727-1736.</w:t>
      </w:r>
    </w:p>
    <w:p w14:paraId="6F78FAC0" w14:textId="77777777" w:rsidR="001756B6" w:rsidRPr="00B524A3" w:rsidRDefault="001756B6" w:rsidP="001756B6">
      <w:pPr>
        <w:rPr>
          <w:b/>
          <w:bCs/>
          <w:highlight w:val="magenta"/>
        </w:rPr>
      </w:pPr>
      <w:r w:rsidRPr="00B524A3">
        <w:rPr>
          <w:highlight w:val="magenta"/>
        </w:rPr>
        <w:br w:type="page"/>
      </w:r>
    </w:p>
    <w:p w14:paraId="3CD4BEF0" w14:textId="77777777" w:rsidR="002510D4" w:rsidRDefault="002510D4"/>
    <w:sectPr w:rsidR="002510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B6"/>
    <w:rsid w:val="001756B6"/>
    <w:rsid w:val="00251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97CB"/>
  <w15:chartTrackingRefBased/>
  <w15:docId w15:val="{D0688739-57E8-49B3-8501-C4948EAE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6B6"/>
    <w:pPr>
      <w:spacing w:before="60" w:after="120" w:line="480" w:lineRule="auto"/>
    </w:pPr>
    <w:rPr>
      <w:rFonts w:ascii="Arial" w:eastAsia="Calibri" w:hAnsi="Arial" w:cs="Arial"/>
      <w:lang w:val="en-US"/>
    </w:rPr>
  </w:style>
  <w:style w:type="paragraph" w:styleId="Heading3">
    <w:name w:val="heading 3"/>
    <w:basedOn w:val="Normal"/>
    <w:next w:val="Normal"/>
    <w:link w:val="Heading3Char1"/>
    <w:autoRedefine/>
    <w:qFormat/>
    <w:rsid w:val="001756B6"/>
    <w:pPr>
      <w:keepNext/>
      <w:keepLines/>
      <w:spacing w:before="0" w:after="0" w:line="360" w:lineRule="auto"/>
      <w:outlineLvl w:val="2"/>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1756B6"/>
    <w:rPr>
      <w:rFonts w:asciiTheme="majorHAnsi" w:eastAsiaTheme="majorEastAsia" w:hAnsiTheme="majorHAnsi" w:cstheme="majorBidi"/>
      <w:color w:val="1F3763" w:themeColor="accent1" w:themeShade="7F"/>
      <w:sz w:val="24"/>
      <w:szCs w:val="24"/>
      <w:lang w:val="en-US"/>
    </w:rPr>
  </w:style>
  <w:style w:type="character" w:customStyle="1" w:styleId="Heading3Char1">
    <w:name w:val="Heading 3 Char1"/>
    <w:basedOn w:val="DefaultParagraphFont"/>
    <w:link w:val="Heading3"/>
    <w:rsid w:val="001756B6"/>
    <w:rPr>
      <w:rFonts w:ascii="Arial" w:eastAsia="Calibri" w:hAnsi="Arial" w:cs="Arial"/>
      <w:b/>
      <w:bCs/>
    </w:rPr>
  </w:style>
  <w:style w:type="character" w:styleId="Hyperlink">
    <w:name w:val="Hyperlink"/>
    <w:basedOn w:val="DefaultParagraphFont"/>
    <w:uiPriority w:val="99"/>
    <w:unhideWhenUsed/>
    <w:rsid w:val="001756B6"/>
    <w:rPr>
      <w:color w:val="0563C1" w:themeColor="hyperlink"/>
      <w:u w:val="single"/>
    </w:rPr>
  </w:style>
  <w:style w:type="paragraph" w:customStyle="1" w:styleId="EndNoteBibliography">
    <w:name w:val="EndNote Bibliography"/>
    <w:basedOn w:val="Normal"/>
    <w:link w:val="EndNoteBibliographyChar"/>
    <w:rsid w:val="001756B6"/>
    <w:rPr>
      <w:noProof/>
    </w:rPr>
  </w:style>
  <w:style w:type="character" w:customStyle="1" w:styleId="EndNoteBibliographyChar">
    <w:name w:val="EndNote Bibliography Char"/>
    <w:basedOn w:val="DefaultParagraphFont"/>
    <w:link w:val="EndNoteBibliography"/>
    <w:rsid w:val="001756B6"/>
    <w:rPr>
      <w:rFonts w:ascii="Arial" w:eastAsia="Calibri" w:hAnsi="Arial" w:cs="Arial"/>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ma.europa.eu/en/documents/scientific-guideline/guideline-clinical-investigation-medicinal-products-hormone-replacement-therapy-oestrogen-deficiency_en.pdf" TargetMode="External"/><Relationship Id="rId4" Type="http://schemas.openxmlformats.org/officeDocument/2006/relationships/hyperlink" Target="https://www.fda.gov/media/7135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2023-05-18T14:00:00Z</dcterms:created>
  <dcterms:modified xsi:type="dcterms:W3CDTF">2023-05-18T14:00:00Z</dcterms:modified>
</cp:coreProperties>
</file>