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6B74" w:rsidRPr="008653AB" w:rsidRDefault="008653AB" w:rsidP="008653AB">
      <w:pPr>
        <w:jc w:val="center"/>
        <w:rPr>
          <w:rFonts w:ascii="Arial" w:eastAsia="Arial" w:hAnsi="Arial" w:cs="Arial"/>
          <w:b/>
        </w:rPr>
      </w:pPr>
      <w:r w:rsidRPr="008653AB">
        <w:rPr>
          <w:rFonts w:ascii="Arial" w:eastAsia="Arial" w:hAnsi="Arial" w:cs="Arial"/>
          <w:b/>
        </w:rPr>
        <w:t>Supplement</w:t>
      </w:r>
    </w:p>
    <w:p w:rsidR="008653AB" w:rsidRDefault="008653AB" w:rsidP="008653AB">
      <w:pPr>
        <w:spacing w:line="480" w:lineRule="auto"/>
        <w:rPr>
          <w:rFonts w:ascii="Arial" w:eastAsia="Arial" w:hAnsi="Arial" w:cs="Arial"/>
          <w:i/>
        </w:rPr>
      </w:pPr>
      <w:r>
        <w:rPr>
          <w:rFonts w:ascii="Arial" w:eastAsia="Arial" w:hAnsi="Arial" w:cs="Arial"/>
          <w:i/>
        </w:rPr>
        <w:t>Associations between qR pattern and acute exacerbations</w:t>
      </w:r>
    </w:p>
    <w:p w:rsidR="008653AB" w:rsidRPr="00282E5D" w:rsidRDefault="008653AB" w:rsidP="008653AB">
      <w:pPr>
        <w:spacing w:line="480" w:lineRule="auto"/>
        <w:rPr>
          <w:rFonts w:ascii="Arial" w:eastAsia="Arial" w:hAnsi="Arial" w:cs="Arial"/>
        </w:rPr>
      </w:pPr>
      <w:r>
        <w:rPr>
          <w:rFonts w:ascii="Arial" w:eastAsia="Arial" w:hAnsi="Arial" w:cs="Arial"/>
        </w:rPr>
        <w:t>A qR pattern in V1, a marker of right ventricular strain, was present in 47/501 participants (9.4%) with 21 (44.7%) in the placebo group and 26 (55.3%) in the metoprolol group (p=0.63). There was n</w:t>
      </w:r>
      <w:r w:rsidRPr="004425BF">
        <w:rPr>
          <w:rFonts w:ascii="Arial" w:eastAsia="Arial" w:hAnsi="Arial" w:cs="Arial"/>
        </w:rPr>
        <w:t xml:space="preserve">o interaction </w:t>
      </w:r>
      <w:r>
        <w:rPr>
          <w:rFonts w:ascii="Arial" w:eastAsia="Arial" w:hAnsi="Arial" w:cs="Arial"/>
        </w:rPr>
        <w:t xml:space="preserve">between </w:t>
      </w:r>
      <w:r w:rsidRPr="004425BF">
        <w:rPr>
          <w:rFonts w:ascii="Arial" w:eastAsia="Arial" w:hAnsi="Arial" w:cs="Arial"/>
        </w:rPr>
        <w:t>qR pattern in V1 and treatment assignment</w:t>
      </w:r>
      <w:r>
        <w:rPr>
          <w:rFonts w:ascii="Arial" w:eastAsia="Arial" w:hAnsi="Arial" w:cs="Arial"/>
        </w:rPr>
        <w:t xml:space="preserve"> on the risk of </w:t>
      </w:r>
      <w:r w:rsidRPr="004425BF">
        <w:rPr>
          <w:rFonts w:ascii="Arial" w:eastAsia="Arial" w:hAnsi="Arial" w:cs="Arial"/>
        </w:rPr>
        <w:t xml:space="preserve">any or severe </w:t>
      </w:r>
      <w:r>
        <w:rPr>
          <w:rFonts w:ascii="Arial" w:eastAsia="Arial" w:hAnsi="Arial" w:cs="Arial"/>
        </w:rPr>
        <w:t xml:space="preserve">AECOPD. </w:t>
      </w:r>
      <w:r w:rsidRPr="00282E5D">
        <w:rPr>
          <w:rFonts w:ascii="Arial" w:eastAsia="Arial" w:hAnsi="Arial" w:cs="Arial"/>
        </w:rPr>
        <w:t xml:space="preserve">We </w:t>
      </w:r>
      <w:r>
        <w:rPr>
          <w:rFonts w:ascii="Arial" w:eastAsia="Arial" w:hAnsi="Arial" w:cs="Arial"/>
        </w:rPr>
        <w:t xml:space="preserve">also </w:t>
      </w:r>
      <w:r w:rsidRPr="00282E5D">
        <w:rPr>
          <w:rFonts w:ascii="Arial" w:eastAsia="Arial" w:hAnsi="Arial" w:cs="Arial"/>
        </w:rPr>
        <w:t xml:space="preserve">did not identify an association between qR pattern in V1 and </w:t>
      </w:r>
      <w:r w:rsidRPr="00263CB0">
        <w:rPr>
          <w:rFonts w:ascii="Arial" w:hAnsi="Arial" w:cs="Arial"/>
        </w:rPr>
        <w:t xml:space="preserve">risk of </w:t>
      </w:r>
      <w:r>
        <w:rPr>
          <w:rFonts w:ascii="Arial" w:hAnsi="Arial" w:cs="Arial"/>
        </w:rPr>
        <w:t>AECOPD</w:t>
      </w:r>
      <w:r w:rsidRPr="00263CB0">
        <w:rPr>
          <w:rFonts w:ascii="Arial" w:hAnsi="Arial" w:cs="Arial"/>
        </w:rPr>
        <w:t xml:space="preserve"> (p-values&gt;0.</w:t>
      </w:r>
      <w:r>
        <w:rPr>
          <w:rFonts w:ascii="Arial" w:hAnsi="Arial" w:cs="Arial"/>
        </w:rPr>
        <w:t>4</w:t>
      </w:r>
      <w:r w:rsidRPr="00263CB0">
        <w:rPr>
          <w:rFonts w:ascii="Arial" w:hAnsi="Arial" w:cs="Arial"/>
        </w:rPr>
        <w:t xml:space="preserve">; </w:t>
      </w:r>
      <w:r>
        <w:rPr>
          <w:rFonts w:ascii="Arial" w:hAnsi="Arial" w:cs="Arial"/>
        </w:rPr>
        <w:t>Supplementary Tables S2-S3</w:t>
      </w:r>
      <w:r w:rsidRPr="00263CB0">
        <w:rPr>
          <w:rFonts w:ascii="Arial" w:hAnsi="Arial" w:cs="Arial"/>
        </w:rPr>
        <w:t xml:space="preserve">). </w:t>
      </w:r>
    </w:p>
    <w:p w:rsidR="008653AB" w:rsidRDefault="008653AB" w:rsidP="008653AB">
      <w:pPr>
        <w:spacing w:line="480" w:lineRule="auto"/>
        <w:rPr>
          <w:rFonts w:ascii="Arial" w:eastAsia="Arial" w:hAnsi="Arial" w:cs="Arial"/>
          <w:i/>
        </w:rPr>
      </w:pPr>
      <w:r>
        <w:rPr>
          <w:rFonts w:ascii="Arial" w:eastAsia="Arial" w:hAnsi="Arial" w:cs="Arial"/>
          <w:i/>
        </w:rPr>
        <w:t>Associations between dominant S wave and acute exacerbations</w:t>
      </w:r>
    </w:p>
    <w:p w:rsidR="008653AB" w:rsidRDefault="008653AB" w:rsidP="008653AB">
      <w:pPr>
        <w:spacing w:line="480" w:lineRule="auto"/>
        <w:rPr>
          <w:rFonts w:ascii="Arial" w:eastAsia="Arial" w:hAnsi="Arial" w:cs="Arial"/>
        </w:rPr>
      </w:pPr>
      <w:r>
        <w:rPr>
          <w:rFonts w:ascii="Arial" w:eastAsia="Arial" w:hAnsi="Arial" w:cs="Arial"/>
        </w:rPr>
        <w:t xml:space="preserve">A dominant S wave in leads V5 or V6, a marker of right ventricular hypertrophy, was observed in 53/501 (10.6%) participants, with 31 (58.5%) in the placebo group and 22 </w:t>
      </w:r>
      <w:r w:rsidRPr="00E42F2A">
        <w:rPr>
          <w:rFonts w:ascii="Arial" w:eastAsia="Arial" w:hAnsi="Arial" w:cs="Arial"/>
        </w:rPr>
        <w:t xml:space="preserve">(41.5%) in the metoprolol group (p=0.19). The presence of </w:t>
      </w:r>
      <w:r>
        <w:rPr>
          <w:rFonts w:ascii="Arial" w:eastAsia="Arial" w:hAnsi="Arial" w:cs="Arial"/>
        </w:rPr>
        <w:t xml:space="preserve">a </w:t>
      </w:r>
      <w:r w:rsidRPr="00E42F2A">
        <w:rPr>
          <w:rFonts w:ascii="Arial" w:eastAsia="Arial" w:hAnsi="Arial" w:cs="Arial"/>
        </w:rPr>
        <w:t xml:space="preserve">dominant S wave was not associated with </w:t>
      </w:r>
      <w:r>
        <w:rPr>
          <w:rFonts w:ascii="Arial" w:eastAsia="Arial" w:hAnsi="Arial" w:cs="Arial"/>
        </w:rPr>
        <w:t xml:space="preserve">the </w:t>
      </w:r>
      <w:r w:rsidRPr="00E42F2A">
        <w:rPr>
          <w:rFonts w:ascii="Arial" w:eastAsia="Arial" w:hAnsi="Arial" w:cs="Arial"/>
        </w:rPr>
        <w:t xml:space="preserve">risk of </w:t>
      </w:r>
      <w:r>
        <w:rPr>
          <w:rFonts w:ascii="Arial" w:eastAsia="Arial" w:hAnsi="Arial" w:cs="Arial"/>
        </w:rPr>
        <w:t>any or severe AECOPD</w:t>
      </w:r>
      <w:r w:rsidRPr="00E42F2A">
        <w:rPr>
          <w:rFonts w:ascii="Arial" w:hAnsi="Arial" w:cs="Arial"/>
        </w:rPr>
        <w:t xml:space="preserve">, and </w:t>
      </w:r>
      <w:r w:rsidRPr="00E42F2A">
        <w:rPr>
          <w:rFonts w:ascii="Arial" w:eastAsia="Arial" w:hAnsi="Arial" w:cs="Arial"/>
        </w:rPr>
        <w:t xml:space="preserve">no interaction with treatment assignment was observed </w:t>
      </w:r>
      <w:r w:rsidRPr="00E42F2A">
        <w:rPr>
          <w:rFonts w:ascii="Arial" w:hAnsi="Arial" w:cs="Arial"/>
        </w:rPr>
        <w:t xml:space="preserve">(p-values&gt;0.1; </w:t>
      </w:r>
      <w:r>
        <w:rPr>
          <w:rFonts w:ascii="Arial" w:hAnsi="Arial" w:cs="Arial"/>
        </w:rPr>
        <w:t>Supplementary T</w:t>
      </w:r>
      <w:r w:rsidRPr="00E42F2A">
        <w:rPr>
          <w:rFonts w:ascii="Arial" w:hAnsi="Arial" w:cs="Arial"/>
        </w:rPr>
        <w:t xml:space="preserve">ables </w:t>
      </w:r>
      <w:r>
        <w:rPr>
          <w:rFonts w:ascii="Arial" w:hAnsi="Arial" w:cs="Arial"/>
        </w:rPr>
        <w:t>S2-S3</w:t>
      </w:r>
      <w:r w:rsidRPr="00E42F2A">
        <w:rPr>
          <w:rFonts w:ascii="Arial" w:hAnsi="Arial" w:cs="Arial"/>
        </w:rPr>
        <w:t>).</w:t>
      </w:r>
    </w:p>
    <w:p w:rsidR="008653AB" w:rsidRDefault="008653AB">
      <w:r>
        <w:br w:type="page"/>
      </w:r>
    </w:p>
    <w:p w:rsidR="008653AB" w:rsidRPr="00465065" w:rsidRDefault="008653AB" w:rsidP="008653AB">
      <w:pPr>
        <w:rPr>
          <w:b/>
          <w:bCs/>
        </w:rPr>
      </w:pPr>
      <w:r w:rsidRPr="00465065">
        <w:rPr>
          <w:b/>
          <w:bCs/>
          <w:sz w:val="24"/>
          <w:szCs w:val="24"/>
        </w:rPr>
        <w:lastRenderedPageBreak/>
        <w:t xml:space="preserve">Supplementary Table S1: </w:t>
      </w:r>
      <w:r w:rsidRPr="00465065">
        <w:rPr>
          <w:sz w:val="24"/>
          <w:szCs w:val="24"/>
        </w:rPr>
        <w:t>Cohen’s Kappa statistics for interrater reliability. Kappa statistic and number of ECGs read are presented for each measure.</w:t>
      </w:r>
    </w:p>
    <w:tbl>
      <w:tblPr>
        <w:tblStyle w:val="Table"/>
        <w:tblW w:w="0" w:type="auto"/>
        <w:tblBorders>
          <w:top w:val="single" w:sz="4" w:space="0" w:color="auto"/>
          <w:bottom w:val="single" w:sz="4" w:space="0" w:color="auto"/>
        </w:tblBorders>
        <w:tblLook w:val="0020" w:firstRow="1" w:lastRow="0" w:firstColumn="0" w:lastColumn="0" w:noHBand="0" w:noVBand="0"/>
        <w:tblCaption w:val="Kappa statistics"/>
      </w:tblPr>
      <w:tblGrid>
        <w:gridCol w:w="2754"/>
        <w:gridCol w:w="1455"/>
        <w:gridCol w:w="1440"/>
        <w:gridCol w:w="3606"/>
      </w:tblGrid>
      <w:tr w:rsidR="008653AB" w:rsidRPr="00E3666A" w:rsidTr="006800BD">
        <w:trPr>
          <w:tblHeader/>
        </w:trPr>
        <w:tc>
          <w:tcPr>
            <w:tcW w:w="0" w:type="auto"/>
            <w:tcBorders>
              <w:top w:val="single" w:sz="4" w:space="0" w:color="auto"/>
              <w:bottom w:val="single" w:sz="4" w:space="0" w:color="auto"/>
            </w:tcBorders>
          </w:tcPr>
          <w:p w:rsidR="008653AB" w:rsidRPr="00E3666A" w:rsidRDefault="008653AB" w:rsidP="006800BD">
            <w:pPr>
              <w:pStyle w:val="Compact"/>
            </w:pPr>
          </w:p>
        </w:tc>
        <w:tc>
          <w:tcPr>
            <w:tcW w:w="0" w:type="auto"/>
            <w:tcBorders>
              <w:top w:val="single" w:sz="4" w:space="0" w:color="auto"/>
              <w:bottom w:val="single" w:sz="4" w:space="0" w:color="auto"/>
            </w:tcBorders>
            <w:hideMark/>
          </w:tcPr>
          <w:p w:rsidR="008653AB" w:rsidRPr="005A25C4" w:rsidRDefault="008653AB" w:rsidP="006800BD">
            <w:pPr>
              <w:pStyle w:val="Compact"/>
              <w:jc w:val="center"/>
            </w:pPr>
            <w:r w:rsidRPr="005A25C4">
              <w:t>P-pulmonale</w:t>
            </w:r>
          </w:p>
        </w:tc>
        <w:tc>
          <w:tcPr>
            <w:tcW w:w="0" w:type="auto"/>
            <w:tcBorders>
              <w:top w:val="single" w:sz="4" w:space="0" w:color="auto"/>
              <w:bottom w:val="single" w:sz="4" w:space="0" w:color="auto"/>
            </w:tcBorders>
            <w:hideMark/>
          </w:tcPr>
          <w:p w:rsidR="008653AB" w:rsidRPr="00E3666A" w:rsidRDefault="008653AB" w:rsidP="006800BD">
            <w:pPr>
              <w:pStyle w:val="Compact"/>
              <w:jc w:val="center"/>
            </w:pPr>
            <w:r w:rsidRPr="00E3666A">
              <w:t>qR_V1</w:t>
            </w:r>
          </w:p>
        </w:tc>
        <w:tc>
          <w:tcPr>
            <w:tcW w:w="0" w:type="auto"/>
            <w:tcBorders>
              <w:top w:val="single" w:sz="4" w:space="0" w:color="auto"/>
              <w:bottom w:val="single" w:sz="4" w:space="0" w:color="auto"/>
            </w:tcBorders>
            <w:hideMark/>
          </w:tcPr>
          <w:p w:rsidR="008653AB" w:rsidRPr="00E3666A" w:rsidRDefault="008653AB" w:rsidP="006800BD">
            <w:pPr>
              <w:pStyle w:val="Compact"/>
              <w:jc w:val="center"/>
            </w:pPr>
            <w:r w:rsidRPr="00E3666A">
              <w:t>Dominant S wave in leads V5 or V6</w:t>
            </w:r>
          </w:p>
        </w:tc>
      </w:tr>
      <w:tr w:rsidR="008653AB" w:rsidRPr="00E3666A" w:rsidTr="006800BD">
        <w:tc>
          <w:tcPr>
            <w:tcW w:w="0" w:type="auto"/>
            <w:tcBorders>
              <w:top w:val="single" w:sz="4" w:space="0" w:color="auto"/>
            </w:tcBorders>
            <w:hideMark/>
          </w:tcPr>
          <w:p w:rsidR="008653AB" w:rsidRPr="00E3666A" w:rsidRDefault="008653AB" w:rsidP="006800BD">
            <w:pPr>
              <w:pStyle w:val="Compact"/>
            </w:pPr>
            <w:r>
              <w:t>Reviewer</w:t>
            </w:r>
            <w:r w:rsidRPr="005A25C4">
              <w:t xml:space="preserve"> 1 vs. </w:t>
            </w:r>
            <w:r>
              <w:t>Reviewer</w:t>
            </w:r>
            <w:r w:rsidRPr="005A25C4">
              <w:t xml:space="preserve"> 2</w:t>
            </w:r>
          </w:p>
        </w:tc>
        <w:tc>
          <w:tcPr>
            <w:tcW w:w="0" w:type="auto"/>
            <w:tcBorders>
              <w:top w:val="single" w:sz="4" w:space="0" w:color="auto"/>
            </w:tcBorders>
            <w:hideMark/>
          </w:tcPr>
          <w:p w:rsidR="008653AB" w:rsidRPr="00E3666A" w:rsidRDefault="008653AB" w:rsidP="006800BD">
            <w:pPr>
              <w:pStyle w:val="Compact"/>
              <w:jc w:val="center"/>
            </w:pPr>
            <w:r w:rsidRPr="00E3666A">
              <w:t>0.90 (N=50)</w:t>
            </w:r>
          </w:p>
        </w:tc>
        <w:tc>
          <w:tcPr>
            <w:tcW w:w="0" w:type="auto"/>
            <w:tcBorders>
              <w:top w:val="single" w:sz="4" w:space="0" w:color="auto"/>
            </w:tcBorders>
            <w:hideMark/>
          </w:tcPr>
          <w:p w:rsidR="008653AB" w:rsidRPr="00465065" w:rsidRDefault="008653AB" w:rsidP="006800BD">
            <w:pPr>
              <w:pStyle w:val="Compact"/>
              <w:jc w:val="center"/>
              <w:rPr>
                <w:vertAlign w:val="superscript"/>
              </w:rPr>
            </w:pPr>
            <w:r w:rsidRPr="00E3666A">
              <w:t>N/A* (N=49)</w:t>
            </w:r>
          </w:p>
        </w:tc>
        <w:tc>
          <w:tcPr>
            <w:tcW w:w="0" w:type="auto"/>
            <w:tcBorders>
              <w:top w:val="single" w:sz="4" w:space="0" w:color="auto"/>
            </w:tcBorders>
            <w:hideMark/>
          </w:tcPr>
          <w:p w:rsidR="008653AB" w:rsidRPr="005A25C4" w:rsidRDefault="008653AB" w:rsidP="006800BD">
            <w:pPr>
              <w:pStyle w:val="Compact"/>
              <w:jc w:val="center"/>
            </w:pPr>
            <w:r w:rsidRPr="00E3666A">
              <w:t>0.69</w:t>
            </w:r>
            <w:r w:rsidRPr="005A25C4">
              <w:t xml:space="preserve"> (N=50)</w:t>
            </w:r>
          </w:p>
        </w:tc>
      </w:tr>
      <w:tr w:rsidR="008653AB" w:rsidRPr="00955325" w:rsidTr="006800BD">
        <w:tc>
          <w:tcPr>
            <w:tcW w:w="0" w:type="auto"/>
            <w:hideMark/>
          </w:tcPr>
          <w:p w:rsidR="008653AB" w:rsidRPr="00465065" w:rsidRDefault="008653AB" w:rsidP="006800BD">
            <w:pPr>
              <w:pStyle w:val="Compact"/>
              <w:rPr>
                <w:rFonts w:asciiTheme="minorHAnsi" w:hAnsiTheme="minorHAnsi" w:cstheme="minorHAnsi"/>
              </w:rPr>
            </w:pPr>
            <w:r>
              <w:t>Reviewer</w:t>
            </w:r>
            <w:r w:rsidRPr="005A25C4">
              <w:t xml:space="preserve"> </w:t>
            </w:r>
            <w:r w:rsidRPr="00465065">
              <w:rPr>
                <w:rFonts w:asciiTheme="minorHAnsi" w:hAnsiTheme="minorHAnsi" w:cstheme="minorHAnsi"/>
              </w:rPr>
              <w:t xml:space="preserve">1 vs. </w:t>
            </w:r>
            <w:r>
              <w:t>Reviewer</w:t>
            </w:r>
            <w:r w:rsidRPr="005A25C4">
              <w:t xml:space="preserve"> </w:t>
            </w:r>
            <w:r w:rsidRPr="00465065">
              <w:rPr>
                <w:rFonts w:asciiTheme="minorHAnsi" w:hAnsiTheme="minorHAnsi" w:cstheme="minorHAnsi"/>
              </w:rPr>
              <w:t>3</w:t>
            </w:r>
          </w:p>
        </w:tc>
        <w:tc>
          <w:tcPr>
            <w:tcW w:w="0" w:type="auto"/>
            <w:hideMark/>
          </w:tcPr>
          <w:p w:rsidR="008653AB" w:rsidRPr="00465065" w:rsidRDefault="008653AB" w:rsidP="006800BD">
            <w:pPr>
              <w:pStyle w:val="Compact"/>
              <w:jc w:val="center"/>
              <w:rPr>
                <w:rFonts w:asciiTheme="minorHAnsi" w:hAnsiTheme="minorHAnsi" w:cstheme="minorHAnsi"/>
              </w:rPr>
            </w:pPr>
            <w:r w:rsidRPr="00465065">
              <w:rPr>
                <w:rFonts w:asciiTheme="minorHAnsi" w:hAnsiTheme="minorHAnsi" w:cstheme="minorHAnsi"/>
              </w:rPr>
              <w:t>0.92 (N=54)</w:t>
            </w:r>
          </w:p>
        </w:tc>
        <w:tc>
          <w:tcPr>
            <w:tcW w:w="0" w:type="auto"/>
            <w:hideMark/>
          </w:tcPr>
          <w:p w:rsidR="008653AB" w:rsidRPr="00465065" w:rsidRDefault="008653AB" w:rsidP="006800BD">
            <w:pPr>
              <w:pStyle w:val="Compact"/>
              <w:jc w:val="center"/>
              <w:rPr>
                <w:rFonts w:asciiTheme="minorHAnsi" w:hAnsiTheme="minorHAnsi" w:cstheme="minorHAnsi"/>
              </w:rPr>
            </w:pPr>
            <w:r w:rsidRPr="00465065">
              <w:rPr>
                <w:rFonts w:asciiTheme="minorHAnsi" w:hAnsiTheme="minorHAnsi" w:cstheme="minorHAnsi"/>
              </w:rPr>
              <w:t>0.55 (N=52)</w:t>
            </w:r>
          </w:p>
        </w:tc>
        <w:tc>
          <w:tcPr>
            <w:tcW w:w="0" w:type="auto"/>
            <w:hideMark/>
          </w:tcPr>
          <w:p w:rsidR="008653AB" w:rsidRPr="00465065" w:rsidRDefault="008653AB" w:rsidP="006800BD">
            <w:pPr>
              <w:pStyle w:val="Compact"/>
              <w:jc w:val="center"/>
              <w:rPr>
                <w:rFonts w:asciiTheme="minorHAnsi" w:hAnsiTheme="minorHAnsi" w:cstheme="minorHAnsi"/>
              </w:rPr>
            </w:pPr>
            <w:r w:rsidRPr="00465065">
              <w:rPr>
                <w:rFonts w:asciiTheme="minorHAnsi" w:hAnsiTheme="minorHAnsi" w:cstheme="minorHAnsi"/>
              </w:rPr>
              <w:t>0 (N=54)</w:t>
            </w:r>
          </w:p>
        </w:tc>
      </w:tr>
    </w:tbl>
    <w:p w:rsidR="008653AB" w:rsidRPr="00465065" w:rsidRDefault="008653AB" w:rsidP="008653AB">
      <w:pPr>
        <w:rPr>
          <w:rFonts w:cstheme="minorHAnsi"/>
          <w:sz w:val="20"/>
          <w:szCs w:val="20"/>
        </w:rPr>
      </w:pPr>
      <w:r w:rsidRPr="00465065">
        <w:rPr>
          <w:rFonts w:cstheme="minorHAnsi"/>
          <w:b/>
          <w:bCs/>
          <w:sz w:val="20"/>
          <w:szCs w:val="20"/>
        </w:rPr>
        <w:t>*</w:t>
      </w:r>
      <w:r w:rsidRPr="00465065">
        <w:rPr>
          <w:rFonts w:cstheme="minorHAnsi"/>
          <w:sz w:val="20"/>
          <w:szCs w:val="20"/>
        </w:rPr>
        <w:t xml:space="preserve">Reviewer 2 reported qR_V1 absent in all ECGs evaluated. Reviewer 1 reported qR_V1 present in 5 </w:t>
      </w:r>
      <w:r w:rsidRPr="00465065">
        <w:rPr>
          <w:rFonts w:eastAsia="Arial" w:cstheme="minorHAnsi"/>
          <w:sz w:val="20"/>
          <w:szCs w:val="20"/>
        </w:rPr>
        <w:t>ECGs.</w:t>
      </w:r>
    </w:p>
    <w:p w:rsidR="008653AB" w:rsidRDefault="008653AB" w:rsidP="008653AB">
      <w:pPr>
        <w:rPr>
          <w:b/>
          <w:bCs/>
          <w:iCs/>
          <w:sz w:val="24"/>
          <w:szCs w:val="24"/>
        </w:rPr>
      </w:pPr>
      <w:r>
        <w:rPr>
          <w:b/>
          <w:bCs/>
          <w:i/>
          <w:iCs/>
        </w:rPr>
        <w:br w:type="page"/>
      </w:r>
    </w:p>
    <w:p w:rsidR="008653AB" w:rsidRPr="00495F48" w:rsidRDefault="008653AB" w:rsidP="008653AB">
      <w:pPr>
        <w:rPr>
          <w:iCs/>
        </w:rPr>
      </w:pPr>
      <w:r>
        <w:rPr>
          <w:b/>
          <w:bCs/>
        </w:rPr>
        <w:lastRenderedPageBreak/>
        <w:t xml:space="preserve">Supplementary </w:t>
      </w:r>
      <w:r w:rsidRPr="001818DE">
        <w:rPr>
          <w:b/>
          <w:bCs/>
        </w:rPr>
        <w:t xml:space="preserve">Table </w:t>
      </w:r>
      <w:r>
        <w:rPr>
          <w:b/>
          <w:bCs/>
        </w:rPr>
        <w:t>S2:</w:t>
      </w:r>
      <w:r w:rsidRPr="00495F48">
        <w:t xml:space="preserve"> </w:t>
      </w:r>
      <w:r>
        <w:t>P-values for test of i</w:t>
      </w:r>
      <w:r w:rsidRPr="00495F48">
        <w:t>nteractions</w:t>
      </w:r>
      <w:r>
        <w:t xml:space="preserve"> between </w:t>
      </w:r>
      <w:r w:rsidRPr="00DF700E">
        <w:t xml:space="preserve">ECG parameters </w:t>
      </w:r>
      <w:r>
        <w:t xml:space="preserve">and treatment assignment (metoprolol vs placebo) on time to acute exacerbations of COPD. </w:t>
      </w:r>
    </w:p>
    <w:tbl>
      <w:tblPr>
        <w:tblStyle w:val="Table"/>
        <w:tblW w:w="5048" w:type="pct"/>
        <w:tblInd w:w="-90" w:type="dxa"/>
        <w:tblLayout w:type="fixed"/>
        <w:tblLook w:val="07E0" w:firstRow="1" w:lastRow="1" w:firstColumn="1" w:lastColumn="1" w:noHBand="1" w:noVBand="1"/>
        <w:tblCaption w:val="Table for interaction estimates"/>
      </w:tblPr>
      <w:tblGrid>
        <w:gridCol w:w="1953"/>
        <w:gridCol w:w="1778"/>
        <w:gridCol w:w="1941"/>
        <w:gridCol w:w="1888"/>
        <w:gridCol w:w="1890"/>
      </w:tblGrid>
      <w:tr w:rsidR="008653AB" w:rsidTr="006800BD">
        <w:trPr>
          <w:trHeight w:val="171"/>
        </w:trPr>
        <w:tc>
          <w:tcPr>
            <w:tcW w:w="1033" w:type="pct"/>
            <w:tcBorders>
              <w:top w:val="single" w:sz="4" w:space="0" w:color="auto"/>
              <w:left w:val="nil"/>
              <w:right w:val="nil"/>
            </w:tcBorders>
            <w:vAlign w:val="bottom"/>
          </w:tcPr>
          <w:p w:rsidR="008653AB" w:rsidRDefault="008653AB" w:rsidP="006800BD">
            <w:pPr>
              <w:pStyle w:val="Compact"/>
            </w:pPr>
          </w:p>
        </w:tc>
        <w:tc>
          <w:tcPr>
            <w:tcW w:w="1968" w:type="pct"/>
            <w:gridSpan w:val="2"/>
            <w:tcBorders>
              <w:top w:val="single" w:sz="4" w:space="0" w:color="auto"/>
              <w:left w:val="nil"/>
              <w:right w:val="nil"/>
            </w:tcBorders>
            <w:vAlign w:val="bottom"/>
          </w:tcPr>
          <w:p w:rsidR="008653AB" w:rsidRDefault="008653AB" w:rsidP="006800BD">
            <w:pPr>
              <w:pStyle w:val="Compact"/>
              <w:pBdr>
                <w:bottom w:val="single" w:sz="4" w:space="1" w:color="auto"/>
              </w:pBdr>
              <w:jc w:val="center"/>
            </w:pPr>
            <w:r>
              <w:rPr>
                <w:b/>
                <w:bCs/>
              </w:rPr>
              <w:t>Any AECOPD</w:t>
            </w:r>
          </w:p>
        </w:tc>
        <w:tc>
          <w:tcPr>
            <w:tcW w:w="1999" w:type="pct"/>
            <w:gridSpan w:val="2"/>
            <w:tcBorders>
              <w:top w:val="single" w:sz="4" w:space="0" w:color="auto"/>
              <w:left w:val="nil"/>
              <w:right w:val="nil"/>
            </w:tcBorders>
            <w:vAlign w:val="bottom"/>
          </w:tcPr>
          <w:p w:rsidR="008653AB" w:rsidRDefault="008653AB" w:rsidP="006800BD">
            <w:pPr>
              <w:pStyle w:val="Compact"/>
              <w:pBdr>
                <w:bottom w:val="single" w:sz="4" w:space="1" w:color="auto"/>
              </w:pBdr>
              <w:jc w:val="center"/>
            </w:pPr>
            <w:r>
              <w:rPr>
                <w:b/>
                <w:bCs/>
              </w:rPr>
              <w:t>Severe or Very Severe AECOPD</w:t>
            </w:r>
          </w:p>
        </w:tc>
      </w:tr>
      <w:tr w:rsidR="008653AB" w:rsidTr="006800BD">
        <w:trPr>
          <w:trHeight w:val="169"/>
        </w:trPr>
        <w:tc>
          <w:tcPr>
            <w:tcW w:w="1033" w:type="pct"/>
            <w:tcBorders>
              <w:left w:val="nil"/>
              <w:bottom w:val="single" w:sz="2" w:space="0" w:color="auto"/>
              <w:right w:val="nil"/>
            </w:tcBorders>
            <w:vAlign w:val="bottom"/>
          </w:tcPr>
          <w:p w:rsidR="008653AB" w:rsidRDefault="008653AB" w:rsidP="006800BD">
            <w:pPr>
              <w:pStyle w:val="Compact"/>
            </w:pPr>
          </w:p>
        </w:tc>
        <w:tc>
          <w:tcPr>
            <w:tcW w:w="941" w:type="pct"/>
            <w:tcBorders>
              <w:left w:val="nil"/>
              <w:bottom w:val="single" w:sz="2" w:space="0" w:color="auto"/>
              <w:right w:val="nil"/>
            </w:tcBorders>
            <w:vAlign w:val="bottom"/>
            <w:hideMark/>
          </w:tcPr>
          <w:p w:rsidR="008653AB" w:rsidRDefault="008653AB" w:rsidP="006800BD">
            <w:pPr>
              <w:pStyle w:val="Compact"/>
              <w:jc w:val="center"/>
            </w:pPr>
            <w:r>
              <w:t>Unadjusted</w:t>
            </w:r>
          </w:p>
        </w:tc>
        <w:tc>
          <w:tcPr>
            <w:tcW w:w="1027" w:type="pct"/>
            <w:tcBorders>
              <w:left w:val="nil"/>
              <w:bottom w:val="single" w:sz="2" w:space="0" w:color="auto"/>
              <w:right w:val="nil"/>
            </w:tcBorders>
            <w:vAlign w:val="bottom"/>
            <w:hideMark/>
          </w:tcPr>
          <w:p w:rsidR="008653AB" w:rsidRPr="001818DE" w:rsidRDefault="008653AB" w:rsidP="006800BD">
            <w:pPr>
              <w:pStyle w:val="Compact"/>
              <w:jc w:val="center"/>
              <w:rPr>
                <w:vertAlign w:val="superscript"/>
              </w:rPr>
            </w:pPr>
            <w:r>
              <w:t>Adjusted</w:t>
            </w:r>
            <w:r>
              <w:rPr>
                <w:vertAlign w:val="superscript"/>
              </w:rPr>
              <w:t>1</w:t>
            </w:r>
          </w:p>
        </w:tc>
        <w:tc>
          <w:tcPr>
            <w:tcW w:w="999" w:type="pct"/>
            <w:tcBorders>
              <w:left w:val="nil"/>
              <w:bottom w:val="single" w:sz="2" w:space="0" w:color="auto"/>
              <w:right w:val="nil"/>
            </w:tcBorders>
            <w:vAlign w:val="bottom"/>
            <w:hideMark/>
          </w:tcPr>
          <w:p w:rsidR="008653AB" w:rsidRDefault="008653AB" w:rsidP="006800BD">
            <w:pPr>
              <w:pStyle w:val="Compact"/>
              <w:jc w:val="center"/>
            </w:pPr>
            <w:r>
              <w:t>Unadjusted</w:t>
            </w:r>
          </w:p>
        </w:tc>
        <w:tc>
          <w:tcPr>
            <w:tcW w:w="1000" w:type="pct"/>
            <w:tcBorders>
              <w:left w:val="nil"/>
              <w:bottom w:val="single" w:sz="2" w:space="0" w:color="auto"/>
              <w:right w:val="nil"/>
            </w:tcBorders>
            <w:vAlign w:val="bottom"/>
            <w:hideMark/>
          </w:tcPr>
          <w:p w:rsidR="008653AB" w:rsidRDefault="008653AB" w:rsidP="006800BD">
            <w:pPr>
              <w:pStyle w:val="Compact"/>
              <w:jc w:val="center"/>
            </w:pPr>
            <w:r>
              <w:t>Adjusted</w:t>
            </w:r>
            <w:r>
              <w:rPr>
                <w:vertAlign w:val="superscript"/>
              </w:rPr>
              <w:t>1</w:t>
            </w:r>
          </w:p>
        </w:tc>
      </w:tr>
      <w:tr w:rsidR="008653AB" w:rsidTr="006800BD">
        <w:trPr>
          <w:trHeight w:val="449"/>
        </w:trPr>
        <w:tc>
          <w:tcPr>
            <w:tcW w:w="1033" w:type="pct"/>
            <w:hideMark/>
          </w:tcPr>
          <w:p w:rsidR="008653AB" w:rsidRDefault="008653AB" w:rsidP="006800BD">
            <w:pPr>
              <w:pStyle w:val="Compact"/>
            </w:pPr>
            <w:r>
              <w:t>P-pulmonale</w:t>
            </w:r>
          </w:p>
        </w:tc>
        <w:tc>
          <w:tcPr>
            <w:tcW w:w="941" w:type="pct"/>
            <w:hideMark/>
          </w:tcPr>
          <w:p w:rsidR="008653AB" w:rsidRDefault="008653AB" w:rsidP="006800BD">
            <w:pPr>
              <w:pStyle w:val="Compact"/>
              <w:jc w:val="center"/>
            </w:pPr>
            <w:r>
              <w:t>0.005</w:t>
            </w:r>
            <w:r w:rsidRPr="00337CB4">
              <w:rPr>
                <w:vertAlign w:val="superscript"/>
              </w:rPr>
              <w:t>2</w:t>
            </w:r>
          </w:p>
        </w:tc>
        <w:tc>
          <w:tcPr>
            <w:tcW w:w="1027" w:type="pct"/>
            <w:hideMark/>
          </w:tcPr>
          <w:p w:rsidR="008653AB" w:rsidRDefault="008653AB" w:rsidP="006800BD">
            <w:pPr>
              <w:pStyle w:val="Compact"/>
              <w:jc w:val="center"/>
            </w:pPr>
            <w:r>
              <w:t>0.005</w:t>
            </w:r>
            <w:r w:rsidRPr="00337CB4">
              <w:rPr>
                <w:vertAlign w:val="superscript"/>
              </w:rPr>
              <w:t>2</w:t>
            </w:r>
          </w:p>
        </w:tc>
        <w:tc>
          <w:tcPr>
            <w:tcW w:w="999" w:type="pct"/>
            <w:hideMark/>
          </w:tcPr>
          <w:p w:rsidR="008653AB" w:rsidRDefault="008653AB" w:rsidP="006800BD">
            <w:pPr>
              <w:pStyle w:val="Compact"/>
              <w:jc w:val="center"/>
            </w:pPr>
            <w:r>
              <w:t>0.158</w:t>
            </w:r>
          </w:p>
        </w:tc>
        <w:tc>
          <w:tcPr>
            <w:tcW w:w="1000" w:type="pct"/>
            <w:hideMark/>
          </w:tcPr>
          <w:p w:rsidR="008653AB" w:rsidRDefault="008653AB" w:rsidP="006800BD">
            <w:pPr>
              <w:pStyle w:val="Compact"/>
              <w:jc w:val="center"/>
            </w:pPr>
            <w:r>
              <w:t>0.39</w:t>
            </w:r>
          </w:p>
        </w:tc>
      </w:tr>
      <w:tr w:rsidR="008653AB" w:rsidTr="006800BD">
        <w:trPr>
          <w:trHeight w:val="447"/>
        </w:trPr>
        <w:tc>
          <w:tcPr>
            <w:tcW w:w="1033" w:type="pct"/>
            <w:hideMark/>
          </w:tcPr>
          <w:p w:rsidR="008653AB" w:rsidRDefault="008653AB" w:rsidP="006800BD">
            <w:pPr>
              <w:pStyle w:val="Compact"/>
            </w:pPr>
            <w:r>
              <w:t>qR_V1</w:t>
            </w:r>
          </w:p>
        </w:tc>
        <w:tc>
          <w:tcPr>
            <w:tcW w:w="941" w:type="pct"/>
            <w:hideMark/>
          </w:tcPr>
          <w:p w:rsidR="008653AB" w:rsidRDefault="008653AB" w:rsidP="006800BD">
            <w:pPr>
              <w:pStyle w:val="Compact"/>
              <w:jc w:val="center"/>
            </w:pPr>
            <w:r>
              <w:t>0.409</w:t>
            </w:r>
          </w:p>
        </w:tc>
        <w:tc>
          <w:tcPr>
            <w:tcW w:w="1027" w:type="pct"/>
            <w:hideMark/>
          </w:tcPr>
          <w:p w:rsidR="008653AB" w:rsidRDefault="008653AB" w:rsidP="006800BD">
            <w:pPr>
              <w:pStyle w:val="Compact"/>
              <w:jc w:val="center"/>
            </w:pPr>
            <w:r>
              <w:t>0.441</w:t>
            </w:r>
          </w:p>
        </w:tc>
        <w:tc>
          <w:tcPr>
            <w:tcW w:w="999" w:type="pct"/>
            <w:hideMark/>
          </w:tcPr>
          <w:p w:rsidR="008653AB" w:rsidRDefault="008653AB" w:rsidP="006800BD">
            <w:pPr>
              <w:pStyle w:val="Compact"/>
              <w:jc w:val="center"/>
            </w:pPr>
            <w:r>
              <w:t>0.418</w:t>
            </w:r>
          </w:p>
        </w:tc>
        <w:tc>
          <w:tcPr>
            <w:tcW w:w="1000" w:type="pct"/>
            <w:hideMark/>
          </w:tcPr>
          <w:p w:rsidR="008653AB" w:rsidRDefault="008653AB" w:rsidP="006800BD">
            <w:pPr>
              <w:pStyle w:val="Compact"/>
              <w:jc w:val="center"/>
            </w:pPr>
            <w:r>
              <w:t>0.528</w:t>
            </w:r>
          </w:p>
        </w:tc>
      </w:tr>
      <w:tr w:rsidR="008653AB" w:rsidTr="006800BD">
        <w:trPr>
          <w:trHeight w:val="449"/>
        </w:trPr>
        <w:tc>
          <w:tcPr>
            <w:tcW w:w="1033" w:type="pct"/>
            <w:tcBorders>
              <w:bottom w:val="single" w:sz="4" w:space="0" w:color="auto"/>
            </w:tcBorders>
            <w:hideMark/>
          </w:tcPr>
          <w:p w:rsidR="008653AB" w:rsidRDefault="008653AB" w:rsidP="006800BD">
            <w:pPr>
              <w:pStyle w:val="Compact"/>
            </w:pPr>
            <w:r>
              <w:t>D</w:t>
            </w:r>
            <w:r w:rsidRPr="00DF700E">
              <w:t>ominant S wave in leads V5 or V6</w:t>
            </w:r>
          </w:p>
        </w:tc>
        <w:tc>
          <w:tcPr>
            <w:tcW w:w="941" w:type="pct"/>
            <w:tcBorders>
              <w:bottom w:val="single" w:sz="4" w:space="0" w:color="auto"/>
            </w:tcBorders>
            <w:hideMark/>
          </w:tcPr>
          <w:p w:rsidR="008653AB" w:rsidRDefault="008653AB" w:rsidP="006800BD">
            <w:pPr>
              <w:pStyle w:val="Compact"/>
              <w:jc w:val="center"/>
            </w:pPr>
            <w:r>
              <w:t>0.864</w:t>
            </w:r>
          </w:p>
        </w:tc>
        <w:tc>
          <w:tcPr>
            <w:tcW w:w="1027" w:type="pct"/>
            <w:tcBorders>
              <w:bottom w:val="single" w:sz="4" w:space="0" w:color="auto"/>
            </w:tcBorders>
            <w:hideMark/>
          </w:tcPr>
          <w:p w:rsidR="008653AB" w:rsidRDefault="008653AB" w:rsidP="006800BD">
            <w:pPr>
              <w:pStyle w:val="Compact"/>
              <w:jc w:val="center"/>
            </w:pPr>
            <w:r>
              <w:t>0.613</w:t>
            </w:r>
          </w:p>
        </w:tc>
        <w:tc>
          <w:tcPr>
            <w:tcW w:w="999" w:type="pct"/>
            <w:tcBorders>
              <w:bottom w:val="single" w:sz="4" w:space="0" w:color="auto"/>
            </w:tcBorders>
            <w:hideMark/>
          </w:tcPr>
          <w:p w:rsidR="008653AB" w:rsidRDefault="008653AB" w:rsidP="006800BD">
            <w:pPr>
              <w:pStyle w:val="Compact"/>
              <w:jc w:val="center"/>
            </w:pPr>
            <w:r>
              <w:t>0.185</w:t>
            </w:r>
          </w:p>
        </w:tc>
        <w:tc>
          <w:tcPr>
            <w:tcW w:w="1000" w:type="pct"/>
            <w:tcBorders>
              <w:bottom w:val="single" w:sz="4" w:space="0" w:color="auto"/>
            </w:tcBorders>
            <w:hideMark/>
          </w:tcPr>
          <w:p w:rsidR="008653AB" w:rsidRDefault="008653AB" w:rsidP="006800BD">
            <w:pPr>
              <w:pStyle w:val="Compact"/>
              <w:jc w:val="center"/>
            </w:pPr>
            <w:r>
              <w:t>0.428</w:t>
            </w:r>
          </w:p>
        </w:tc>
      </w:tr>
    </w:tbl>
    <w:p w:rsidR="008653AB" w:rsidRDefault="008653AB" w:rsidP="008653AB">
      <w:pPr>
        <w:rPr>
          <w:sz w:val="20"/>
          <w:szCs w:val="20"/>
        </w:rPr>
      </w:pPr>
      <w:r w:rsidRPr="001E3EAF">
        <w:rPr>
          <w:sz w:val="20"/>
          <w:szCs w:val="20"/>
        </w:rPr>
        <w:t xml:space="preserve">1: </w:t>
      </w:r>
      <w:r w:rsidRPr="00DF700E">
        <w:rPr>
          <w:sz w:val="20"/>
          <w:szCs w:val="20"/>
        </w:rPr>
        <w:t>Adjusted models included age, sex, race, FEV1 percent predicted, smoking status, heart rate greater than the median value, number of hospitalizations for COPD during the previous year, number of exacerbations treated with glucocorticoids or antibiotics during the previous year, use of supplemental oxygen, and scores on the COPD Assessment Test as covariates and were stratified by study site</w:t>
      </w:r>
    </w:p>
    <w:p w:rsidR="008653AB" w:rsidRDefault="008653AB" w:rsidP="008653AB">
      <w:pPr>
        <w:rPr>
          <w:sz w:val="20"/>
          <w:szCs w:val="20"/>
        </w:rPr>
      </w:pPr>
      <w:r>
        <w:rPr>
          <w:sz w:val="20"/>
          <w:szCs w:val="20"/>
        </w:rPr>
        <w:t>2: Results are further described in Table 2</w:t>
      </w:r>
    </w:p>
    <w:p w:rsidR="008653AB" w:rsidRDefault="008653AB" w:rsidP="008653AB">
      <w:pPr>
        <w:pStyle w:val="TableCaption"/>
        <w:rPr>
          <w:b/>
          <w:bCs/>
          <w:i w:val="0"/>
          <w:iCs/>
        </w:rPr>
      </w:pPr>
    </w:p>
    <w:p w:rsidR="008653AB" w:rsidRDefault="008653AB" w:rsidP="008653AB">
      <w:pPr>
        <w:pStyle w:val="TableCaption"/>
        <w:rPr>
          <w:b/>
          <w:bCs/>
          <w:i w:val="0"/>
          <w:iCs/>
        </w:rPr>
      </w:pPr>
    </w:p>
    <w:p w:rsidR="008653AB" w:rsidRDefault="008653AB" w:rsidP="008653AB">
      <w:pPr>
        <w:rPr>
          <w:b/>
          <w:bCs/>
          <w:iCs/>
          <w:sz w:val="24"/>
          <w:szCs w:val="24"/>
        </w:rPr>
      </w:pPr>
      <w:r>
        <w:rPr>
          <w:b/>
          <w:bCs/>
          <w:i/>
          <w:iCs/>
        </w:rPr>
        <w:br w:type="page"/>
      </w:r>
    </w:p>
    <w:p w:rsidR="008653AB" w:rsidRDefault="008653AB" w:rsidP="008653AB">
      <w:pPr>
        <w:pStyle w:val="TableCaption"/>
      </w:pPr>
      <w:r>
        <w:rPr>
          <w:b/>
          <w:bCs/>
          <w:i w:val="0"/>
          <w:iCs/>
        </w:rPr>
        <w:lastRenderedPageBreak/>
        <w:t xml:space="preserve">Supplementary </w:t>
      </w:r>
      <w:r w:rsidRPr="001818DE">
        <w:rPr>
          <w:b/>
          <w:bCs/>
          <w:i w:val="0"/>
          <w:iCs/>
        </w:rPr>
        <w:t xml:space="preserve">Table </w:t>
      </w:r>
      <w:r>
        <w:rPr>
          <w:b/>
          <w:bCs/>
          <w:i w:val="0"/>
          <w:iCs/>
        </w:rPr>
        <w:t>S3</w:t>
      </w:r>
      <w:r>
        <w:rPr>
          <w:i w:val="0"/>
          <w:iCs/>
        </w:rPr>
        <w:t xml:space="preserve"> </w:t>
      </w:r>
      <w:r w:rsidRPr="00197CE7">
        <w:rPr>
          <w:i w:val="0"/>
          <w:iCs/>
        </w:rPr>
        <w:t xml:space="preserve">Associations between </w:t>
      </w:r>
      <w:r w:rsidRPr="00DF700E">
        <w:rPr>
          <w:i w:val="0"/>
          <w:iCs/>
        </w:rPr>
        <w:t xml:space="preserve">ECG parameters </w:t>
      </w:r>
      <w:r w:rsidRPr="00197CE7">
        <w:rPr>
          <w:i w:val="0"/>
          <w:iCs/>
        </w:rPr>
        <w:t>and</w:t>
      </w:r>
      <w:r>
        <w:rPr>
          <w:i w:val="0"/>
          <w:iCs/>
        </w:rPr>
        <w:t xml:space="preserve"> time to</w:t>
      </w:r>
      <w:r w:rsidRPr="00197CE7">
        <w:rPr>
          <w:i w:val="0"/>
          <w:iCs/>
        </w:rPr>
        <w:t xml:space="preserve"> acute exacerbations of COPD. </w:t>
      </w:r>
      <w:r>
        <w:rPr>
          <w:i w:val="0"/>
          <w:iCs/>
        </w:rPr>
        <w:t>HR (95% CI); p-values are presented. The association was only evaluated if the interaction between the ECG parameter and treatment assignment was not statistically significant (p-value&gt;0.05, Supplementary Table S2)</w:t>
      </w:r>
    </w:p>
    <w:tbl>
      <w:tblPr>
        <w:tblStyle w:val="Table"/>
        <w:tblW w:w="5192" w:type="pct"/>
        <w:tblInd w:w="-90" w:type="dxa"/>
        <w:tblLayout w:type="fixed"/>
        <w:tblLook w:val="07E0" w:firstRow="1" w:lastRow="1" w:firstColumn="1" w:lastColumn="1" w:noHBand="1" w:noVBand="1"/>
        <w:tblCaption w:val="Table for main effect estimates"/>
      </w:tblPr>
      <w:tblGrid>
        <w:gridCol w:w="1985"/>
        <w:gridCol w:w="1895"/>
        <w:gridCol w:w="2064"/>
        <w:gridCol w:w="1810"/>
        <w:gridCol w:w="1965"/>
      </w:tblGrid>
      <w:tr w:rsidR="008653AB" w:rsidTr="006800BD">
        <w:trPr>
          <w:trHeight w:val="271"/>
        </w:trPr>
        <w:tc>
          <w:tcPr>
            <w:tcW w:w="1021" w:type="pct"/>
            <w:tcBorders>
              <w:top w:val="single" w:sz="4" w:space="0" w:color="auto"/>
              <w:left w:val="nil"/>
              <w:right w:val="nil"/>
            </w:tcBorders>
            <w:vAlign w:val="bottom"/>
          </w:tcPr>
          <w:p w:rsidR="008653AB" w:rsidRDefault="008653AB" w:rsidP="006800BD">
            <w:pPr>
              <w:pStyle w:val="Compact"/>
            </w:pPr>
          </w:p>
        </w:tc>
        <w:tc>
          <w:tcPr>
            <w:tcW w:w="2037" w:type="pct"/>
            <w:gridSpan w:val="2"/>
            <w:tcBorders>
              <w:top w:val="single" w:sz="4" w:space="0" w:color="auto"/>
              <w:left w:val="nil"/>
              <w:right w:val="nil"/>
            </w:tcBorders>
            <w:vAlign w:val="bottom"/>
          </w:tcPr>
          <w:p w:rsidR="008653AB" w:rsidRDefault="008653AB" w:rsidP="006800BD">
            <w:pPr>
              <w:pStyle w:val="Compact"/>
              <w:pBdr>
                <w:bottom w:val="single" w:sz="4" w:space="1" w:color="auto"/>
              </w:pBdr>
              <w:jc w:val="center"/>
            </w:pPr>
            <w:r>
              <w:rPr>
                <w:b/>
                <w:bCs/>
              </w:rPr>
              <w:t>Any AECOPD</w:t>
            </w:r>
          </w:p>
        </w:tc>
        <w:tc>
          <w:tcPr>
            <w:tcW w:w="1942" w:type="pct"/>
            <w:gridSpan w:val="2"/>
            <w:tcBorders>
              <w:top w:val="single" w:sz="4" w:space="0" w:color="auto"/>
              <w:left w:val="nil"/>
              <w:right w:val="nil"/>
            </w:tcBorders>
            <w:vAlign w:val="bottom"/>
          </w:tcPr>
          <w:p w:rsidR="008653AB" w:rsidRDefault="008653AB" w:rsidP="006800BD">
            <w:pPr>
              <w:pStyle w:val="Compact"/>
              <w:pBdr>
                <w:bottom w:val="single" w:sz="4" w:space="1" w:color="auto"/>
              </w:pBdr>
              <w:jc w:val="center"/>
            </w:pPr>
            <w:r>
              <w:rPr>
                <w:b/>
                <w:bCs/>
              </w:rPr>
              <w:t>Severe or Very Severe AECOPD</w:t>
            </w:r>
          </w:p>
        </w:tc>
      </w:tr>
      <w:tr w:rsidR="008653AB" w:rsidTr="006800BD">
        <w:trPr>
          <w:trHeight w:val="271"/>
        </w:trPr>
        <w:tc>
          <w:tcPr>
            <w:tcW w:w="1021" w:type="pct"/>
            <w:tcBorders>
              <w:left w:val="nil"/>
              <w:bottom w:val="single" w:sz="2" w:space="0" w:color="auto"/>
              <w:right w:val="nil"/>
            </w:tcBorders>
            <w:vAlign w:val="bottom"/>
          </w:tcPr>
          <w:p w:rsidR="008653AB" w:rsidRDefault="008653AB" w:rsidP="006800BD">
            <w:pPr>
              <w:pStyle w:val="Compact"/>
            </w:pPr>
          </w:p>
        </w:tc>
        <w:tc>
          <w:tcPr>
            <w:tcW w:w="975" w:type="pct"/>
            <w:tcBorders>
              <w:left w:val="nil"/>
              <w:bottom w:val="single" w:sz="2" w:space="0" w:color="auto"/>
              <w:right w:val="nil"/>
            </w:tcBorders>
            <w:vAlign w:val="bottom"/>
            <w:hideMark/>
          </w:tcPr>
          <w:p w:rsidR="008653AB" w:rsidRDefault="008653AB" w:rsidP="006800BD">
            <w:pPr>
              <w:pStyle w:val="Compact"/>
              <w:jc w:val="center"/>
            </w:pPr>
            <w:r>
              <w:t>Unadjusted</w:t>
            </w:r>
          </w:p>
        </w:tc>
        <w:tc>
          <w:tcPr>
            <w:tcW w:w="1062" w:type="pct"/>
            <w:tcBorders>
              <w:left w:val="nil"/>
              <w:bottom w:val="single" w:sz="2" w:space="0" w:color="auto"/>
              <w:right w:val="nil"/>
            </w:tcBorders>
            <w:vAlign w:val="bottom"/>
            <w:hideMark/>
          </w:tcPr>
          <w:p w:rsidR="008653AB" w:rsidRDefault="008653AB" w:rsidP="006800BD">
            <w:pPr>
              <w:pStyle w:val="Compact"/>
              <w:jc w:val="center"/>
            </w:pPr>
            <w:r>
              <w:t>Adjusted</w:t>
            </w:r>
            <w:r>
              <w:rPr>
                <w:vertAlign w:val="superscript"/>
              </w:rPr>
              <w:t>1</w:t>
            </w:r>
          </w:p>
        </w:tc>
        <w:tc>
          <w:tcPr>
            <w:tcW w:w="931" w:type="pct"/>
            <w:tcBorders>
              <w:left w:val="nil"/>
              <w:bottom w:val="single" w:sz="2" w:space="0" w:color="auto"/>
              <w:right w:val="nil"/>
            </w:tcBorders>
            <w:vAlign w:val="bottom"/>
            <w:hideMark/>
          </w:tcPr>
          <w:p w:rsidR="008653AB" w:rsidRDefault="008653AB" w:rsidP="006800BD">
            <w:pPr>
              <w:pStyle w:val="Compact"/>
              <w:jc w:val="center"/>
            </w:pPr>
            <w:r>
              <w:t>Unadjusted</w:t>
            </w:r>
          </w:p>
        </w:tc>
        <w:tc>
          <w:tcPr>
            <w:tcW w:w="1011" w:type="pct"/>
            <w:tcBorders>
              <w:left w:val="nil"/>
              <w:bottom w:val="single" w:sz="2" w:space="0" w:color="auto"/>
              <w:right w:val="nil"/>
            </w:tcBorders>
            <w:vAlign w:val="bottom"/>
            <w:hideMark/>
          </w:tcPr>
          <w:p w:rsidR="008653AB" w:rsidRDefault="008653AB" w:rsidP="006800BD">
            <w:pPr>
              <w:pStyle w:val="Compact"/>
              <w:jc w:val="center"/>
            </w:pPr>
            <w:r>
              <w:t>Adjusted</w:t>
            </w:r>
            <w:r>
              <w:rPr>
                <w:vertAlign w:val="superscript"/>
              </w:rPr>
              <w:t>1</w:t>
            </w:r>
          </w:p>
        </w:tc>
      </w:tr>
      <w:tr w:rsidR="008653AB" w:rsidTr="006800BD">
        <w:trPr>
          <w:trHeight w:val="510"/>
        </w:trPr>
        <w:tc>
          <w:tcPr>
            <w:tcW w:w="1021" w:type="pct"/>
            <w:hideMark/>
          </w:tcPr>
          <w:p w:rsidR="008653AB" w:rsidRDefault="008653AB" w:rsidP="006800BD">
            <w:pPr>
              <w:pStyle w:val="Compact"/>
            </w:pPr>
            <w:r>
              <w:t>P-pulmonale</w:t>
            </w:r>
          </w:p>
        </w:tc>
        <w:tc>
          <w:tcPr>
            <w:tcW w:w="975" w:type="pct"/>
            <w:hideMark/>
          </w:tcPr>
          <w:p w:rsidR="008653AB" w:rsidRDefault="008653AB" w:rsidP="006800BD">
            <w:pPr>
              <w:pStyle w:val="Compact"/>
              <w:jc w:val="center"/>
            </w:pPr>
            <w:r>
              <w:t>N/A</w:t>
            </w:r>
          </w:p>
        </w:tc>
        <w:tc>
          <w:tcPr>
            <w:tcW w:w="1062" w:type="pct"/>
            <w:hideMark/>
          </w:tcPr>
          <w:p w:rsidR="008653AB" w:rsidRDefault="008653AB" w:rsidP="006800BD">
            <w:pPr>
              <w:pStyle w:val="Compact"/>
              <w:jc w:val="center"/>
            </w:pPr>
            <w:r>
              <w:t>N/A</w:t>
            </w:r>
          </w:p>
        </w:tc>
        <w:tc>
          <w:tcPr>
            <w:tcW w:w="931" w:type="pct"/>
            <w:hideMark/>
          </w:tcPr>
          <w:p w:rsidR="008653AB" w:rsidRDefault="008653AB" w:rsidP="006800BD">
            <w:pPr>
              <w:pStyle w:val="Compact"/>
              <w:jc w:val="center"/>
            </w:pPr>
            <w:r>
              <w:t>1.53 (0.92, 2.54); 0.099</w:t>
            </w:r>
          </w:p>
        </w:tc>
        <w:tc>
          <w:tcPr>
            <w:tcW w:w="1011" w:type="pct"/>
            <w:hideMark/>
          </w:tcPr>
          <w:p w:rsidR="008653AB" w:rsidRDefault="008653AB" w:rsidP="006800BD">
            <w:pPr>
              <w:pStyle w:val="Compact"/>
              <w:jc w:val="center"/>
            </w:pPr>
            <w:r>
              <w:t>1.3 (0.73, 2.33); 0.376</w:t>
            </w:r>
          </w:p>
        </w:tc>
      </w:tr>
      <w:tr w:rsidR="008653AB" w:rsidTr="006800BD">
        <w:trPr>
          <w:trHeight w:val="510"/>
        </w:trPr>
        <w:tc>
          <w:tcPr>
            <w:tcW w:w="1021" w:type="pct"/>
            <w:hideMark/>
          </w:tcPr>
          <w:p w:rsidR="008653AB" w:rsidRDefault="008653AB" w:rsidP="006800BD">
            <w:pPr>
              <w:pStyle w:val="Compact"/>
            </w:pPr>
            <w:r>
              <w:t>qR_V1</w:t>
            </w:r>
          </w:p>
        </w:tc>
        <w:tc>
          <w:tcPr>
            <w:tcW w:w="975" w:type="pct"/>
            <w:hideMark/>
          </w:tcPr>
          <w:p w:rsidR="008653AB" w:rsidRDefault="008653AB" w:rsidP="006800BD">
            <w:pPr>
              <w:pStyle w:val="Compact"/>
              <w:jc w:val="center"/>
            </w:pPr>
            <w:r>
              <w:t>0.92 (0.61, 1.39); 0.707</w:t>
            </w:r>
          </w:p>
        </w:tc>
        <w:tc>
          <w:tcPr>
            <w:tcW w:w="1062" w:type="pct"/>
            <w:hideMark/>
          </w:tcPr>
          <w:p w:rsidR="008653AB" w:rsidRDefault="008653AB" w:rsidP="006800BD">
            <w:pPr>
              <w:pStyle w:val="Compact"/>
              <w:jc w:val="center"/>
            </w:pPr>
            <w:r>
              <w:t>1.06 (0.69, 1.63); 0.788</w:t>
            </w:r>
          </w:p>
        </w:tc>
        <w:tc>
          <w:tcPr>
            <w:tcW w:w="931" w:type="pct"/>
            <w:hideMark/>
          </w:tcPr>
          <w:p w:rsidR="008653AB" w:rsidRDefault="008653AB" w:rsidP="006800BD">
            <w:pPr>
              <w:pStyle w:val="Compact"/>
              <w:jc w:val="center"/>
            </w:pPr>
            <w:r>
              <w:t>1.13 (0.6, 2.1); 0.708</w:t>
            </w:r>
          </w:p>
        </w:tc>
        <w:tc>
          <w:tcPr>
            <w:tcW w:w="1011" w:type="pct"/>
            <w:hideMark/>
          </w:tcPr>
          <w:p w:rsidR="008653AB" w:rsidRDefault="008653AB" w:rsidP="006800BD">
            <w:pPr>
              <w:pStyle w:val="Compact"/>
              <w:jc w:val="center"/>
            </w:pPr>
            <w:r>
              <w:t>1.42 (0.73, 2.77); 0.305</w:t>
            </w:r>
          </w:p>
        </w:tc>
      </w:tr>
      <w:tr w:rsidR="008653AB" w:rsidTr="006800BD">
        <w:trPr>
          <w:trHeight w:val="392"/>
        </w:trPr>
        <w:tc>
          <w:tcPr>
            <w:tcW w:w="1021" w:type="pct"/>
            <w:tcBorders>
              <w:bottom w:val="single" w:sz="4" w:space="0" w:color="auto"/>
            </w:tcBorders>
            <w:hideMark/>
          </w:tcPr>
          <w:p w:rsidR="008653AB" w:rsidRDefault="008653AB" w:rsidP="006800BD">
            <w:pPr>
              <w:pStyle w:val="Compact"/>
            </w:pPr>
            <w:r>
              <w:t>D</w:t>
            </w:r>
            <w:r w:rsidRPr="00DF700E">
              <w:t>ominant S wave in leads V5 or V6</w:t>
            </w:r>
          </w:p>
        </w:tc>
        <w:tc>
          <w:tcPr>
            <w:tcW w:w="975" w:type="pct"/>
            <w:tcBorders>
              <w:bottom w:val="single" w:sz="4" w:space="0" w:color="auto"/>
            </w:tcBorders>
            <w:hideMark/>
          </w:tcPr>
          <w:p w:rsidR="008653AB" w:rsidRDefault="008653AB" w:rsidP="006800BD">
            <w:pPr>
              <w:pStyle w:val="Compact"/>
              <w:jc w:val="center"/>
            </w:pPr>
            <w:r>
              <w:t>1.06 (0.72, 1.54); 0.778</w:t>
            </w:r>
          </w:p>
        </w:tc>
        <w:tc>
          <w:tcPr>
            <w:tcW w:w="1062" w:type="pct"/>
            <w:tcBorders>
              <w:bottom w:val="single" w:sz="4" w:space="0" w:color="auto"/>
            </w:tcBorders>
            <w:hideMark/>
          </w:tcPr>
          <w:p w:rsidR="008653AB" w:rsidRDefault="008653AB" w:rsidP="006800BD">
            <w:pPr>
              <w:pStyle w:val="Compact"/>
              <w:jc w:val="center"/>
            </w:pPr>
            <w:r>
              <w:t>1.21 (0.79, 1.86); 0.377</w:t>
            </w:r>
          </w:p>
        </w:tc>
        <w:tc>
          <w:tcPr>
            <w:tcW w:w="931" w:type="pct"/>
            <w:tcBorders>
              <w:bottom w:val="single" w:sz="4" w:space="0" w:color="auto"/>
            </w:tcBorders>
            <w:hideMark/>
          </w:tcPr>
          <w:p w:rsidR="008653AB" w:rsidRDefault="008653AB" w:rsidP="006800BD">
            <w:pPr>
              <w:pStyle w:val="Compact"/>
              <w:jc w:val="center"/>
            </w:pPr>
            <w:r>
              <w:t>0.82 (0.41, 1.61); 0.558</w:t>
            </w:r>
          </w:p>
        </w:tc>
        <w:tc>
          <w:tcPr>
            <w:tcW w:w="1011" w:type="pct"/>
            <w:tcBorders>
              <w:bottom w:val="single" w:sz="4" w:space="0" w:color="auto"/>
            </w:tcBorders>
            <w:hideMark/>
          </w:tcPr>
          <w:p w:rsidR="008653AB" w:rsidRDefault="008653AB" w:rsidP="006800BD">
            <w:pPr>
              <w:pStyle w:val="Compact"/>
              <w:jc w:val="center"/>
            </w:pPr>
            <w:r>
              <w:t>0.97 (0.45, 2.08); 0.935</w:t>
            </w:r>
          </w:p>
        </w:tc>
      </w:tr>
    </w:tbl>
    <w:p w:rsidR="008653AB" w:rsidRDefault="008653AB" w:rsidP="008653AB">
      <w:pPr>
        <w:rPr>
          <w:sz w:val="20"/>
          <w:szCs w:val="20"/>
        </w:rPr>
      </w:pPr>
      <w:r w:rsidRPr="001E3EAF">
        <w:rPr>
          <w:sz w:val="20"/>
          <w:szCs w:val="20"/>
        </w:rPr>
        <w:t xml:space="preserve">1: </w:t>
      </w:r>
      <w:r w:rsidRPr="00DF700E">
        <w:rPr>
          <w:sz w:val="20"/>
          <w:szCs w:val="20"/>
        </w:rPr>
        <w:t>Adjusted models included treatment assignment, age, sex, race, FEV1 percent predicted, smoking status, heart rate greater than the median value, number of hospitalizations for COPD during the previous year, number of exacerbations treated with glucocorticoids or antibiotics during the previous year, use of supplemental oxygen, and scores on the COPD Assessment Test as covariates and were stratified by study site</w:t>
      </w:r>
    </w:p>
    <w:p w:rsidR="008653AB" w:rsidRDefault="008653AB" w:rsidP="008653AB">
      <w:pPr>
        <w:rPr>
          <w:b/>
          <w:bCs/>
        </w:rPr>
      </w:pPr>
      <w:r>
        <w:rPr>
          <w:sz w:val="20"/>
          <w:szCs w:val="20"/>
        </w:rPr>
        <w:br w:type="page"/>
      </w:r>
    </w:p>
    <w:p w:rsidR="008653AB" w:rsidRDefault="008653AB" w:rsidP="008653AB">
      <w:r w:rsidRPr="00FA39B1">
        <w:rPr>
          <w:b/>
          <w:bCs/>
        </w:rPr>
        <w:lastRenderedPageBreak/>
        <w:t>Supplementary Table S</w:t>
      </w:r>
      <w:r>
        <w:rPr>
          <w:b/>
          <w:bCs/>
        </w:rPr>
        <w:t>4</w:t>
      </w:r>
      <w:r w:rsidRPr="00FA39B1">
        <w:rPr>
          <w:b/>
          <w:bCs/>
        </w:rPr>
        <w:t>:</w:t>
      </w:r>
      <w:r>
        <w:t xml:space="preserve"> P-values from linear mixed effects models with subject specific random intercepts evaluating the relationship between P-pulmonale and change in COPD symptoms. If the three-way interaction between visit day, treatment assignment, and presence of P-pulmonale was not significant (p&gt;0.05), the three-way interaction was removed and the two-way interaction between visit day and presence of P-pulmonale was evaluated.</w:t>
      </w:r>
    </w:p>
    <w:tbl>
      <w:tblPr>
        <w:tblStyle w:val="Table"/>
        <w:tblW w:w="3224" w:type="pct"/>
        <w:jc w:val="center"/>
        <w:tblLook w:val="07E0" w:firstRow="1" w:lastRow="1" w:firstColumn="1" w:lastColumn="1" w:noHBand="1" w:noVBand="1"/>
        <w:tblCaption w:val="p-values for mixed effects models"/>
      </w:tblPr>
      <w:tblGrid>
        <w:gridCol w:w="1067"/>
        <w:gridCol w:w="2484"/>
        <w:gridCol w:w="2484"/>
      </w:tblGrid>
      <w:tr w:rsidR="008653AB" w:rsidTr="006800BD">
        <w:trPr>
          <w:jc w:val="center"/>
        </w:trPr>
        <w:tc>
          <w:tcPr>
            <w:tcW w:w="884" w:type="pct"/>
            <w:tcBorders>
              <w:top w:val="nil"/>
              <w:left w:val="nil"/>
              <w:bottom w:val="single" w:sz="2" w:space="0" w:color="auto"/>
              <w:right w:val="nil"/>
            </w:tcBorders>
            <w:vAlign w:val="bottom"/>
          </w:tcPr>
          <w:p w:rsidR="008653AB" w:rsidRDefault="008653AB" w:rsidP="006800BD">
            <w:pPr>
              <w:pStyle w:val="Compact"/>
            </w:pPr>
          </w:p>
        </w:tc>
        <w:tc>
          <w:tcPr>
            <w:tcW w:w="0" w:type="auto"/>
            <w:tcBorders>
              <w:top w:val="nil"/>
              <w:left w:val="nil"/>
              <w:bottom w:val="single" w:sz="2" w:space="0" w:color="auto"/>
              <w:right w:val="nil"/>
            </w:tcBorders>
            <w:vAlign w:val="bottom"/>
            <w:hideMark/>
          </w:tcPr>
          <w:p w:rsidR="008653AB" w:rsidRDefault="008653AB" w:rsidP="006800BD">
            <w:pPr>
              <w:pStyle w:val="Compact"/>
              <w:jc w:val="center"/>
            </w:pPr>
            <w:r>
              <w:t>3-way omnibus p-value</w:t>
            </w:r>
          </w:p>
        </w:tc>
        <w:tc>
          <w:tcPr>
            <w:tcW w:w="0" w:type="auto"/>
            <w:tcBorders>
              <w:top w:val="nil"/>
              <w:left w:val="nil"/>
              <w:bottom w:val="single" w:sz="2" w:space="0" w:color="auto"/>
              <w:right w:val="nil"/>
            </w:tcBorders>
            <w:vAlign w:val="bottom"/>
            <w:hideMark/>
          </w:tcPr>
          <w:p w:rsidR="008653AB" w:rsidRDefault="008653AB" w:rsidP="006800BD">
            <w:pPr>
              <w:pStyle w:val="Compact"/>
              <w:jc w:val="center"/>
            </w:pPr>
            <w:r>
              <w:t>2-way omnibus p-value</w:t>
            </w:r>
          </w:p>
        </w:tc>
      </w:tr>
      <w:tr w:rsidR="008653AB" w:rsidTr="006800BD">
        <w:trPr>
          <w:jc w:val="center"/>
        </w:trPr>
        <w:tc>
          <w:tcPr>
            <w:tcW w:w="884" w:type="pct"/>
            <w:hideMark/>
          </w:tcPr>
          <w:p w:rsidR="008653AB" w:rsidRDefault="008653AB" w:rsidP="006800BD">
            <w:pPr>
              <w:pStyle w:val="Compact"/>
            </w:pPr>
            <w:r>
              <w:t>CAT</w:t>
            </w:r>
          </w:p>
        </w:tc>
        <w:tc>
          <w:tcPr>
            <w:tcW w:w="0" w:type="auto"/>
            <w:hideMark/>
          </w:tcPr>
          <w:p w:rsidR="008653AB" w:rsidRDefault="008653AB" w:rsidP="006800BD">
            <w:pPr>
              <w:pStyle w:val="Compact"/>
              <w:jc w:val="center"/>
            </w:pPr>
            <w:r>
              <w:t>0.011</w:t>
            </w:r>
          </w:p>
        </w:tc>
        <w:tc>
          <w:tcPr>
            <w:tcW w:w="0" w:type="auto"/>
            <w:hideMark/>
          </w:tcPr>
          <w:p w:rsidR="008653AB" w:rsidRDefault="008653AB" w:rsidP="006800BD">
            <w:pPr>
              <w:pStyle w:val="Compact"/>
              <w:jc w:val="center"/>
            </w:pPr>
          </w:p>
        </w:tc>
      </w:tr>
      <w:tr w:rsidR="008653AB" w:rsidTr="006800BD">
        <w:trPr>
          <w:jc w:val="center"/>
        </w:trPr>
        <w:tc>
          <w:tcPr>
            <w:tcW w:w="884" w:type="pct"/>
            <w:hideMark/>
          </w:tcPr>
          <w:p w:rsidR="008653AB" w:rsidRDefault="008653AB" w:rsidP="006800BD">
            <w:pPr>
              <w:pStyle w:val="Compact"/>
            </w:pPr>
            <w:r>
              <w:t>SRGQ</w:t>
            </w:r>
          </w:p>
        </w:tc>
        <w:tc>
          <w:tcPr>
            <w:tcW w:w="0" w:type="auto"/>
            <w:hideMark/>
          </w:tcPr>
          <w:p w:rsidR="008653AB" w:rsidRDefault="008653AB" w:rsidP="006800BD">
            <w:pPr>
              <w:pStyle w:val="Compact"/>
              <w:jc w:val="center"/>
            </w:pPr>
            <w:r>
              <w:t>0.274</w:t>
            </w:r>
          </w:p>
        </w:tc>
        <w:tc>
          <w:tcPr>
            <w:tcW w:w="0" w:type="auto"/>
            <w:hideMark/>
          </w:tcPr>
          <w:p w:rsidR="008653AB" w:rsidRDefault="008653AB" w:rsidP="006800BD">
            <w:pPr>
              <w:pStyle w:val="Compact"/>
              <w:jc w:val="center"/>
            </w:pPr>
            <w:r>
              <w:t>0.259</w:t>
            </w:r>
          </w:p>
        </w:tc>
      </w:tr>
      <w:tr w:rsidR="008653AB" w:rsidTr="006800BD">
        <w:trPr>
          <w:jc w:val="center"/>
        </w:trPr>
        <w:tc>
          <w:tcPr>
            <w:tcW w:w="884" w:type="pct"/>
            <w:hideMark/>
          </w:tcPr>
          <w:p w:rsidR="008653AB" w:rsidRDefault="008653AB" w:rsidP="006800BD">
            <w:pPr>
              <w:pStyle w:val="Compact"/>
            </w:pPr>
            <w:r>
              <w:t>SOBQ</w:t>
            </w:r>
          </w:p>
        </w:tc>
        <w:tc>
          <w:tcPr>
            <w:tcW w:w="0" w:type="auto"/>
            <w:hideMark/>
          </w:tcPr>
          <w:p w:rsidR="008653AB" w:rsidRDefault="008653AB" w:rsidP="006800BD">
            <w:pPr>
              <w:pStyle w:val="Compact"/>
              <w:jc w:val="center"/>
            </w:pPr>
            <w:r>
              <w:t>0.536</w:t>
            </w:r>
          </w:p>
        </w:tc>
        <w:tc>
          <w:tcPr>
            <w:tcW w:w="0" w:type="auto"/>
            <w:hideMark/>
          </w:tcPr>
          <w:p w:rsidR="008653AB" w:rsidRDefault="008653AB" w:rsidP="006800BD">
            <w:pPr>
              <w:pStyle w:val="Compact"/>
              <w:jc w:val="center"/>
            </w:pPr>
            <w:r>
              <w:t>0.662</w:t>
            </w:r>
          </w:p>
        </w:tc>
      </w:tr>
      <w:tr w:rsidR="008653AB" w:rsidTr="006800BD">
        <w:trPr>
          <w:jc w:val="center"/>
        </w:trPr>
        <w:tc>
          <w:tcPr>
            <w:tcW w:w="884" w:type="pct"/>
            <w:hideMark/>
          </w:tcPr>
          <w:p w:rsidR="008653AB" w:rsidRDefault="008653AB" w:rsidP="006800BD">
            <w:pPr>
              <w:pStyle w:val="Compact"/>
            </w:pPr>
            <w:r>
              <w:t>6-MWD</w:t>
            </w:r>
          </w:p>
        </w:tc>
        <w:tc>
          <w:tcPr>
            <w:tcW w:w="0" w:type="auto"/>
            <w:hideMark/>
          </w:tcPr>
          <w:p w:rsidR="008653AB" w:rsidRDefault="008653AB" w:rsidP="006800BD">
            <w:pPr>
              <w:pStyle w:val="Compact"/>
              <w:jc w:val="center"/>
            </w:pPr>
            <w:r>
              <w:t>0.321</w:t>
            </w:r>
          </w:p>
        </w:tc>
        <w:tc>
          <w:tcPr>
            <w:tcW w:w="0" w:type="auto"/>
            <w:hideMark/>
          </w:tcPr>
          <w:p w:rsidR="008653AB" w:rsidRDefault="008653AB" w:rsidP="006800BD">
            <w:pPr>
              <w:pStyle w:val="Compact"/>
              <w:jc w:val="center"/>
            </w:pPr>
            <w:r>
              <w:t>0.219</w:t>
            </w:r>
          </w:p>
        </w:tc>
      </w:tr>
    </w:tbl>
    <w:p w:rsidR="008653AB" w:rsidRDefault="008653AB" w:rsidP="008653AB">
      <w:pPr>
        <w:rPr>
          <w:rFonts w:ascii="Arial" w:eastAsia="Arial" w:hAnsi="Arial" w:cs="Arial"/>
        </w:rPr>
      </w:pPr>
    </w:p>
    <w:p w:rsidR="00B6262C" w:rsidRDefault="00B6262C">
      <w:r>
        <w:br w:type="page"/>
      </w:r>
    </w:p>
    <w:p w:rsidR="00B6262C" w:rsidRPr="00B6262C" w:rsidRDefault="00B6262C" w:rsidP="00B6262C">
      <w:pPr>
        <w:spacing w:line="480" w:lineRule="auto"/>
        <w:rPr>
          <w:rFonts w:ascii="Arial" w:hAnsi="Arial" w:cs="Arial"/>
          <w:b/>
        </w:rPr>
      </w:pPr>
      <w:r w:rsidRPr="00B6262C">
        <w:rPr>
          <w:rFonts w:ascii="Arial" w:hAnsi="Arial" w:cs="Arial"/>
          <w:b/>
        </w:rPr>
        <w:lastRenderedPageBreak/>
        <w:t>Supplement Statistics</w:t>
      </w:r>
    </w:p>
    <w:p w:rsidR="00B6262C" w:rsidRDefault="00B6262C" w:rsidP="00B6262C">
      <w:pPr>
        <w:spacing w:line="480" w:lineRule="auto"/>
        <w:rPr>
          <w:rFonts w:ascii="Arial" w:hAnsi="Arial" w:cs="Arial"/>
        </w:rPr>
      </w:pPr>
      <w:r w:rsidRPr="00A70A78">
        <w:rPr>
          <w:rFonts w:ascii="Arial" w:hAnsi="Arial" w:cs="Arial"/>
        </w:rPr>
        <w:t xml:space="preserve">Statistical analyses were conducted in </w:t>
      </w:r>
      <w:r w:rsidRPr="00A70A78">
        <w:rPr>
          <w:rFonts w:ascii="Arial" w:hAnsi="Arial" w:cs="Arial"/>
          <w:color w:val="000000"/>
        </w:rPr>
        <w:t xml:space="preserve">R version </w:t>
      </w:r>
      <w:r w:rsidRPr="00FC29D0">
        <w:rPr>
          <w:rFonts w:ascii="Arial" w:hAnsi="Arial" w:cs="Arial"/>
          <w:color w:val="000000"/>
        </w:rPr>
        <w:t>4.2.0</w:t>
      </w:r>
      <w:r>
        <w:rPr>
          <w:rFonts w:ascii="Arial" w:hAnsi="Arial" w:cs="Arial"/>
          <w:color w:val="000000"/>
        </w:rPr>
        <w:t xml:space="preserve"> </w:t>
      </w:r>
      <w:r>
        <w:rPr>
          <w:rFonts w:ascii="Arial" w:hAnsi="Arial" w:cs="Arial"/>
        </w:rPr>
        <w:t>(R Foundation for Statistical Computing; Vienna, Austria) (See supplement for additional details of supplemen</w:t>
      </w:r>
      <w:bookmarkStart w:id="0" w:name="_GoBack"/>
      <w:bookmarkEnd w:id="0"/>
      <w:r>
        <w:rPr>
          <w:rFonts w:ascii="Arial" w:hAnsi="Arial" w:cs="Arial"/>
        </w:rPr>
        <w:t xml:space="preserve">t packages utilized) </w:t>
      </w:r>
      <w:r w:rsidRPr="00A70A78">
        <w:rPr>
          <w:rFonts w:ascii="Arial" w:hAnsi="Arial" w:cs="Arial"/>
        </w:rPr>
        <w:t>using version</w:t>
      </w:r>
      <w:r>
        <w:rPr>
          <w:rFonts w:ascii="Arial" w:hAnsi="Arial" w:cs="Arial"/>
        </w:rPr>
        <w:t>s</w:t>
      </w:r>
      <w:r w:rsidRPr="00A70A78">
        <w:rPr>
          <w:rFonts w:ascii="Arial" w:hAnsi="Arial" w:cs="Arial"/>
        </w:rPr>
        <w:t xml:space="preserve"> </w:t>
      </w:r>
      <w:r w:rsidRPr="00FC29D0">
        <w:rPr>
          <w:rFonts w:ascii="Arial" w:hAnsi="Arial" w:cs="Arial"/>
        </w:rPr>
        <w:t>0.13.2</w:t>
      </w:r>
      <w:r>
        <w:rPr>
          <w:rFonts w:ascii="Arial" w:hAnsi="Arial" w:cs="Arial"/>
        </w:rPr>
        <w:t>,</w:t>
      </w:r>
      <w:r w:rsidRPr="00FC29D0">
        <w:rPr>
          <w:rFonts w:ascii="Arial" w:hAnsi="Arial" w:cs="Arial"/>
        </w:rPr>
        <w:t xml:space="preserve"> 0.7.3</w:t>
      </w:r>
      <w:r>
        <w:rPr>
          <w:rFonts w:ascii="Arial" w:hAnsi="Arial" w:cs="Arial"/>
        </w:rPr>
        <w:t>,</w:t>
      </w:r>
      <w:r w:rsidRPr="00FC29D0">
        <w:t xml:space="preserve"> </w:t>
      </w:r>
      <w:r w:rsidRPr="00FC29D0">
        <w:rPr>
          <w:rFonts w:ascii="Arial" w:hAnsi="Arial" w:cs="Arial"/>
        </w:rPr>
        <w:t>3.3.1</w:t>
      </w:r>
      <w:r>
        <w:rPr>
          <w:rFonts w:ascii="Arial" w:hAnsi="Arial" w:cs="Arial"/>
        </w:rPr>
        <w:t>,</w:t>
      </w:r>
      <w:r w:rsidRPr="00FC29D0">
        <w:rPr>
          <w:rFonts w:ascii="Arial" w:eastAsia="Times New Roman" w:hAnsi="Arial" w:cs="Arial"/>
          <w:color w:val="000000"/>
          <w:bdr w:val="none" w:sz="0" w:space="0" w:color="auto" w:frame="1"/>
        </w:rPr>
        <w:t xml:space="preserve"> </w:t>
      </w:r>
      <w:r w:rsidRPr="00263CB0">
        <w:rPr>
          <w:rFonts w:ascii="Arial" w:eastAsia="Times New Roman" w:hAnsi="Arial" w:cs="Arial"/>
          <w:color w:val="000000"/>
          <w:bdr w:val="none" w:sz="0" w:space="0" w:color="auto" w:frame="1"/>
        </w:rPr>
        <w:t>1.1</w:t>
      </w:r>
      <w:r>
        <w:rPr>
          <w:rFonts w:ascii="Arial" w:eastAsia="Times New Roman" w:hAnsi="Arial" w:cs="Arial"/>
          <w:color w:val="000000"/>
          <w:bdr w:val="none" w:sz="0" w:space="0" w:color="auto" w:frame="1"/>
        </w:rPr>
        <w:t>.</w:t>
      </w:r>
      <w:r w:rsidRPr="00263CB0">
        <w:rPr>
          <w:rFonts w:ascii="Arial" w:eastAsia="Times New Roman" w:hAnsi="Arial" w:cs="Arial"/>
          <w:color w:val="000000"/>
          <w:bdr w:val="none" w:sz="0" w:space="0" w:color="auto" w:frame="1"/>
        </w:rPr>
        <w:t>2</w:t>
      </w:r>
      <w:r>
        <w:rPr>
          <w:rFonts w:ascii="Arial" w:eastAsia="Times New Roman" w:hAnsi="Arial" w:cs="Arial"/>
          <w:color w:val="000000"/>
          <w:bdr w:val="none" w:sz="0" w:space="0" w:color="auto" w:frame="1"/>
        </w:rPr>
        <w:t>9</w:t>
      </w:r>
      <w:r>
        <w:rPr>
          <w:rFonts w:ascii="Arial" w:hAnsi="Arial" w:cs="Arial"/>
        </w:rPr>
        <w:t xml:space="preserve">, </w:t>
      </w:r>
      <w:r w:rsidRPr="00263CB0">
        <w:rPr>
          <w:rFonts w:ascii="Arial" w:eastAsia="Times New Roman" w:hAnsi="Arial" w:cs="Arial"/>
          <w:color w:val="000000"/>
          <w:bdr w:val="none" w:sz="0" w:space="0" w:color="auto" w:frame="1"/>
        </w:rPr>
        <w:t>3.1</w:t>
      </w:r>
      <w:r>
        <w:rPr>
          <w:rFonts w:ascii="Arial" w:eastAsia="Times New Roman" w:hAnsi="Arial" w:cs="Arial"/>
          <w:color w:val="000000"/>
          <w:bdr w:val="none" w:sz="0" w:space="0" w:color="auto" w:frame="1"/>
        </w:rPr>
        <w:t xml:space="preserve">.3, and </w:t>
      </w:r>
      <w:r w:rsidRPr="00263CB0">
        <w:rPr>
          <w:rFonts w:ascii="Arial" w:eastAsia="Times New Roman" w:hAnsi="Arial" w:cs="Arial"/>
          <w:color w:val="000000"/>
          <w:bdr w:val="none" w:sz="0" w:space="0" w:color="auto" w:frame="1"/>
        </w:rPr>
        <w:t>1.</w:t>
      </w:r>
      <w:r>
        <w:rPr>
          <w:rFonts w:ascii="Arial" w:eastAsia="Times New Roman" w:hAnsi="Arial" w:cs="Arial"/>
          <w:color w:val="000000"/>
          <w:bdr w:val="none" w:sz="0" w:space="0" w:color="auto" w:frame="1"/>
        </w:rPr>
        <w:t>7</w:t>
      </w:r>
      <w:r w:rsidRPr="00263CB0">
        <w:rPr>
          <w:rFonts w:ascii="Arial" w:eastAsia="Times New Roman" w:hAnsi="Arial" w:cs="Arial"/>
          <w:color w:val="000000"/>
          <w:bdr w:val="none" w:sz="0" w:space="0" w:color="auto" w:frame="1"/>
        </w:rPr>
        <w:t>.</w:t>
      </w:r>
      <w:r>
        <w:rPr>
          <w:rFonts w:ascii="Arial" w:eastAsia="Times New Roman" w:hAnsi="Arial" w:cs="Arial"/>
          <w:color w:val="000000"/>
          <w:bdr w:val="none" w:sz="0" w:space="0" w:color="auto" w:frame="1"/>
        </w:rPr>
        <w:t>4.1</w:t>
      </w:r>
      <w:r>
        <w:rPr>
          <w:rFonts w:ascii="Arial" w:hAnsi="Arial" w:cs="Arial"/>
        </w:rPr>
        <w:t xml:space="preserve">  </w:t>
      </w:r>
      <w:r w:rsidRPr="00A70A78">
        <w:rPr>
          <w:rFonts w:ascii="Arial" w:hAnsi="Arial" w:cs="Arial"/>
        </w:rPr>
        <w:t>of the “tableone</w:t>
      </w:r>
      <w:r>
        <w:rPr>
          <w:rFonts w:ascii="Arial" w:hAnsi="Arial" w:cs="Arial"/>
        </w:rPr>
        <w:t>”,</w:t>
      </w:r>
      <w:r>
        <w:rPr>
          <w:rFonts w:ascii="Arial" w:hAnsi="Arial" w:cs="Arial"/>
        </w:rPr>
        <w:fldChar w:fldCharType="begin"/>
      </w:r>
      <w:r>
        <w:rPr>
          <w:rFonts w:ascii="Arial" w:hAnsi="Arial" w:cs="Arial"/>
        </w:rPr>
        <w:instrText xml:space="preserve"> ADDIN EN.CITE &lt;EndNote&gt;&lt;Cite&gt;&lt;Author&gt;Yoshida&lt;/Author&gt;&lt;Year&gt;2022&lt;/Year&gt;&lt;RecNum&gt;1094&lt;/RecNum&gt;&lt;DisplayText&gt;(1)&lt;/DisplayText&gt;&lt;record&gt;&lt;rec-number&gt;1094&lt;/rec-number&gt;&lt;foreign-keys&gt;&lt;key app="EN" db-id="d02zx2rek5efsve9d5eperfresx5wd2v2fwv" timestamp="1658854170"&gt;1094&lt;/key&gt;&lt;/foreign-keys&gt;&lt;ref-type name="Journal Article"&gt;17&lt;/ref-type&gt;&lt;contributors&gt;&lt;authors&gt;&lt;author&gt;Yoshida, Kazuki Bartel, Alexander &lt;/author&gt;&lt;author&gt;Chipman, Jonathan J &lt;/author&gt;&lt;author&gt;Bohn, Justin &lt;/author&gt;&lt;author&gt;McGowan, Lucy DAgostino &lt;/author&gt;&lt;author&gt;Barrett, Malcolm &lt;/author&gt;&lt;author&gt;Christensen, Rune Haubo B &lt;/author&gt;&lt;/authors&gt;&lt;/contributors&gt;&lt;titles&gt;&lt;title&gt; Create &amp;apos;Table 1&amp;apos; to Describe Baseline Characteristics with or without Propensity Score Weights_. R package. version 0.13.2,&lt;/title&gt;&lt;secondary-title&gt;_tableone&lt;/secondary-title&gt;&lt;/titles&gt;&lt;periodical&gt;&lt;full-title&gt;_tableone&lt;/full-title&gt;&lt;/periodical&gt;&lt;dates&gt;&lt;year&gt;2022&lt;/year&gt;&lt;/dates&gt;&lt;urls&gt;&lt;related-urls&gt;&lt;url&gt;https://CRAN.R-project.org/package=tableone&lt;/url&gt;&lt;/related-urls&gt;&lt;/urls&gt;&lt;/record&gt;&lt;/Cite&gt;&lt;/EndNote&gt;</w:instrText>
      </w:r>
      <w:r>
        <w:rPr>
          <w:rFonts w:ascii="Arial" w:hAnsi="Arial" w:cs="Arial"/>
        </w:rPr>
        <w:fldChar w:fldCharType="separate"/>
      </w:r>
      <w:r>
        <w:rPr>
          <w:rFonts w:ascii="Arial" w:hAnsi="Arial" w:cs="Arial"/>
          <w:noProof/>
        </w:rPr>
        <w:t>(1)</w:t>
      </w:r>
      <w:r>
        <w:rPr>
          <w:rFonts w:ascii="Arial" w:hAnsi="Arial" w:cs="Arial"/>
        </w:rPr>
        <w:fldChar w:fldCharType="end"/>
      </w:r>
      <w:r>
        <w:rPr>
          <w:rFonts w:ascii="Arial" w:hAnsi="Arial" w:cs="Arial"/>
        </w:rPr>
        <w:t xml:space="preserve"> “fsmb”, </w:t>
      </w:r>
      <w:r w:rsidRPr="00A70A78">
        <w:rPr>
          <w:rFonts w:ascii="Arial" w:hAnsi="Arial" w:cs="Arial"/>
        </w:rPr>
        <w:t>“survival”</w:t>
      </w:r>
      <w:r>
        <w:rPr>
          <w:rFonts w:ascii="Arial" w:hAnsi="Arial" w:cs="Arial"/>
        </w:rPr>
        <w:t>,</w:t>
      </w:r>
      <w:r>
        <w:rPr>
          <w:rFonts w:ascii="Arial" w:hAnsi="Arial" w:cs="Arial"/>
        </w:rPr>
        <w:fldChar w:fldCharType="begin"/>
      </w:r>
      <w:r>
        <w:rPr>
          <w:rFonts w:ascii="Arial" w:hAnsi="Arial" w:cs="Arial"/>
        </w:rPr>
        <w:instrText xml:space="preserve"> ADDIN EN.CITE &lt;EndNote&gt;&lt;Cite&gt;&lt;Author&gt;Borgan&lt;/Author&gt;&lt;Year&gt;2001&lt;/Year&gt;&lt;RecNum&gt;1095&lt;/RecNum&gt;&lt;DisplayText&gt;(2)&lt;/DisplayText&gt;&lt;record&gt;&lt;rec-number&gt;1095&lt;/rec-number&gt;&lt;foreign-keys&gt;&lt;key app="EN" db-id="d02zx2rek5efsve9d5eperfresx5wd2v2fwv" timestamp="1658854270"&gt;1095&lt;/key&gt;&lt;/foreign-keys&gt;&lt;ref-type name="Generic"&gt;13&lt;/ref-type&gt;&lt;contributors&gt;&lt;authors&gt;&lt;author&gt;Borgan, Ørnulf&lt;/author&gt;&lt;/authors&gt;&lt;/contributors&gt;&lt;titles&gt;&lt;title&gt;Modeling Survival Data: Extending the Cox Model. Terry M. Therneau and Patricia M. Grambsch, Springer</w:instrText>
      </w:r>
      <w:r>
        <w:rPr>
          <w:rFonts w:ascii="Cambria Math" w:hAnsi="Cambria Math" w:cs="Cambria Math"/>
        </w:rPr>
        <w:instrText>‐</w:instrText>
      </w:r>
      <w:r>
        <w:rPr>
          <w:rFonts w:ascii="Arial" w:hAnsi="Arial" w:cs="Arial"/>
        </w:rPr>
        <w:instrText>Verlag, New York, 2000. No. of pages: xiii+ 350. Price: $69.95. ISBN 0</w:instrText>
      </w:r>
      <w:r>
        <w:rPr>
          <w:rFonts w:ascii="Cambria Math" w:hAnsi="Cambria Math" w:cs="Cambria Math"/>
        </w:rPr>
        <w:instrText>‐</w:instrText>
      </w:r>
      <w:r>
        <w:rPr>
          <w:rFonts w:ascii="Arial" w:hAnsi="Arial" w:cs="Arial"/>
        </w:rPr>
        <w:instrText>387</w:instrText>
      </w:r>
      <w:r>
        <w:rPr>
          <w:rFonts w:ascii="Cambria Math" w:hAnsi="Cambria Math" w:cs="Cambria Math"/>
        </w:rPr>
        <w:instrText>‐</w:instrText>
      </w:r>
      <w:r>
        <w:rPr>
          <w:rFonts w:ascii="Arial" w:hAnsi="Arial" w:cs="Arial"/>
        </w:rPr>
        <w:instrText>98784</w:instrText>
      </w:r>
      <w:r>
        <w:rPr>
          <w:rFonts w:ascii="Cambria Math" w:hAnsi="Cambria Math" w:cs="Cambria Math"/>
        </w:rPr>
        <w:instrText>‐</w:instrText>
      </w:r>
      <w:r>
        <w:rPr>
          <w:rFonts w:ascii="Arial" w:hAnsi="Arial" w:cs="Arial"/>
        </w:rPr>
        <w:instrText>3&lt;/title&gt;&lt;/titles&gt;&lt;dates&gt;&lt;year&gt;2001&lt;/year&gt;&lt;/dates&gt;&lt;publisher&gt;Wiley Online Library&lt;/publisher&gt;&lt;isbn&gt;0277-6715&lt;/isbn&gt;&lt;urls&gt;&lt;/urls&gt;&lt;/record&gt;&lt;/Cite&gt;&lt;/EndNote&gt;</w:instrText>
      </w:r>
      <w:r>
        <w:rPr>
          <w:rFonts w:ascii="Arial" w:hAnsi="Arial" w:cs="Arial"/>
        </w:rPr>
        <w:fldChar w:fldCharType="separate"/>
      </w:r>
      <w:r>
        <w:rPr>
          <w:rFonts w:ascii="Arial" w:hAnsi="Arial" w:cs="Arial"/>
          <w:noProof/>
        </w:rPr>
        <w:t>(2)</w:t>
      </w:r>
      <w:r>
        <w:rPr>
          <w:rFonts w:ascii="Arial" w:hAnsi="Arial" w:cs="Arial"/>
        </w:rPr>
        <w:fldChar w:fldCharType="end"/>
      </w:r>
      <w:r w:rsidRPr="00F842F1">
        <w:rPr>
          <w:rFonts w:ascii="Arial" w:hAnsi="Arial" w:cs="Arial"/>
        </w:rPr>
        <w:t xml:space="preserve"> </w:t>
      </w:r>
      <w:r w:rsidRPr="00263CB0">
        <w:rPr>
          <w:rFonts w:ascii="Arial" w:hAnsi="Arial" w:cs="Arial"/>
        </w:rPr>
        <w:t>“lme4”</w:t>
      </w:r>
      <w:r>
        <w:rPr>
          <w:rFonts w:ascii="Arial" w:hAnsi="Arial" w:cs="Arial"/>
        </w:rPr>
        <w:t>,</w:t>
      </w:r>
      <w:r>
        <w:rPr>
          <w:rFonts w:ascii="Arial" w:hAnsi="Arial" w:cs="Arial"/>
        </w:rPr>
        <w:fldChar w:fldCharType="begin"/>
      </w:r>
      <w:r>
        <w:rPr>
          <w:rFonts w:ascii="Arial" w:hAnsi="Arial" w:cs="Arial"/>
        </w:rPr>
        <w:instrText xml:space="preserve"> ADDIN EN.CITE &lt;EndNote&gt;&lt;Cite&gt;&lt;Author&gt;Bates&lt;/Author&gt;&lt;Year&gt;2015&lt;/Year&gt;&lt;RecNum&gt;1020&lt;/RecNum&gt;&lt;DisplayText&gt;(3)&lt;/DisplayText&gt;&lt;record&gt;&lt;rec-number&gt;1020&lt;/rec-number&gt;&lt;foreign-keys&gt;&lt;key app="EN" db-id="d02zx2rek5efsve9d5eperfresx5wd2v2fwv" timestamp="1643228896"&gt;1020&lt;/key&gt;&lt;/foreign-keys&gt;&lt;ref-type name="Journal Article"&gt;17&lt;/ref-type&gt;&lt;contributors&gt;&lt;authors&gt;&lt;author&gt;Bates, D.&lt;/author&gt;&lt;author&gt;Mächler, M.&lt;/author&gt;&lt;author&gt;Bolker, B.&lt;/author&gt;&lt;author&gt;Walker, S.&lt;/author&gt;&lt;/authors&gt;&lt;/contributors&gt;&lt;titles&gt;&lt;title&gt;Fitting Linear Mixed-Effects Models Using lme4&lt;/title&gt;&lt;secondary-title&gt;Journal of Statistical Software&lt;/secondary-title&gt;&lt;/titles&gt;&lt;periodical&gt;&lt;full-title&gt;Journal of Statistical Software&lt;/full-title&gt;&lt;/periodical&gt;&lt;pages&gt;1-48&lt;/pages&gt;&lt;volume&gt;67&lt;/volume&gt;&lt;number&gt;1&lt;/number&gt;&lt;dates&gt;&lt;year&gt;2015&lt;/year&gt;&lt;/dates&gt;&lt;urls&gt;&lt;/urls&gt;&lt;electronic-resource-num&gt;10.18637/jss.v067.i01&lt;/electronic-resource-num&gt;&lt;/record&gt;&lt;/Cite&gt;&lt;/EndNote&gt;</w:instrText>
      </w:r>
      <w:r>
        <w:rPr>
          <w:rFonts w:ascii="Arial" w:hAnsi="Arial" w:cs="Arial"/>
        </w:rPr>
        <w:fldChar w:fldCharType="separate"/>
      </w:r>
      <w:r>
        <w:rPr>
          <w:rFonts w:ascii="Arial" w:hAnsi="Arial" w:cs="Arial"/>
          <w:noProof/>
        </w:rPr>
        <w:t>(3)</w:t>
      </w:r>
      <w:r>
        <w:rPr>
          <w:rFonts w:ascii="Arial" w:hAnsi="Arial" w:cs="Arial"/>
        </w:rPr>
        <w:fldChar w:fldCharType="end"/>
      </w:r>
      <w:r w:rsidRPr="00263CB0">
        <w:rPr>
          <w:rFonts w:ascii="Arial" w:hAnsi="Arial" w:cs="Arial"/>
        </w:rPr>
        <w:t xml:space="preserve"> “lmerTest”</w:t>
      </w:r>
      <w:r>
        <w:rPr>
          <w:rFonts w:ascii="Arial" w:hAnsi="Arial" w:cs="Arial"/>
        </w:rPr>
        <w:t>,</w:t>
      </w:r>
      <w:r>
        <w:rPr>
          <w:rFonts w:ascii="Arial" w:hAnsi="Arial" w:cs="Arial"/>
        </w:rPr>
        <w:fldChar w:fldCharType="begin"/>
      </w:r>
      <w:r>
        <w:rPr>
          <w:rFonts w:ascii="Arial" w:hAnsi="Arial" w:cs="Arial"/>
        </w:rPr>
        <w:instrText xml:space="preserve"> ADDIN EN.CITE &lt;EndNote&gt;&lt;Cite&gt;&lt;Author&gt;Kuznetsova&lt;/Author&gt;&lt;Year&gt;2017&lt;/Year&gt;&lt;RecNum&gt;1021&lt;/RecNum&gt;&lt;DisplayText&gt;(4)&lt;/DisplayText&gt;&lt;record&gt;&lt;rec-number&gt;1021&lt;/rec-number&gt;&lt;foreign-keys&gt;&lt;key app="EN" db-id="d02zx2rek5efsve9d5eperfresx5wd2v2fwv" timestamp="1643228896"&gt;1021&lt;/key&gt;&lt;/foreign-keys&gt;&lt;ref-type name="Journal Article"&gt;17&lt;/ref-type&gt;&lt;contributors&gt;&lt;authors&gt;&lt;author&gt;Kuznetsova, A.&lt;/author&gt;&lt;author&gt;Brockhoff, P.B. &lt;/author&gt;&lt;author&gt;Christensen, R.HB..&lt;/author&gt;&lt;/authors&gt;&lt;/contributors&gt;&lt;titles&gt;&lt;title&gt;lmerTest Package: Tests in Linear Mixed Effects Models&lt;/title&gt;&lt;secondary-title&gt;Journal of Statistical Software&lt;/secondary-title&gt;&lt;/titles&gt;&lt;periodical&gt;&lt;full-title&gt;Journal of Statistical Software&lt;/full-title&gt;&lt;/periodical&gt;&lt;pages&gt;1-26&lt;/pages&gt;&lt;volume&gt;82&lt;/volume&gt;&lt;number&gt;13&lt;/number&gt;&lt;dates&gt;&lt;year&gt;2017&lt;/year&gt;&lt;/dates&gt;&lt;urls&gt;&lt;/urls&gt;&lt;electronic-resource-num&gt;10.18637/jss.v082.i13&lt;/electronic-resource-num&gt;&lt;/record&gt;&lt;/Cite&gt;&lt;/EndNote&gt;</w:instrText>
      </w:r>
      <w:r>
        <w:rPr>
          <w:rFonts w:ascii="Arial" w:hAnsi="Arial" w:cs="Arial"/>
        </w:rPr>
        <w:fldChar w:fldCharType="separate"/>
      </w:r>
      <w:r>
        <w:rPr>
          <w:rFonts w:ascii="Arial" w:hAnsi="Arial" w:cs="Arial"/>
          <w:noProof/>
        </w:rPr>
        <w:t>(4)</w:t>
      </w:r>
      <w:r>
        <w:rPr>
          <w:rFonts w:ascii="Arial" w:hAnsi="Arial" w:cs="Arial"/>
        </w:rPr>
        <w:fldChar w:fldCharType="end"/>
      </w:r>
      <w:r w:rsidRPr="00263CB0">
        <w:rPr>
          <w:rFonts w:ascii="Arial" w:hAnsi="Arial" w:cs="Arial"/>
        </w:rPr>
        <w:t xml:space="preserve"> </w:t>
      </w:r>
      <w:r>
        <w:rPr>
          <w:rFonts w:ascii="Arial" w:hAnsi="Arial" w:cs="Arial"/>
        </w:rPr>
        <w:t>and</w:t>
      </w:r>
      <w:r w:rsidRPr="00263CB0">
        <w:rPr>
          <w:rFonts w:ascii="Arial" w:eastAsia="Times New Roman" w:hAnsi="Arial" w:cs="Arial"/>
          <w:color w:val="000000"/>
          <w:bdr w:val="none" w:sz="0" w:space="0" w:color="auto" w:frame="1"/>
        </w:rPr>
        <w:t xml:space="preserve"> </w:t>
      </w:r>
      <w:r w:rsidRPr="00263CB0">
        <w:rPr>
          <w:rFonts w:ascii="Arial" w:hAnsi="Arial" w:cs="Arial"/>
        </w:rPr>
        <w:t>“emmeans”</w:t>
      </w:r>
      <w:r>
        <w:rPr>
          <w:rFonts w:ascii="Arial" w:hAnsi="Arial" w:cs="Arial"/>
        </w:rPr>
        <w:fldChar w:fldCharType="begin"/>
      </w:r>
      <w:r>
        <w:rPr>
          <w:rFonts w:ascii="Arial" w:hAnsi="Arial" w:cs="Arial"/>
        </w:rPr>
        <w:instrText xml:space="preserve"> ADDIN EN.CITE &lt;EndNote&gt;&lt;Cite&gt;&lt;Author&gt;Lenth&lt;/Author&gt;&lt;Year&gt;2020&lt;/Year&gt;&lt;RecNum&gt;1022&lt;/RecNum&gt;&lt;DisplayText&gt;(5)&lt;/DisplayText&gt;&lt;record&gt;&lt;rec-number&gt;1022&lt;/rec-number&gt;&lt;foreign-keys&gt;&lt;key app="EN" db-id="d02zx2rek5efsve9d5eperfresx5wd2v2fwv" timestamp="1643228896"&gt;1022&lt;/key&gt;&lt;/foreign-keys&gt;&lt;ref-type name="Computer Program"&gt;9&lt;/ref-type&gt;&lt;contributors&gt;&lt;authors&gt;&lt;author&gt;Lenth, R.&lt;/author&gt;&lt;/authors&gt;&lt;/contributors&gt;&lt;titles&gt;&lt;title&gt;emmeans: Estimated Marginal Means, aka Least-Squares Means.&lt;/title&gt;&lt;/titles&gt;&lt;edition&gt;R package version 1.4.6. &lt;/edition&gt;&lt;dates&gt;&lt;year&gt;2020&lt;/year&gt;&lt;/dates&gt;&lt;urls&gt;&lt;related-urls&gt;&lt;url&gt;https://CRAN.R-project.org/package=emmeans&lt;/url&gt;&lt;/related-urls&gt;&lt;/urls&gt;&lt;/record&gt;&lt;/Cite&gt;&lt;/EndNote&gt;</w:instrText>
      </w:r>
      <w:r>
        <w:rPr>
          <w:rFonts w:ascii="Arial" w:hAnsi="Arial" w:cs="Arial"/>
        </w:rPr>
        <w:fldChar w:fldCharType="separate"/>
      </w:r>
      <w:r>
        <w:rPr>
          <w:rFonts w:ascii="Arial" w:hAnsi="Arial" w:cs="Arial"/>
          <w:noProof/>
        </w:rPr>
        <w:t>(5)</w:t>
      </w:r>
      <w:r>
        <w:rPr>
          <w:rFonts w:ascii="Arial" w:hAnsi="Arial" w:cs="Arial"/>
        </w:rPr>
        <w:fldChar w:fldCharType="end"/>
      </w:r>
      <w:r w:rsidRPr="00D014CE">
        <w:rPr>
          <w:rFonts w:ascii="Arial" w:hAnsi="Arial" w:cs="Arial"/>
          <w:noProof/>
          <w:vertAlign w:val="superscript"/>
        </w:rPr>
        <w:t xml:space="preserve"> </w:t>
      </w:r>
      <w:r w:rsidRPr="00263CB0">
        <w:rPr>
          <w:rFonts w:ascii="Arial" w:hAnsi="Arial" w:cs="Arial"/>
        </w:rPr>
        <w:t xml:space="preserve"> packages</w:t>
      </w:r>
      <w:r>
        <w:rPr>
          <w:rFonts w:ascii="Arial" w:hAnsi="Arial" w:cs="Arial"/>
        </w:rPr>
        <w:t>, respectively.</w:t>
      </w:r>
    </w:p>
    <w:p w:rsidR="00B6262C" w:rsidRDefault="00B6262C"/>
    <w:p w:rsidR="00B6262C" w:rsidRPr="00B6262C" w:rsidRDefault="00B6262C">
      <w:pPr>
        <w:rPr>
          <w:b/>
        </w:rPr>
      </w:pPr>
      <w:r w:rsidRPr="00B6262C">
        <w:rPr>
          <w:b/>
        </w:rPr>
        <w:t>References</w:t>
      </w:r>
    </w:p>
    <w:p w:rsidR="00B6262C" w:rsidRPr="00B6262C" w:rsidRDefault="00B6262C" w:rsidP="00B6262C">
      <w:pPr>
        <w:pStyle w:val="EndNoteBibliography"/>
        <w:spacing w:after="0"/>
        <w:ind w:left="720" w:hanging="720"/>
      </w:pPr>
      <w:r>
        <w:fldChar w:fldCharType="begin"/>
      </w:r>
      <w:r>
        <w:instrText xml:space="preserve"> ADDIN EN.REFLIST </w:instrText>
      </w:r>
      <w:r>
        <w:fldChar w:fldCharType="separate"/>
      </w:r>
      <w:r w:rsidRPr="00B6262C">
        <w:t xml:space="preserve">1. Yoshida KB, Alexander , Chipman JJ, Bohn J, McGowan LD, Barrett M, Christensen RHB. Create 'Table 1' to Describe Baseline Characteristics with or without Propensity Score Weights_. R package. version 0.13.2,. </w:t>
      </w:r>
      <w:r w:rsidRPr="00B6262C">
        <w:rPr>
          <w:i/>
        </w:rPr>
        <w:t xml:space="preserve">_tableone </w:t>
      </w:r>
      <w:r w:rsidRPr="00B6262C">
        <w:t>2022.</w:t>
      </w:r>
    </w:p>
    <w:p w:rsidR="00B6262C" w:rsidRPr="00B6262C" w:rsidRDefault="00B6262C" w:rsidP="00B6262C">
      <w:pPr>
        <w:pStyle w:val="EndNoteBibliography"/>
        <w:spacing w:after="0"/>
        <w:ind w:left="720" w:hanging="720"/>
      </w:pPr>
      <w:r w:rsidRPr="00B6262C">
        <w:t>2. Borgan Ø. Modeling Survival Data: Extending the Cox Model. Terry M. Therneau and Patricia M. Grambsch, Springer‐Verlag, New York, 2000. No. of pages: xiii+ 350. Price: $69.95. ISBN 0‐387‐98784‐3. Wiley Online Library; 2001.</w:t>
      </w:r>
    </w:p>
    <w:p w:rsidR="00B6262C" w:rsidRPr="00B6262C" w:rsidRDefault="00B6262C" w:rsidP="00B6262C">
      <w:pPr>
        <w:pStyle w:val="EndNoteBibliography"/>
        <w:spacing w:after="0"/>
        <w:ind w:left="720" w:hanging="720"/>
      </w:pPr>
      <w:r w:rsidRPr="00B6262C">
        <w:t xml:space="preserve">3. Bates D, Mächler M, Bolker B, Walker S. Fitting Linear Mixed-Effects Models Using lme4. </w:t>
      </w:r>
      <w:r w:rsidRPr="00B6262C">
        <w:rPr>
          <w:i/>
        </w:rPr>
        <w:t xml:space="preserve">Journal of Statistical Software </w:t>
      </w:r>
      <w:r w:rsidRPr="00B6262C">
        <w:t>2015; 67: 1-48.</w:t>
      </w:r>
    </w:p>
    <w:p w:rsidR="00B6262C" w:rsidRPr="00B6262C" w:rsidRDefault="00B6262C" w:rsidP="00B6262C">
      <w:pPr>
        <w:pStyle w:val="EndNoteBibliography"/>
        <w:spacing w:after="0"/>
        <w:ind w:left="720" w:hanging="720"/>
      </w:pPr>
      <w:r w:rsidRPr="00B6262C">
        <w:t xml:space="preserve">4. Kuznetsova A, Brockhoff PB, Christensen RH. lmerTest Package: Tests in Linear Mixed Effects Models. </w:t>
      </w:r>
      <w:r w:rsidRPr="00B6262C">
        <w:rPr>
          <w:i/>
        </w:rPr>
        <w:t xml:space="preserve">Journal of Statistical Software </w:t>
      </w:r>
      <w:r w:rsidRPr="00B6262C">
        <w:t>2017; 82: 1-26.</w:t>
      </w:r>
    </w:p>
    <w:p w:rsidR="00B6262C" w:rsidRPr="00B6262C" w:rsidRDefault="00B6262C" w:rsidP="00B6262C">
      <w:pPr>
        <w:pStyle w:val="EndNoteBibliography"/>
        <w:ind w:left="720" w:hanging="720"/>
      </w:pPr>
      <w:r w:rsidRPr="00B6262C">
        <w:t>5. Lenth R. emmeans: Estimated Marginal Means, aka Least-Squares Means., R package version 1.4.6. ed; 2020.</w:t>
      </w:r>
    </w:p>
    <w:p w:rsidR="008653AB" w:rsidRDefault="00B6262C">
      <w:r>
        <w:fldChar w:fldCharType="end"/>
      </w:r>
    </w:p>
    <w:sectPr w:rsidR="008653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mer J Resp Crit Care M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02zx2rek5efsve9d5eperfresx5wd2v2fwv&quot;&gt;My EndNote Library&lt;record-ids&gt;&lt;item&gt;1020&lt;/item&gt;&lt;item&gt;1021&lt;/item&gt;&lt;item&gt;1022&lt;/item&gt;&lt;item&gt;1094&lt;/item&gt;&lt;item&gt;1095&lt;/item&gt;&lt;/record-ids&gt;&lt;/item&gt;&lt;/Libraries&gt;"/>
  </w:docVars>
  <w:rsids>
    <w:rsidRoot w:val="008653AB"/>
    <w:rsid w:val="008653AB"/>
    <w:rsid w:val="00B6262C"/>
    <w:rsid w:val="00C56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BD6B0"/>
  <w15:chartTrackingRefBased/>
  <w15:docId w15:val="{95F01E3C-0DBB-461D-8F65-AFCA4E82C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653AB"/>
    <w:rPr>
      <w:sz w:val="16"/>
      <w:szCs w:val="16"/>
    </w:rPr>
  </w:style>
  <w:style w:type="paragraph" w:styleId="CommentText">
    <w:name w:val="annotation text"/>
    <w:basedOn w:val="Normal"/>
    <w:link w:val="CommentTextChar"/>
    <w:uiPriority w:val="99"/>
    <w:unhideWhenUsed/>
    <w:rsid w:val="008653AB"/>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8653AB"/>
    <w:rPr>
      <w:rFonts w:ascii="Calibri" w:eastAsia="Calibri" w:hAnsi="Calibri" w:cs="Calibri"/>
      <w:sz w:val="20"/>
      <w:szCs w:val="20"/>
    </w:rPr>
  </w:style>
  <w:style w:type="table" w:customStyle="1" w:styleId="Table">
    <w:name w:val="Table"/>
    <w:semiHidden/>
    <w:unhideWhenUsed/>
    <w:qFormat/>
    <w:rsid w:val="008653AB"/>
    <w:pPr>
      <w:spacing w:after="200" w:line="240" w:lineRule="auto"/>
    </w:pPr>
    <w:rPr>
      <w:rFonts w:ascii="Calibri" w:eastAsia="Calibri" w:hAnsi="Calibri" w:cs="Calibri"/>
      <w:sz w:val="24"/>
      <w:szCs w:val="24"/>
    </w:rPr>
    <w:tblPr>
      <w:tblInd w:w="0" w:type="dxa"/>
      <w:tblCellMar>
        <w:top w:w="0" w:type="dxa"/>
        <w:left w:w="108" w:type="dxa"/>
        <w:bottom w:w="0" w:type="dxa"/>
        <w:right w:w="108" w:type="dxa"/>
      </w:tblCellMar>
    </w:tblPr>
  </w:style>
  <w:style w:type="paragraph" w:customStyle="1" w:styleId="Compact">
    <w:name w:val="Compact"/>
    <w:basedOn w:val="BodyText"/>
    <w:qFormat/>
    <w:rsid w:val="008653AB"/>
    <w:pPr>
      <w:spacing w:before="36" w:after="36" w:line="240" w:lineRule="auto"/>
    </w:pPr>
    <w:rPr>
      <w:rFonts w:ascii="Calibri" w:eastAsia="Calibri" w:hAnsi="Calibri" w:cs="Times New Roman"/>
      <w:sz w:val="24"/>
      <w:szCs w:val="24"/>
    </w:rPr>
  </w:style>
  <w:style w:type="paragraph" w:customStyle="1" w:styleId="TableCaption">
    <w:name w:val="Table Caption"/>
    <w:basedOn w:val="Caption"/>
    <w:rsid w:val="008653AB"/>
    <w:pPr>
      <w:keepNext/>
      <w:spacing w:after="120"/>
    </w:pPr>
    <w:rPr>
      <w:iCs w:val="0"/>
      <w:color w:val="auto"/>
      <w:sz w:val="24"/>
      <w:szCs w:val="24"/>
    </w:rPr>
  </w:style>
  <w:style w:type="paragraph" w:styleId="BodyText">
    <w:name w:val="Body Text"/>
    <w:basedOn w:val="Normal"/>
    <w:link w:val="BodyTextChar"/>
    <w:uiPriority w:val="99"/>
    <w:semiHidden/>
    <w:unhideWhenUsed/>
    <w:rsid w:val="008653AB"/>
    <w:pPr>
      <w:spacing w:after="120"/>
    </w:pPr>
  </w:style>
  <w:style w:type="character" w:customStyle="1" w:styleId="BodyTextChar">
    <w:name w:val="Body Text Char"/>
    <w:basedOn w:val="DefaultParagraphFont"/>
    <w:link w:val="BodyText"/>
    <w:uiPriority w:val="99"/>
    <w:semiHidden/>
    <w:rsid w:val="008653AB"/>
  </w:style>
  <w:style w:type="paragraph" w:styleId="Caption">
    <w:name w:val="caption"/>
    <w:basedOn w:val="Normal"/>
    <w:next w:val="Normal"/>
    <w:uiPriority w:val="35"/>
    <w:semiHidden/>
    <w:unhideWhenUsed/>
    <w:qFormat/>
    <w:rsid w:val="008653AB"/>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8653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53AB"/>
    <w:rPr>
      <w:rFonts w:ascii="Segoe UI" w:hAnsi="Segoe UI" w:cs="Segoe UI"/>
      <w:sz w:val="18"/>
      <w:szCs w:val="18"/>
    </w:rPr>
  </w:style>
  <w:style w:type="paragraph" w:customStyle="1" w:styleId="EndNoteBibliographyTitle">
    <w:name w:val="EndNote Bibliography Title"/>
    <w:basedOn w:val="Normal"/>
    <w:link w:val="EndNoteBibliographyTitleChar"/>
    <w:rsid w:val="00B6262C"/>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B6262C"/>
    <w:rPr>
      <w:rFonts w:ascii="Calibri" w:hAnsi="Calibri" w:cs="Calibri"/>
      <w:noProof/>
    </w:rPr>
  </w:style>
  <w:style w:type="paragraph" w:customStyle="1" w:styleId="EndNoteBibliography">
    <w:name w:val="EndNote Bibliography"/>
    <w:basedOn w:val="Normal"/>
    <w:link w:val="EndNoteBibliographyChar"/>
    <w:rsid w:val="00B6262C"/>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B6262C"/>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1414</Words>
  <Characters>8062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Mkorombindo, Takudzwa (Campus)</dc:creator>
  <cp:keywords/>
  <dc:description/>
  <cp:lastModifiedBy>Mkorombindo, Takudzwa (Campus)</cp:lastModifiedBy>
  <cp:revision>2</cp:revision>
  <dcterms:created xsi:type="dcterms:W3CDTF">2022-10-14T04:44:00Z</dcterms:created>
  <dcterms:modified xsi:type="dcterms:W3CDTF">2022-10-27T18:04:00Z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f816011c-76f6-48c0-8411-93cbbd962de6</vt:lpwstr>
  </property>
</Properties>
</file>