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FE6D1C" w14:textId="339CFE5A" w:rsidR="00A43F6F" w:rsidRDefault="00A43F6F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33D7B57" w14:textId="77777777" w:rsidR="00A43F6F" w:rsidRPr="0027083B" w:rsidRDefault="00A43F6F" w:rsidP="00A43F6F">
      <w:pPr>
        <w:spacing w:line="480" w:lineRule="auto"/>
        <w:jc w:val="both"/>
        <w:rPr>
          <w:rFonts w:ascii="Times New Roman" w:eastAsia="Songti SC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Supplemental Information</w:t>
      </w:r>
    </w:p>
    <w:p w14:paraId="58B1766C" w14:textId="77777777" w:rsidR="00A43F6F" w:rsidRPr="0027083B" w:rsidRDefault="00A43F6F" w:rsidP="00A43F6F">
      <w:pPr>
        <w:spacing w:line="480" w:lineRule="auto"/>
        <w:ind w:left="1205" w:hanging="1205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S1.  Demographic data of the study cohort</w:t>
      </w:r>
    </w:p>
    <w:p w14:paraId="2B18E175" w14:textId="77777777" w:rsidR="00A43F6F" w:rsidRPr="0027083B" w:rsidRDefault="00A43F6F" w:rsidP="00A43F6F">
      <w:pPr>
        <w:spacing w:line="480" w:lineRule="auto"/>
        <w:ind w:left="1205" w:hanging="1205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S2.  Statistics of the whole-exome sequencing data</w:t>
      </w:r>
    </w:p>
    <w:p w14:paraId="748DFF45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 xml:space="preserve">Table S3.  </w:t>
      </w:r>
      <w:r w:rsidRPr="0027083B">
        <w:rPr>
          <w:rFonts w:ascii="Times New Roman" w:hAnsi="Times New Roman" w:cs="Times New Roman"/>
          <w:b/>
          <w:color w:val="000000" w:themeColor="text1"/>
        </w:rPr>
        <w:t>Genes selected for customized panel sequencing</w:t>
      </w:r>
    </w:p>
    <w:p w14:paraId="0686FBFF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 xml:space="preserve">Table S4.  </w:t>
      </w:r>
      <w:r w:rsidRPr="0027083B">
        <w:rPr>
          <w:rFonts w:ascii="Times New Roman" w:hAnsi="Times New Roman" w:cs="Times New Roman"/>
          <w:b/>
          <w:color w:val="000000" w:themeColor="text1"/>
        </w:rPr>
        <w:t>Statistics of the targeted gene sequencing data</w:t>
      </w:r>
    </w:p>
    <w:p w14:paraId="037E17EB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 xml:space="preserve">Table S5.  </w:t>
      </w:r>
      <w:r w:rsidRPr="0027083B">
        <w:rPr>
          <w:rFonts w:ascii="Times New Roman" w:hAnsi="Times New Roman" w:cs="Times New Roman"/>
          <w:b/>
          <w:color w:val="000000" w:themeColor="text1"/>
        </w:rPr>
        <w:t>Statistics for variants identified by targeted gene sequencing</w:t>
      </w:r>
    </w:p>
    <w:p w14:paraId="17684147" w14:textId="77777777" w:rsidR="00A43F6F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 xml:space="preserve">Table S6.  </w:t>
      </w:r>
      <w:r w:rsidRPr="0027083B">
        <w:rPr>
          <w:rFonts w:ascii="Times New Roman" w:hAnsi="Times New Roman" w:cs="Times New Roman"/>
          <w:b/>
          <w:color w:val="000000" w:themeColor="text1"/>
        </w:rPr>
        <w:t>Mutations identified in known ALS genes</w:t>
      </w:r>
    </w:p>
    <w:p w14:paraId="159D0F65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</w:rPr>
        <w:t>7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>
        <w:rPr>
          <w:rFonts w:ascii="Times New Roman" w:hAnsi="Times New Roman" w:cs="Times New Roman"/>
          <w:b/>
        </w:rPr>
        <w:t>R</w:t>
      </w:r>
      <w:r>
        <w:rPr>
          <w:rFonts w:ascii="Times New Roman" w:hAnsi="Times New Roman" w:cs="Times New Roman" w:hint="eastAsia"/>
          <w:b/>
        </w:rPr>
        <w:t>are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 w:hint="eastAsia"/>
          <w:b/>
        </w:rPr>
        <w:t>c</w:t>
      </w:r>
      <w:r>
        <w:rPr>
          <w:rFonts w:ascii="Times New Roman" w:hAnsi="Times New Roman" w:cs="Times New Roman"/>
          <w:b/>
        </w:rPr>
        <w:t xml:space="preserve">oding variants identified in </w:t>
      </w:r>
      <w:r w:rsidRPr="008B091F">
        <w:rPr>
          <w:rFonts w:ascii="Times New Roman" w:hAnsi="Times New Roman" w:cs="Times New Roman"/>
          <w:b/>
          <w:i/>
        </w:rPr>
        <w:t>PCDHA9</w:t>
      </w:r>
    </w:p>
    <w:p w14:paraId="45645DEC" w14:textId="77777777" w:rsidR="00A43F6F" w:rsidRPr="0027083B" w:rsidRDefault="00A43F6F" w:rsidP="00A43F6F">
      <w:pPr>
        <w:spacing w:line="480" w:lineRule="auto"/>
        <w:ind w:left="1205" w:hanging="1205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</w:rPr>
        <w:t>8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>.  Clinical features of patients with the homozygous PCDHA9 L700P mutation</w:t>
      </w:r>
    </w:p>
    <w:p w14:paraId="36740478" w14:textId="77777777" w:rsidR="00A43F6F" w:rsidRPr="0027083B" w:rsidRDefault="00A43F6F" w:rsidP="00A43F6F">
      <w:pPr>
        <w:spacing w:line="480" w:lineRule="auto"/>
        <w:ind w:left="1205" w:hanging="1205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</w:rPr>
        <w:t>9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>.  The raw electromyogram (EMG) data of the mutant and wild</w:t>
      </w:r>
      <w:r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>type mice</w:t>
      </w:r>
    </w:p>
    <w:p w14:paraId="1BDC525A" w14:textId="77777777" w:rsidR="00A43F6F" w:rsidRPr="0027083B" w:rsidRDefault="00A43F6F" w:rsidP="00A43F6F">
      <w:pPr>
        <w:spacing w:line="480" w:lineRule="auto"/>
        <w:ind w:left="1205" w:hanging="1205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</w:t>
      </w:r>
      <w:r>
        <w:rPr>
          <w:rFonts w:ascii="Times New Roman" w:hAnsi="Times New Roman" w:cs="Times New Roman"/>
          <w:b/>
          <w:bCs/>
          <w:color w:val="000000" w:themeColor="text1"/>
        </w:rPr>
        <w:t>10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>.   Quality control of snRNA-seq</w:t>
      </w:r>
    </w:p>
    <w:p w14:paraId="6E50099B" w14:textId="77777777" w:rsidR="00A43F6F" w:rsidRPr="0027083B" w:rsidRDefault="00A43F6F" w:rsidP="00A43F6F">
      <w:pPr>
        <w:spacing w:line="480" w:lineRule="auto"/>
        <w:ind w:left="1205" w:hanging="1205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S1</w:t>
      </w:r>
      <w:r>
        <w:rPr>
          <w:rFonts w:ascii="Times New Roman" w:hAnsi="Times New Roman" w:cs="Times New Roman"/>
          <w:b/>
          <w:bCs/>
          <w:color w:val="000000" w:themeColor="text1"/>
        </w:rPr>
        <w:t>1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>.  DEGs in neuron cluster in snRNA-seq</w:t>
      </w:r>
    </w:p>
    <w:p w14:paraId="0F8D6105" w14:textId="77777777" w:rsidR="00A43F6F" w:rsidRPr="0027083B" w:rsidRDefault="00A43F6F" w:rsidP="00A43F6F">
      <w:pPr>
        <w:spacing w:line="480" w:lineRule="auto"/>
        <w:ind w:left="1205" w:hanging="1205"/>
        <w:jc w:val="both"/>
        <w:rPr>
          <w:rFonts w:ascii="Times New Roman" w:hAnsi="Times New Roman" w:cs="Times New Roman"/>
          <w:b/>
          <w:bCs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S1</w:t>
      </w: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>.  DARs in neuron cluster in snATAC-seq</w:t>
      </w:r>
    </w:p>
    <w:p w14:paraId="3DCFAAE6" w14:textId="77777777" w:rsidR="00A43F6F" w:rsidRPr="0027083B" w:rsidRDefault="00A43F6F" w:rsidP="00A43F6F">
      <w:pPr>
        <w:snapToGrid w:val="0"/>
        <w:spacing w:after="240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S1</w:t>
      </w:r>
      <w:r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 xml:space="preserve">.  </w:t>
      </w:r>
      <w:r w:rsidRPr="0027083B">
        <w:rPr>
          <w:rFonts w:ascii="Times New Roman" w:hAnsi="Times New Roman" w:cs="Times New Roman"/>
          <w:b/>
          <w:color w:val="000000" w:themeColor="text1"/>
        </w:rPr>
        <w:t>GRN analysis in WT and Mut mice</w:t>
      </w:r>
    </w:p>
    <w:p w14:paraId="62DC083A" w14:textId="77777777" w:rsidR="00A43F6F" w:rsidRPr="0027083B" w:rsidRDefault="00A43F6F" w:rsidP="00A43F6F">
      <w:pPr>
        <w:snapToGrid w:val="0"/>
        <w:spacing w:after="240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S1</w:t>
      </w:r>
      <w:r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>.</w:t>
      </w:r>
      <w:r w:rsidRPr="0027083B">
        <w:rPr>
          <w:rFonts w:ascii="Times New Roman" w:hAnsi="Times New Roman" w:cs="Times New Roman"/>
          <w:b/>
          <w:color w:val="000000" w:themeColor="text1"/>
        </w:rPr>
        <w:t xml:space="preserve">  Malat1 related miRNA and mRNA</w:t>
      </w:r>
    </w:p>
    <w:p w14:paraId="2E348EA2" w14:textId="77777777" w:rsidR="00A43F6F" w:rsidRPr="0027083B" w:rsidRDefault="00A43F6F" w:rsidP="00A43F6F">
      <w:pPr>
        <w:spacing w:line="480" w:lineRule="auto"/>
        <w:ind w:left="1205" w:hanging="1205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bCs/>
          <w:color w:val="000000" w:themeColor="text1"/>
        </w:rPr>
        <w:t>Table S1</w:t>
      </w:r>
      <w:r>
        <w:rPr>
          <w:rFonts w:ascii="Times New Roman" w:hAnsi="Times New Roman" w:cs="Times New Roman"/>
          <w:b/>
          <w:bCs/>
          <w:color w:val="000000" w:themeColor="text1"/>
        </w:rPr>
        <w:t>5</w:t>
      </w:r>
      <w:r w:rsidRPr="0027083B">
        <w:rPr>
          <w:rFonts w:ascii="Times New Roman" w:hAnsi="Times New Roman" w:cs="Times New Roman"/>
          <w:b/>
          <w:bCs/>
          <w:color w:val="000000" w:themeColor="text1"/>
        </w:rPr>
        <w:t xml:space="preserve">.  </w:t>
      </w:r>
      <w:r w:rsidRPr="0027083B">
        <w:rPr>
          <w:rFonts w:ascii="Times New Roman" w:hAnsi="Times New Roman" w:cs="Times New Roman"/>
          <w:b/>
          <w:color w:val="000000" w:themeColor="text1"/>
        </w:rPr>
        <w:t>CellphoneDB analysis in WT and Mut mice</w:t>
      </w:r>
    </w:p>
    <w:p w14:paraId="3150B678" w14:textId="77777777" w:rsidR="00A43F6F" w:rsidRPr="00B52BEF" w:rsidRDefault="00A43F6F" w:rsidP="00A43F6F">
      <w:pPr>
        <w:spacing w:line="480" w:lineRule="auto"/>
        <w:ind w:left="1205" w:hanging="1205"/>
        <w:jc w:val="both"/>
        <w:rPr>
          <w:rFonts w:ascii="Times New Roman" w:hAnsi="Times New Roman" w:cs="Times New Roman"/>
          <w:b/>
          <w:bCs/>
          <w:color w:val="000000" w:themeColor="text1"/>
        </w:rPr>
      </w:pPr>
    </w:p>
    <w:p w14:paraId="0074D65D" w14:textId="77777777" w:rsidR="00A43F6F" w:rsidRPr="0027083B" w:rsidRDefault="00A43F6F" w:rsidP="00A43F6F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Movie 1.</w:t>
      </w:r>
      <w:r w:rsidRPr="0027083B">
        <w:rPr>
          <w:rFonts w:ascii="Times New Roman" w:hAnsi="Times New Roman" w:cs="Times New Roman"/>
          <w:color w:val="000000" w:themeColor="text1"/>
        </w:rPr>
        <w:t xml:space="preserve"> </w:t>
      </w:r>
      <w:r w:rsidRPr="0027083B">
        <w:rPr>
          <w:rFonts w:ascii="Times New Roman" w:hAnsi="Times New Roman" w:cs="Times New Roman"/>
          <w:b/>
          <w:color w:val="000000" w:themeColor="text1"/>
        </w:rPr>
        <w:t xml:space="preserve">Unilateral paralyzed </w:t>
      </w:r>
      <w:r w:rsidRPr="0027083B">
        <w:rPr>
          <w:rFonts w:ascii="Times New Roman" w:hAnsi="Times New Roman" w:cs="Times New Roman"/>
          <w:b/>
          <w:iCs/>
          <w:color w:val="000000" w:themeColor="text1"/>
        </w:rPr>
        <w:t xml:space="preserve">Mut </w:t>
      </w:r>
      <w:r w:rsidRPr="0027083B">
        <w:rPr>
          <w:rFonts w:ascii="Times New Roman" w:hAnsi="Times New Roman" w:cs="Times New Roman"/>
          <w:b/>
          <w:color w:val="000000" w:themeColor="text1"/>
        </w:rPr>
        <w:t xml:space="preserve">mouse. </w:t>
      </w:r>
      <w:r w:rsidRPr="0027083B">
        <w:rPr>
          <w:rFonts w:ascii="Times New Roman" w:hAnsi="Times New Roman" w:cs="Times New Roman"/>
          <w:color w:val="000000" w:themeColor="text1"/>
        </w:rPr>
        <w:t>The left hind limb is stiff without voluntary movement, 14-month-old.</w:t>
      </w:r>
    </w:p>
    <w:p w14:paraId="1D506D2D" w14:textId="77777777" w:rsidR="00A43F6F" w:rsidRPr="0027083B" w:rsidRDefault="00A43F6F" w:rsidP="00A43F6F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Movie 2.</w:t>
      </w:r>
      <w:r w:rsidRPr="0027083B">
        <w:rPr>
          <w:rFonts w:ascii="Times New Roman" w:hAnsi="Times New Roman" w:cs="Times New Roman"/>
          <w:color w:val="000000" w:themeColor="text1"/>
        </w:rPr>
        <w:t xml:space="preserve"> </w:t>
      </w:r>
      <w:r w:rsidRPr="0027083B">
        <w:rPr>
          <w:rFonts w:ascii="Times New Roman" w:hAnsi="Times New Roman" w:cs="Times New Roman"/>
          <w:b/>
          <w:color w:val="000000" w:themeColor="text1"/>
        </w:rPr>
        <w:t>Abnormal claw contractions in 10-month-old Mut mouse.</w:t>
      </w:r>
    </w:p>
    <w:p w14:paraId="31792474" w14:textId="77777777" w:rsidR="00A43F6F" w:rsidRPr="0027083B" w:rsidRDefault="00A43F6F" w:rsidP="00A43F6F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F783199" w14:textId="77777777" w:rsidR="00A43F6F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 xml:space="preserve">Fig. S1. Generation of </w:t>
      </w:r>
      <w:r w:rsidRPr="0027083B">
        <w:rPr>
          <w:rFonts w:ascii="Times New Roman" w:hAnsi="Times New Roman" w:cs="Times New Roman"/>
          <w:b/>
          <w:i/>
          <w:iCs/>
          <w:color w:val="000000" w:themeColor="text1"/>
        </w:rPr>
        <w:t>Pcdha9</w:t>
      </w:r>
      <w:r w:rsidRPr="0027083B">
        <w:rPr>
          <w:rFonts w:ascii="Times New Roman" w:hAnsi="Times New Roman" w:cs="Times New Roman"/>
          <w:b/>
          <w:color w:val="000000" w:themeColor="text1"/>
        </w:rPr>
        <w:t xml:space="preserve"> L729P (Mut) and M723fs (Del) mice.</w:t>
      </w:r>
      <w:r w:rsidRPr="0027083B">
        <w:rPr>
          <w:rFonts w:ascii="Times New Roman" w:hAnsi="Times New Roman" w:cs="Times New Roman"/>
          <w:b/>
          <w:color w:val="000000" w:themeColor="text1"/>
        </w:rPr>
        <w:br/>
        <w:t xml:space="preserve">Fig. S2. Neurogenic skeletal muscular atrophy in </w:t>
      </w:r>
      <w:r w:rsidRPr="0027083B">
        <w:rPr>
          <w:rFonts w:ascii="Times New Roman" w:hAnsi="Times New Roman" w:cs="Times New Roman"/>
          <w:b/>
          <w:i/>
          <w:iCs/>
          <w:color w:val="000000" w:themeColor="text1"/>
        </w:rPr>
        <w:t>Pcdha9</w:t>
      </w:r>
      <w:r w:rsidRPr="0027083B">
        <w:rPr>
          <w:rFonts w:ascii="Times New Roman" w:hAnsi="Times New Roman" w:cs="Times New Roman"/>
          <w:b/>
          <w:color w:val="000000" w:themeColor="text1"/>
        </w:rPr>
        <w:t xml:space="preserve"> Mut mice.</w:t>
      </w:r>
    </w:p>
    <w:p w14:paraId="1113864D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lastRenderedPageBreak/>
        <w:t>Fig. S</w:t>
      </w:r>
      <w:r>
        <w:rPr>
          <w:rFonts w:ascii="Times New Roman" w:hAnsi="Times New Roman" w:cs="Times New Roman"/>
          <w:b/>
          <w:color w:val="000000" w:themeColor="text1"/>
        </w:rPr>
        <w:t>3</w:t>
      </w:r>
      <w:r w:rsidRPr="0027083B">
        <w:rPr>
          <w:rFonts w:ascii="Times New Roman" w:hAnsi="Times New Roman" w:cs="Times New Roman"/>
          <w:b/>
          <w:color w:val="000000" w:themeColor="text1"/>
        </w:rPr>
        <w:t xml:space="preserve">. </w:t>
      </w:r>
      <w:r w:rsidRPr="006004AF">
        <w:rPr>
          <w:rFonts w:ascii="Times New Roman" w:hAnsi="Times New Roman" w:cs="Times New Roman"/>
          <w:b/>
          <w:bCs/>
          <w:i/>
          <w:iCs/>
          <w:color w:val="000000" w:themeColor="text1"/>
        </w:rPr>
        <w:t>Pcdha9</w:t>
      </w:r>
      <w:r w:rsidRPr="006004AF">
        <w:rPr>
          <w:rFonts w:ascii="Times New Roman" w:hAnsi="Times New Roman" w:cs="Times New Roman"/>
          <w:b/>
          <w:bCs/>
          <w:color w:val="000000" w:themeColor="text1"/>
        </w:rPr>
        <w:t xml:space="preserve"> heterozygous Mut mice exhibit late-onset motor function deficits.</w:t>
      </w:r>
    </w:p>
    <w:p w14:paraId="3513ED49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Fig. S</w:t>
      </w:r>
      <w:r>
        <w:rPr>
          <w:rFonts w:ascii="Times New Roman" w:hAnsi="Times New Roman" w:cs="Times New Roman"/>
          <w:b/>
          <w:color w:val="000000" w:themeColor="text1"/>
        </w:rPr>
        <w:t>4</w:t>
      </w:r>
      <w:r w:rsidRPr="0027083B">
        <w:rPr>
          <w:rFonts w:ascii="Times New Roman" w:hAnsi="Times New Roman" w:cs="Times New Roman"/>
          <w:b/>
          <w:color w:val="000000" w:themeColor="text1"/>
        </w:rPr>
        <w:t xml:space="preserve">. Abnormal neuromuscular junctions (NMJs) in both </w:t>
      </w:r>
      <w:r w:rsidRPr="0027083B">
        <w:rPr>
          <w:rFonts w:ascii="Times New Roman" w:hAnsi="Times New Roman" w:cs="Times New Roman"/>
          <w:b/>
          <w:i/>
          <w:iCs/>
          <w:color w:val="000000" w:themeColor="text1"/>
        </w:rPr>
        <w:t>Pcdha9</w:t>
      </w:r>
      <w:r w:rsidRPr="0027083B">
        <w:rPr>
          <w:rFonts w:ascii="Times New Roman" w:hAnsi="Times New Roman" w:cs="Times New Roman"/>
          <w:b/>
          <w:color w:val="000000" w:themeColor="text1"/>
        </w:rPr>
        <w:t xml:space="preserve"> Mut and Del mice.</w:t>
      </w:r>
      <w:r w:rsidRPr="0027083B">
        <w:rPr>
          <w:rFonts w:ascii="Times New Roman" w:hAnsi="Times New Roman" w:cs="Times New Roman"/>
          <w:b/>
          <w:color w:val="000000" w:themeColor="text1"/>
        </w:rPr>
        <w:br/>
        <w:t>Fig. S</w:t>
      </w:r>
      <w:r>
        <w:rPr>
          <w:rFonts w:ascii="Times New Roman" w:hAnsi="Times New Roman" w:cs="Times New Roman"/>
          <w:b/>
          <w:color w:val="000000" w:themeColor="text1"/>
        </w:rPr>
        <w:t>5</w:t>
      </w:r>
      <w:r w:rsidRPr="0027083B">
        <w:rPr>
          <w:rFonts w:ascii="Times New Roman" w:hAnsi="Times New Roman" w:cs="Times New Roman"/>
          <w:b/>
          <w:color w:val="000000" w:themeColor="text1"/>
        </w:rPr>
        <w:t>. Myelination is not affected significantly in the spinal cord and sciatic nerve in Mut mice.</w:t>
      </w:r>
    </w:p>
    <w:p w14:paraId="5882D948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Fig. S</w:t>
      </w:r>
      <w:r>
        <w:rPr>
          <w:rFonts w:ascii="Times New Roman" w:hAnsi="Times New Roman" w:cs="Times New Roman"/>
          <w:b/>
          <w:color w:val="000000" w:themeColor="text1"/>
        </w:rPr>
        <w:t>6</w:t>
      </w:r>
      <w:r w:rsidRPr="0027083B">
        <w:rPr>
          <w:rFonts w:ascii="Times New Roman" w:hAnsi="Times New Roman" w:cs="Times New Roman"/>
          <w:b/>
          <w:color w:val="000000" w:themeColor="text1"/>
        </w:rPr>
        <w:t>. Tandem mass tag (TMT)- labeled quantitative proteomic analysis of the ventral horn spinal cord in Mut and littermate controls mice.</w:t>
      </w:r>
    </w:p>
    <w:p w14:paraId="2ED6737D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Fig. S</w:t>
      </w:r>
      <w:r>
        <w:rPr>
          <w:rFonts w:ascii="Times New Roman" w:hAnsi="Times New Roman" w:cs="Times New Roman"/>
          <w:b/>
          <w:color w:val="000000" w:themeColor="text1"/>
        </w:rPr>
        <w:t>7</w:t>
      </w:r>
      <w:r w:rsidRPr="0027083B">
        <w:rPr>
          <w:rFonts w:ascii="Times New Roman" w:hAnsi="Times New Roman" w:cs="Times New Roman"/>
          <w:b/>
          <w:color w:val="000000" w:themeColor="text1"/>
        </w:rPr>
        <w:t>. Mutation of PCDHA9 leads to its instability and the hyper-phosphorylation of PYK2.</w:t>
      </w:r>
    </w:p>
    <w:p w14:paraId="741959C6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Fig. S</w:t>
      </w:r>
      <w:r>
        <w:rPr>
          <w:rFonts w:ascii="Times New Roman" w:hAnsi="Times New Roman" w:cs="Times New Roman"/>
          <w:b/>
          <w:color w:val="000000" w:themeColor="text1"/>
        </w:rPr>
        <w:t>8</w:t>
      </w:r>
      <w:r w:rsidRPr="0027083B">
        <w:rPr>
          <w:rFonts w:ascii="Times New Roman" w:hAnsi="Times New Roman" w:cs="Times New Roman"/>
          <w:b/>
          <w:color w:val="000000" w:themeColor="text1"/>
        </w:rPr>
        <w:t>. The protein levels of NKA-β1 and NKA-</w:t>
      </w:r>
      <w:r>
        <w:rPr>
          <w:rFonts w:ascii="Times New Roman" w:hAnsi="Times New Roman" w:cs="Times New Roman"/>
          <w:b/>
          <w:color w:val="000000" w:themeColor="text1"/>
        </w:rPr>
        <w:t>α</w:t>
      </w:r>
      <w:r w:rsidRPr="0027083B">
        <w:rPr>
          <w:rFonts w:ascii="Times New Roman" w:hAnsi="Times New Roman" w:cs="Times New Roman"/>
          <w:b/>
          <w:color w:val="000000" w:themeColor="text1"/>
        </w:rPr>
        <w:t>3 in the spinal cord of 12-month-old WT and Mut mice were not affected.</w:t>
      </w:r>
    </w:p>
    <w:p w14:paraId="0B95F931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Fig. S</w:t>
      </w:r>
      <w:r>
        <w:rPr>
          <w:rFonts w:ascii="Times New Roman" w:hAnsi="Times New Roman" w:cs="Times New Roman"/>
          <w:b/>
          <w:color w:val="000000" w:themeColor="text1"/>
        </w:rPr>
        <w:t>9</w:t>
      </w:r>
      <w:r w:rsidRPr="0027083B">
        <w:rPr>
          <w:rFonts w:ascii="Times New Roman" w:hAnsi="Times New Roman" w:cs="Times New Roman"/>
          <w:b/>
          <w:color w:val="000000" w:themeColor="text1"/>
        </w:rPr>
        <w:t>.</w:t>
      </w:r>
      <w:r w:rsidRPr="0027083B">
        <w:rPr>
          <w:rFonts w:ascii="Times New Roman" w:hAnsi="Times New Roman" w:cs="Times New Roman"/>
          <w:color w:val="000000" w:themeColor="text1"/>
        </w:rPr>
        <w:t xml:space="preserve"> </w:t>
      </w:r>
      <w:r w:rsidRPr="0027083B">
        <w:rPr>
          <w:rFonts w:ascii="Times New Roman" w:hAnsi="Times New Roman" w:cs="Times New Roman"/>
          <w:b/>
          <w:color w:val="000000" w:themeColor="text1"/>
        </w:rPr>
        <w:t>Quality control and integration efficiency of snRNA-seq and snATAC-seq.</w:t>
      </w:r>
    </w:p>
    <w:p w14:paraId="138594CF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Fig. S</w:t>
      </w:r>
      <w:r>
        <w:rPr>
          <w:rFonts w:ascii="Times New Roman" w:hAnsi="Times New Roman" w:cs="Times New Roman"/>
          <w:b/>
          <w:color w:val="000000" w:themeColor="text1"/>
        </w:rPr>
        <w:t>10</w:t>
      </w:r>
      <w:r w:rsidRPr="0027083B">
        <w:rPr>
          <w:rFonts w:ascii="Times New Roman" w:hAnsi="Times New Roman" w:cs="Times New Roman"/>
          <w:b/>
          <w:color w:val="000000" w:themeColor="text1"/>
        </w:rPr>
        <w:t>. Analysis of snRNA-seq and snATAC-seq.</w:t>
      </w:r>
    </w:p>
    <w:p w14:paraId="06AA9209" w14:textId="77777777" w:rsidR="00A43F6F" w:rsidRPr="0027083B" w:rsidRDefault="00A43F6F" w:rsidP="00A43F6F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Fig. S1</w:t>
      </w:r>
      <w:r>
        <w:rPr>
          <w:rFonts w:ascii="Times New Roman" w:hAnsi="Times New Roman" w:cs="Times New Roman"/>
          <w:b/>
          <w:color w:val="000000" w:themeColor="text1"/>
        </w:rPr>
        <w:t>1</w:t>
      </w:r>
      <w:r w:rsidRPr="0027083B">
        <w:rPr>
          <w:rFonts w:ascii="Times New Roman" w:hAnsi="Times New Roman" w:cs="Times New Roman"/>
          <w:b/>
          <w:color w:val="000000" w:themeColor="text1"/>
        </w:rPr>
        <w:t>. Feature plot of marker genes in snRNA-seq.</w:t>
      </w:r>
    </w:p>
    <w:p w14:paraId="58B105A9" w14:textId="77777777" w:rsidR="00A43F6F" w:rsidRPr="0027083B" w:rsidRDefault="00A43F6F" w:rsidP="00A43F6F">
      <w:pPr>
        <w:spacing w:line="480" w:lineRule="auto"/>
        <w:jc w:val="both"/>
        <w:rPr>
          <w:rFonts w:ascii="Times New Roman" w:eastAsia="Songti SC" w:hAnsi="Times New Roman" w:cs="Times New Roman"/>
          <w:color w:val="000000" w:themeColor="text1"/>
        </w:rPr>
      </w:pPr>
      <w:r w:rsidRPr="0027083B">
        <w:rPr>
          <w:rFonts w:ascii="Times New Roman" w:hAnsi="Times New Roman" w:cs="Times New Roman"/>
          <w:b/>
          <w:color w:val="000000" w:themeColor="text1"/>
        </w:rPr>
        <w:t>Fig. S1</w:t>
      </w:r>
      <w:r>
        <w:rPr>
          <w:rFonts w:ascii="Times New Roman" w:hAnsi="Times New Roman" w:cs="Times New Roman"/>
          <w:b/>
          <w:color w:val="000000" w:themeColor="text1"/>
        </w:rPr>
        <w:t>2</w:t>
      </w:r>
      <w:r w:rsidRPr="0027083B">
        <w:rPr>
          <w:rFonts w:ascii="Times New Roman" w:hAnsi="Times New Roman" w:cs="Times New Roman"/>
          <w:b/>
          <w:color w:val="000000" w:themeColor="text1"/>
        </w:rPr>
        <w:t>. Feature plot of marker genes in snATAC-seq.</w:t>
      </w:r>
    </w:p>
    <w:p w14:paraId="28D68ADA" w14:textId="1A816AD8" w:rsidR="00A43F6F" w:rsidRDefault="00A43F6F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1EC8FBF" w14:textId="77777777" w:rsidR="00A43F6F" w:rsidRDefault="00A43F6F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2C9A81B" w14:textId="7E81A0B0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4B9B7B8C" wp14:editId="26DF862C">
            <wp:extent cx="5608320" cy="5884545"/>
            <wp:effectExtent l="0" t="0" r="5080" b="0"/>
            <wp:docPr id="20339588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95884" name="图片 20339588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588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D0124" w14:textId="77777777" w:rsidR="00A43F6F" w:rsidRDefault="00A43F6F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D42E03C" w14:textId="77777777" w:rsidR="009E0E64" w:rsidRPr="00222F30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1.  Generation of </w:t>
      </w:r>
      <w:r w:rsidRPr="00222F30">
        <w:rPr>
          <w:rFonts w:ascii="Times New Roman" w:hAnsi="Times New Roman" w:cs="Times New Roman"/>
          <w:b/>
          <w:bCs/>
          <w:i/>
          <w:iCs/>
          <w:color w:val="000000" w:themeColor="text1"/>
        </w:rPr>
        <w:t>Pcdha9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 L729P (Mut) and M723fs (Del) mice.</w:t>
      </w:r>
    </w:p>
    <w:p w14:paraId="69A14220" w14:textId="77777777" w:rsidR="009E0E64" w:rsidRPr="00222F30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222F30">
        <w:rPr>
          <w:rFonts w:ascii="Times New Roman" w:hAnsi="Times New Roman" w:cs="Times New Roman"/>
          <w:color w:val="000000" w:themeColor="text1"/>
        </w:rPr>
        <w:t>(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>a</w:t>
      </w:r>
      <w:r w:rsidRPr="00222F30">
        <w:rPr>
          <w:rFonts w:ascii="Times New Roman" w:hAnsi="Times New Roman" w:cs="Times New Roman"/>
          <w:color w:val="000000" w:themeColor="text1"/>
        </w:rPr>
        <w:t>) Conservation between mouse and human in the transmembrane domain of PCDHA9. (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>b</w:t>
      </w:r>
      <w:r w:rsidRPr="00222F30">
        <w:rPr>
          <w:rFonts w:ascii="Times New Roman" w:hAnsi="Times New Roman" w:cs="Times New Roman"/>
          <w:color w:val="000000" w:themeColor="text1"/>
        </w:rPr>
        <w:t>) Schematic of genomes for Mut and Del mice. (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>c</w:t>
      </w:r>
      <w:r w:rsidRPr="00222F30">
        <w:rPr>
          <w:rFonts w:ascii="Times New Roman" w:hAnsi="Times New Roman" w:cs="Times New Roman"/>
          <w:color w:val="000000" w:themeColor="text1"/>
        </w:rPr>
        <w:t>) Sequencing confirmation of T2185C (left panel) and deletion of 2166A (right panel) in mice. (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>d</w:t>
      </w:r>
      <w:r w:rsidRPr="00222F30">
        <w:rPr>
          <w:rFonts w:ascii="Times New Roman" w:hAnsi="Times New Roman" w:cs="Times New Roman"/>
          <w:color w:val="000000" w:themeColor="text1"/>
        </w:rPr>
        <w:t xml:space="preserve">) Relative mRNA levels of </w:t>
      </w:r>
      <w:r w:rsidRPr="00222F30">
        <w:rPr>
          <w:rFonts w:ascii="Times New Roman" w:hAnsi="Times New Roman" w:cs="Times New Roman"/>
          <w:i/>
          <w:iCs/>
          <w:color w:val="000000" w:themeColor="text1"/>
        </w:rPr>
        <w:t>Pcdha9</w:t>
      </w:r>
      <w:r w:rsidRPr="00222F30">
        <w:rPr>
          <w:rFonts w:ascii="Times New Roman" w:hAnsi="Times New Roman" w:cs="Times New Roman"/>
          <w:color w:val="000000" w:themeColor="text1"/>
        </w:rPr>
        <w:t xml:space="preserve"> in the spinal cord of 6-month old female WT, Mut and Del mice by quantitative real time PCR (n=3). 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(e) </w:t>
      </w:r>
      <w:r w:rsidRPr="00222F30">
        <w:rPr>
          <w:rFonts w:ascii="Times New Roman" w:hAnsi="Times New Roman" w:cs="Times New Roman"/>
          <w:color w:val="000000" w:themeColor="text1"/>
        </w:rPr>
        <w:t xml:space="preserve">Body weight of mice at different age. Mut and Del mice exhibited body weight loss at 12-month old (7-month old: wt, n=11; mut, n=13; del, n=4. 10-month old: wt, n=12; mut, n=10; del, n=6. 12-month old: wt, n=18; mut, n=12; del, n=15). All data represent mean ± SEM.*P &lt; 0.05, **P &lt; 0.01, one-way ANOVA. </w:t>
      </w:r>
    </w:p>
    <w:p w14:paraId="6A72A7C7" w14:textId="77777777" w:rsidR="009E0E64" w:rsidRPr="00222F30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222F30">
        <w:rPr>
          <w:rFonts w:ascii="Times New Roman" w:hAnsi="Times New Roman" w:cs="Times New Roman"/>
          <w:color w:val="000000" w:themeColor="text1"/>
        </w:rPr>
        <w:t xml:space="preserve">(Related to Figure 2) </w:t>
      </w:r>
    </w:p>
    <w:p w14:paraId="175B52A8" w14:textId="1FED589C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F6D173C" w14:textId="044480CD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C596420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133FDE12" wp14:editId="14372292">
            <wp:extent cx="5608320" cy="5816600"/>
            <wp:effectExtent l="0" t="0" r="5080" b="0"/>
            <wp:docPr id="419379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37914" name="图片 4193791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581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305C1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DE086C5" w14:textId="77777777" w:rsidR="009E0E64" w:rsidRPr="00222F30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2.  Both </w:t>
      </w:r>
      <w:r w:rsidRPr="00222F30">
        <w:rPr>
          <w:rFonts w:ascii="Times New Roman" w:hAnsi="Times New Roman" w:cs="Times New Roman"/>
          <w:b/>
          <w:bCs/>
          <w:i/>
          <w:iCs/>
          <w:color w:val="000000" w:themeColor="text1"/>
        </w:rPr>
        <w:t>Pcdha9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 Mut and Del mice exhibit largely normal motor behaviors before 8 months old.</w:t>
      </w:r>
      <w:r w:rsidRPr="00222F30">
        <w:rPr>
          <w:rFonts w:ascii="Times New Roman" w:hAnsi="Times New Roman" w:cs="Times New Roman"/>
          <w:color w:val="000000" w:themeColor="text1"/>
        </w:rPr>
        <w:t xml:space="preserve"> 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(a) </w:t>
      </w:r>
      <w:r w:rsidRPr="00222F30">
        <w:rPr>
          <w:rFonts w:ascii="Times New Roman" w:hAnsi="Times New Roman" w:cs="Times New Roman"/>
          <w:color w:val="000000" w:themeColor="text1"/>
        </w:rPr>
        <w:t>Grip force (gram) for limbs of mice at 3- and 4-month old.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 (b) </w:t>
      </w:r>
      <w:r w:rsidRPr="00222F30">
        <w:rPr>
          <w:rFonts w:ascii="Times New Roman" w:hAnsi="Times New Roman" w:cs="Times New Roman"/>
          <w:color w:val="000000" w:themeColor="text1"/>
        </w:rPr>
        <w:t xml:space="preserve">Rota rod test performed in five consecutive days, 8 and 10 month old mice. Time until falling was analyzed. 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(c) </w:t>
      </w:r>
      <w:r w:rsidRPr="00222F30">
        <w:rPr>
          <w:rFonts w:ascii="Times New Roman" w:hAnsi="Times New Roman" w:cs="Times New Roman"/>
          <w:color w:val="000000" w:themeColor="text1"/>
        </w:rPr>
        <w:t>Time crossing the swimming tank during the swimming test, 3 and 4 month old mice. All data represent mean ± SEM. *P &lt; 0.05, one-way ANOVA was used in 3 groups analysis, while t-test was used in 2 group analysis.</w:t>
      </w:r>
    </w:p>
    <w:p w14:paraId="699EFC3F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222F30">
        <w:rPr>
          <w:rFonts w:ascii="Times New Roman" w:hAnsi="Times New Roman" w:cs="Times New Roman"/>
          <w:color w:val="000000" w:themeColor="text1"/>
        </w:rPr>
        <w:t>(related to Figure 2)</w:t>
      </w:r>
    </w:p>
    <w:p w14:paraId="530DEE45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6A21027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DDB25FD" wp14:editId="0B4D40AB">
            <wp:extent cx="3972956" cy="3714750"/>
            <wp:effectExtent l="0" t="0" r="8890" b="0"/>
            <wp:docPr id="14331175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117518" name="图片 14331175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6498" cy="374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29DBA" w14:textId="77777777" w:rsidR="009E0E64" w:rsidRPr="0025515F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25515F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3.  </w:t>
      </w:r>
      <w:r w:rsidRPr="0025515F">
        <w:rPr>
          <w:rFonts w:ascii="Times New Roman" w:hAnsi="Times New Roman" w:cs="Times New Roman"/>
          <w:b/>
          <w:bCs/>
          <w:i/>
          <w:iCs/>
          <w:color w:val="000000" w:themeColor="text1"/>
        </w:rPr>
        <w:t>Pcdha9</w:t>
      </w:r>
      <w:r w:rsidRPr="0025515F">
        <w:rPr>
          <w:rFonts w:ascii="Times New Roman" w:hAnsi="Times New Roman" w:cs="Times New Roman"/>
          <w:b/>
          <w:bCs/>
          <w:color w:val="000000" w:themeColor="text1"/>
        </w:rPr>
        <w:t xml:space="preserve"> Mut heterozygous mice exhibit late-onset motor function deficits.</w:t>
      </w:r>
      <w:r w:rsidRPr="0025515F">
        <w:rPr>
          <w:rFonts w:ascii="Times New Roman" w:hAnsi="Times New Roman" w:cs="Times New Roman"/>
          <w:color w:val="000000" w:themeColor="text1"/>
        </w:rPr>
        <w:t xml:space="preserve"> </w:t>
      </w:r>
      <w:r w:rsidRPr="0025515F">
        <w:rPr>
          <w:rFonts w:ascii="Times New Roman" w:hAnsi="Times New Roman" w:cs="Times New Roman"/>
          <w:b/>
          <w:bCs/>
          <w:color w:val="000000" w:themeColor="text1"/>
        </w:rPr>
        <w:t xml:space="preserve">(a) </w:t>
      </w:r>
      <w:r w:rsidRPr="0025515F">
        <w:rPr>
          <w:rFonts w:ascii="Times New Roman" w:hAnsi="Times New Roman" w:cs="Times New Roman"/>
          <w:color w:val="000000" w:themeColor="text1"/>
        </w:rPr>
        <w:t>Grip force (gram) for limbs of mice at 16-month old.</w:t>
      </w:r>
      <w:r w:rsidRPr="0025515F">
        <w:rPr>
          <w:rFonts w:ascii="Times New Roman" w:hAnsi="Times New Roman" w:cs="Times New Roman"/>
          <w:b/>
          <w:bCs/>
          <w:color w:val="000000" w:themeColor="text1"/>
        </w:rPr>
        <w:t xml:space="preserve"> (b) </w:t>
      </w:r>
      <w:r w:rsidRPr="0025515F">
        <w:rPr>
          <w:rFonts w:ascii="Times New Roman" w:hAnsi="Times New Roman" w:cs="Times New Roman"/>
          <w:color w:val="000000" w:themeColor="text1"/>
        </w:rPr>
        <w:t xml:space="preserve">Rota rod test performed in five consecutive days, 16 month old mice. Time until falling was analyzed. </w:t>
      </w:r>
      <w:r w:rsidRPr="0025515F">
        <w:rPr>
          <w:rFonts w:ascii="Times New Roman" w:hAnsi="Times New Roman" w:cs="Times New Roman"/>
          <w:b/>
          <w:bCs/>
          <w:color w:val="000000" w:themeColor="text1"/>
        </w:rPr>
        <w:t xml:space="preserve">(c) </w:t>
      </w:r>
      <w:r w:rsidRPr="0025515F">
        <w:rPr>
          <w:rFonts w:ascii="Times New Roman" w:hAnsi="Times New Roman" w:cs="Times New Roman"/>
          <w:color w:val="000000" w:themeColor="text1"/>
        </w:rPr>
        <w:t>Time crossing the swimming tank during the swimming test, 16 month old mice. All data represent mean ± SEM. *P &lt; 0.05, t-test. WT: n=7; HET: n=6.</w:t>
      </w:r>
    </w:p>
    <w:p w14:paraId="6679E88C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25515F">
        <w:rPr>
          <w:rFonts w:ascii="Times New Roman" w:hAnsi="Times New Roman" w:cs="Times New Roman"/>
          <w:color w:val="000000" w:themeColor="text1"/>
        </w:rPr>
        <w:t>(related to Figure 2)</w:t>
      </w:r>
    </w:p>
    <w:p w14:paraId="55D0D0FE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C4BF9D7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8B261A4" wp14:editId="3E588900">
            <wp:extent cx="5316526" cy="3682263"/>
            <wp:effectExtent l="0" t="0" r="5080" b="1270"/>
            <wp:docPr id="19826313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631312" name="图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6526" cy="3682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BC733D" w14:textId="77777777" w:rsidR="009E0E64" w:rsidRPr="00222F30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4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. Neurogenic skeletal muscular atrophy in </w:t>
      </w:r>
      <w:r w:rsidRPr="00222F30">
        <w:rPr>
          <w:rFonts w:ascii="Times New Roman" w:hAnsi="Times New Roman" w:cs="Times New Roman"/>
          <w:b/>
          <w:bCs/>
          <w:i/>
          <w:iCs/>
          <w:color w:val="000000" w:themeColor="text1"/>
        </w:rPr>
        <w:t>Pcdha9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 xml:space="preserve"> Mut mice. </w:t>
      </w:r>
      <w:r>
        <w:rPr>
          <w:rFonts w:ascii="Times New Roman" w:hAnsi="Times New Roman" w:cs="Times New Roman"/>
          <w:b/>
          <w:bCs/>
          <w:color w:val="000000" w:themeColor="text1"/>
        </w:rPr>
        <w:t>(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>a</w:t>
      </w:r>
      <w:r>
        <w:rPr>
          <w:rFonts w:ascii="Times New Roman" w:hAnsi="Times New Roman" w:cs="Times New Roman"/>
          <w:color w:val="000000" w:themeColor="text1"/>
        </w:rPr>
        <w:t>)</w:t>
      </w:r>
      <w:r w:rsidRPr="00222F30">
        <w:rPr>
          <w:rFonts w:ascii="Times New Roman" w:hAnsi="Times New Roman" w:cs="Times New Roman"/>
          <w:color w:val="000000" w:themeColor="text1"/>
        </w:rPr>
        <w:t xml:space="preserve"> H&amp;E staining of gastrocnemius muscles from 12-month old WT and Mut mice. Scale bar = 50 </w:t>
      </w:r>
      <w:r w:rsidRPr="00222F30">
        <w:rPr>
          <w:rFonts w:ascii="Times New Roman" w:hAnsi="Times New Roman" w:cs="Times New Roman"/>
          <w:color w:val="000000" w:themeColor="text1"/>
        </w:rPr>
        <w:sym w:font="Symbol" w:char="F06D"/>
      </w:r>
      <w:r w:rsidRPr="00222F30">
        <w:rPr>
          <w:rFonts w:ascii="Times New Roman" w:hAnsi="Times New Roman" w:cs="Times New Roman"/>
          <w:color w:val="000000" w:themeColor="text1"/>
        </w:rPr>
        <w:t xml:space="preserve">m. </w:t>
      </w:r>
      <w:r>
        <w:rPr>
          <w:rFonts w:ascii="Times New Roman" w:hAnsi="Times New Roman" w:cs="Times New Roman"/>
          <w:color w:val="000000" w:themeColor="text1"/>
        </w:rPr>
        <w:t>(</w:t>
      </w:r>
      <w:r w:rsidRPr="00222F30">
        <w:rPr>
          <w:rFonts w:ascii="Times New Roman" w:hAnsi="Times New Roman" w:cs="Times New Roman"/>
          <w:b/>
          <w:bCs/>
          <w:color w:val="000000" w:themeColor="text1"/>
        </w:rPr>
        <w:t>b</w:t>
      </w:r>
      <w:r>
        <w:rPr>
          <w:rFonts w:ascii="Times New Roman" w:hAnsi="Times New Roman" w:cs="Times New Roman"/>
          <w:color w:val="000000" w:themeColor="text1"/>
        </w:rPr>
        <w:t>)</w:t>
      </w:r>
      <w:r w:rsidRPr="00222F30">
        <w:rPr>
          <w:rFonts w:ascii="Times New Roman" w:hAnsi="Times New Roman" w:cs="Times New Roman"/>
          <w:color w:val="000000" w:themeColor="text1"/>
        </w:rPr>
        <w:t xml:space="preserve"> EMG data for the wild type mice. The EMG in wild type mice usually displayed as resting or non-spontaneous potentials, while positive sharp wave and fibrillation potentials were occasionally identified in one side of the muscles. L-BRI-P F: a positive sharp wave and fibrillation detected in the left biceps brachii muscle; L-GAS-F: a fibrillation potential identified in the left gastrocnemius muscle; L-RAM-P: a positive sharp wave detected in the left rectus abdominisa muscle.</w:t>
      </w:r>
    </w:p>
    <w:p w14:paraId="5D9DC599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222F30">
        <w:rPr>
          <w:rFonts w:ascii="Times New Roman" w:hAnsi="Times New Roman" w:cs="Times New Roman"/>
          <w:color w:val="000000" w:themeColor="text1"/>
        </w:rPr>
        <w:t>(related to Figure 3)</w:t>
      </w:r>
    </w:p>
    <w:p w14:paraId="23F34E00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7D5A39D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1E0F2F42" wp14:editId="4794C115">
            <wp:extent cx="5608112" cy="5402580"/>
            <wp:effectExtent l="0" t="0" r="5715" b="0"/>
            <wp:docPr id="97088672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0886722" name="图片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112" cy="540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290E8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833562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5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Pr="00833562">
        <w:rPr>
          <w:rFonts w:ascii="Times New Roman" w:hAnsi="Times New Roman" w:cs="Times New Roman"/>
          <w:color w:val="000000" w:themeColor="text1"/>
        </w:rPr>
        <w:t xml:space="preserve"> 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>Abnormal neuromuscular junctions</w:t>
      </w:r>
      <w:r w:rsidRPr="00833562">
        <w:rPr>
          <w:rFonts w:ascii="Times New Roman" w:hAnsi="Times New Roman" w:cs="Times New Roman"/>
          <w:color w:val="000000" w:themeColor="text1"/>
        </w:rPr>
        <w:t xml:space="preserve"> 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 xml:space="preserve">(NMJs) in both </w:t>
      </w:r>
      <w:r w:rsidRPr="00833562">
        <w:rPr>
          <w:rFonts w:ascii="Times New Roman" w:hAnsi="Times New Roman" w:cs="Times New Roman"/>
          <w:b/>
          <w:bCs/>
          <w:i/>
          <w:iCs/>
          <w:color w:val="000000" w:themeColor="text1"/>
        </w:rPr>
        <w:t>Pcdha9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 xml:space="preserve"> Mut and Del mice</w:t>
      </w:r>
      <w:r w:rsidRPr="00833562">
        <w:rPr>
          <w:rFonts w:ascii="Times New Roman" w:hAnsi="Times New Roman" w:cs="Times New Roman"/>
          <w:color w:val="000000" w:themeColor="text1"/>
        </w:rPr>
        <w:t>. (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>a</w:t>
      </w:r>
      <w:r w:rsidRPr="00833562">
        <w:rPr>
          <w:rFonts w:ascii="Times New Roman" w:hAnsi="Times New Roman" w:cs="Times New Roman"/>
          <w:color w:val="000000" w:themeColor="text1"/>
        </w:rPr>
        <w:t>) Statistic analysis of CHAT+ motor neurons in 10 month old mice spinal cord. N=3 mice. t test. Error bars represent ± SEM. (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>b</w:t>
      </w:r>
      <w:r w:rsidRPr="00833562">
        <w:rPr>
          <w:rFonts w:ascii="Times New Roman" w:hAnsi="Times New Roman" w:cs="Times New Roman"/>
          <w:color w:val="000000" w:themeColor="text1"/>
        </w:rPr>
        <w:t>) Confocal images of NeuN-positive neurons in the ventral horn of lumbar spinal cord from 12-month old WT and Mut mice (related to Figure 4A. Right panel: Statistical analyses of NeurN positive cells (N=3 mice; n=15 slice.</w:t>
      </w:r>
      <w:r w:rsidRPr="00833562">
        <w:rPr>
          <w:rFonts w:ascii="Times New Roman" w:hAnsi="Times New Roman" w:cs="Times New Roman"/>
          <w:color w:val="000000" w:themeColor="text1"/>
          <w:vertAlign w:val="superscript"/>
        </w:rPr>
        <w:t xml:space="preserve"> *</w:t>
      </w:r>
      <w:r w:rsidRPr="00833562">
        <w:rPr>
          <w:rFonts w:ascii="Times New Roman" w:hAnsi="Times New Roman" w:cs="Times New Roman"/>
          <w:color w:val="000000" w:themeColor="text1"/>
        </w:rPr>
        <w:t xml:space="preserve">p&lt;0.05, </w:t>
      </w:r>
      <w:r w:rsidRPr="00833562">
        <w:rPr>
          <w:rFonts w:ascii="Times New Roman" w:hAnsi="Times New Roman" w:cs="Times New Roman"/>
          <w:color w:val="000000" w:themeColor="text1"/>
          <w:vertAlign w:val="superscript"/>
        </w:rPr>
        <w:t>***</w:t>
      </w:r>
      <w:r w:rsidRPr="00833562">
        <w:rPr>
          <w:rFonts w:ascii="Times New Roman" w:hAnsi="Times New Roman" w:cs="Times New Roman"/>
          <w:color w:val="000000" w:themeColor="text1"/>
        </w:rPr>
        <w:t>p&lt;0.001, t test. Error bars represent ± SEM). (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>c</w:t>
      </w:r>
      <w:r w:rsidRPr="00833562">
        <w:rPr>
          <w:rFonts w:ascii="Times New Roman" w:hAnsi="Times New Roman" w:cs="Times New Roman"/>
          <w:color w:val="000000" w:themeColor="text1"/>
        </w:rPr>
        <w:t xml:space="preserve">) The area analysis of single NMJs. Scale bar = 30 </w:t>
      </w:r>
      <w:r w:rsidRPr="00833562">
        <w:rPr>
          <w:rFonts w:ascii="Times New Roman" w:hAnsi="Times New Roman" w:cs="Times New Roman"/>
          <w:color w:val="000000" w:themeColor="text1"/>
        </w:rPr>
        <w:sym w:font="Symbol" w:char="F06D"/>
      </w:r>
      <w:r w:rsidRPr="00833562">
        <w:rPr>
          <w:rFonts w:ascii="Times New Roman" w:hAnsi="Times New Roman" w:cs="Times New Roman"/>
          <w:color w:val="000000" w:themeColor="text1"/>
        </w:rPr>
        <w:t xml:space="preserve">m. N=3 mice. </w:t>
      </w:r>
      <w:r w:rsidRPr="00833562">
        <w:rPr>
          <w:rFonts w:ascii="Times New Roman" w:hAnsi="Times New Roman" w:cs="Times New Roman"/>
          <w:color w:val="000000" w:themeColor="text1"/>
          <w:vertAlign w:val="superscript"/>
        </w:rPr>
        <w:t>**</w:t>
      </w:r>
      <w:r w:rsidRPr="00833562">
        <w:rPr>
          <w:rFonts w:ascii="Times New Roman" w:hAnsi="Times New Roman" w:cs="Times New Roman"/>
          <w:color w:val="000000" w:themeColor="text1"/>
        </w:rPr>
        <w:t xml:space="preserve">p&lt;0.01, </w:t>
      </w:r>
      <w:r w:rsidRPr="00833562">
        <w:rPr>
          <w:rFonts w:ascii="Times New Roman" w:hAnsi="Times New Roman" w:cs="Times New Roman"/>
          <w:color w:val="000000" w:themeColor="text1"/>
          <w:vertAlign w:val="superscript"/>
        </w:rPr>
        <w:t>***</w:t>
      </w:r>
      <w:r w:rsidRPr="00833562">
        <w:rPr>
          <w:rFonts w:ascii="Times New Roman" w:hAnsi="Times New Roman" w:cs="Times New Roman"/>
          <w:color w:val="000000" w:themeColor="text1"/>
        </w:rPr>
        <w:t>p&lt;0.001, one-way ANOVA. Error bars represent ± SEM. (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>d</w:t>
      </w:r>
      <w:r w:rsidRPr="00833562">
        <w:rPr>
          <w:rFonts w:ascii="Times New Roman" w:hAnsi="Times New Roman" w:cs="Times New Roman"/>
          <w:color w:val="000000" w:themeColor="text1"/>
        </w:rPr>
        <w:t xml:space="preserve">) Confocal images of AChR in NMJs </w:t>
      </w:r>
      <w:r>
        <w:rPr>
          <w:rFonts w:ascii="Times New Roman" w:hAnsi="Times New Roman" w:cs="Times New Roman"/>
          <w:color w:val="000000" w:themeColor="text1"/>
        </w:rPr>
        <w:t xml:space="preserve">from wild type mouse </w:t>
      </w:r>
      <w:r w:rsidRPr="00833562">
        <w:rPr>
          <w:rFonts w:ascii="Times New Roman" w:hAnsi="Times New Roman" w:cs="Times New Roman"/>
          <w:color w:val="000000" w:themeColor="text1"/>
        </w:rPr>
        <w:t>and analyses of AChR-faint-innervated NMJs (realated to Figure 4</w:t>
      </w:r>
      <w:r>
        <w:rPr>
          <w:rFonts w:ascii="Times New Roman" w:hAnsi="Times New Roman" w:cs="Times New Roman"/>
          <w:color w:val="000000" w:themeColor="text1"/>
        </w:rPr>
        <w:t>d</w:t>
      </w:r>
      <w:r w:rsidRPr="00833562">
        <w:rPr>
          <w:rFonts w:ascii="Times New Roman" w:hAnsi="Times New Roman" w:cs="Times New Roman"/>
          <w:color w:val="000000" w:themeColor="text1"/>
        </w:rPr>
        <w:t xml:space="preserve">). NMJs were double stained with α-BTX (red) and anti-neurofilament (NF, presynaptic, green). The white arrow indicated faintly labeled NF-200 and AChRs (with decreased intensity of α-BTX staining). Scale bar = 30 </w:t>
      </w:r>
      <w:r w:rsidRPr="00833562">
        <w:rPr>
          <w:rFonts w:ascii="Times New Roman" w:hAnsi="Times New Roman" w:cs="Times New Roman"/>
          <w:color w:val="000000" w:themeColor="text1"/>
        </w:rPr>
        <w:sym w:font="Symbol" w:char="F06D"/>
      </w:r>
      <w:r w:rsidRPr="00833562">
        <w:rPr>
          <w:rFonts w:ascii="Times New Roman" w:hAnsi="Times New Roman" w:cs="Times New Roman"/>
          <w:color w:val="000000" w:themeColor="text1"/>
        </w:rPr>
        <w:t>m. (3 mice for each group. NMJs: n=452 in WT, n=736 in Mut, n=620 in Del mice). (related to Figure 4)</w:t>
      </w:r>
    </w:p>
    <w:p w14:paraId="79ADEA12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30C00EC2" wp14:editId="5302F0EE">
            <wp:extent cx="5608320" cy="3317742"/>
            <wp:effectExtent l="0" t="0" r="5080" b="0"/>
            <wp:docPr id="11049070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907010" name="图片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3317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F9B3EB" w14:textId="77777777" w:rsidR="009E0E64" w:rsidRPr="00833562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833562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6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 xml:space="preserve">. </w:t>
      </w:r>
      <w:r w:rsidRPr="00833562">
        <w:rPr>
          <w:rFonts w:ascii="Times New Roman" w:hAnsi="Times New Roman" w:cs="Times New Roman"/>
          <w:color w:val="000000" w:themeColor="text1"/>
        </w:rPr>
        <w:t xml:space="preserve"> 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 xml:space="preserve">Myelination is not affected significantly in the spinal cord and sciatic nerve in Mut mice. (a) </w:t>
      </w:r>
      <w:r w:rsidRPr="00833562">
        <w:rPr>
          <w:rFonts w:ascii="Times New Roman" w:hAnsi="Times New Roman" w:cs="Times New Roman"/>
          <w:color w:val="000000" w:themeColor="text1"/>
        </w:rPr>
        <w:t xml:space="preserve">Transmission electron microscopy of sciatic nerve from 13-month old mice. 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 xml:space="preserve">(b) </w:t>
      </w:r>
      <w:r w:rsidRPr="00833562">
        <w:rPr>
          <w:rFonts w:ascii="Times New Roman" w:hAnsi="Times New Roman" w:cs="Times New Roman"/>
          <w:color w:val="000000" w:themeColor="text1"/>
        </w:rPr>
        <w:t xml:space="preserve">Statistic analysis of the g-ratio in sciatic nerve from (A). N=3 mice. one-way ANOVA. Error bars represent ± SEM. </w:t>
      </w:r>
      <w:r w:rsidRPr="00833562">
        <w:rPr>
          <w:rFonts w:ascii="Times New Roman" w:hAnsi="Times New Roman" w:cs="Times New Roman"/>
          <w:b/>
          <w:bCs/>
          <w:color w:val="000000" w:themeColor="text1"/>
        </w:rPr>
        <w:t xml:space="preserve">(c) </w:t>
      </w:r>
      <w:r w:rsidRPr="00833562">
        <w:rPr>
          <w:rFonts w:ascii="Times New Roman" w:hAnsi="Times New Roman" w:cs="Times New Roman"/>
          <w:color w:val="000000" w:themeColor="text1"/>
        </w:rPr>
        <w:t xml:space="preserve">Black gold II staining of the spinal cord from 12-month old mice. </w:t>
      </w:r>
    </w:p>
    <w:p w14:paraId="4978101E" w14:textId="77777777" w:rsidR="009E0E64" w:rsidRPr="00833562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833562">
        <w:rPr>
          <w:rFonts w:ascii="Times New Roman" w:hAnsi="Times New Roman" w:cs="Times New Roman"/>
          <w:color w:val="000000" w:themeColor="text1"/>
        </w:rPr>
        <w:t>(related to Figure 4)</w:t>
      </w:r>
    </w:p>
    <w:p w14:paraId="375E4EDA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B88E01E" w14:textId="2C1AA870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2EE50D7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4BB181FC" wp14:editId="73D48B2B">
            <wp:extent cx="5607898" cy="2036445"/>
            <wp:effectExtent l="0" t="0" r="5715" b="0"/>
            <wp:docPr id="81130363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303635" name="图片 1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7898" cy="2036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01848" w14:textId="77777777" w:rsidR="009E0E64" w:rsidRPr="0083406A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7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. The phosphorylation levels of PYK2 in the spinal cords of 12-month old WT and Mut mice detected by Western blot. </w:t>
      </w:r>
      <w:r w:rsidRPr="0083406A">
        <w:rPr>
          <w:rFonts w:ascii="Times New Roman" w:hAnsi="Times New Roman" w:cs="Times New Roman"/>
          <w:color w:val="000000" w:themeColor="text1"/>
        </w:rPr>
        <w:t>Statistic analysis the expression levels were normalized by α-Tubulin, unpaired t-test. The data represent mean ± SEM. Increased by not significant.</w:t>
      </w:r>
      <w:r w:rsidRPr="0083406A">
        <w:rPr>
          <w:rFonts w:ascii="Times New Roman" w:hAnsi="Times New Roman" w:cs="Times New Roman"/>
          <w:color w:val="000000" w:themeColor="text1"/>
          <w:vertAlign w:val="superscript"/>
        </w:rPr>
        <w:t xml:space="preserve"> </w:t>
      </w:r>
    </w:p>
    <w:p w14:paraId="37D04345" w14:textId="77777777" w:rsidR="009E0E64" w:rsidRPr="0083406A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color w:val="000000" w:themeColor="text1"/>
        </w:rPr>
        <w:lastRenderedPageBreak/>
        <w:t>(related to Figure 6)</w:t>
      </w:r>
    </w:p>
    <w:p w14:paraId="15BCA6B5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1FE3882" w14:textId="0F24F1C2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3E28F09F" wp14:editId="43A3E684">
            <wp:extent cx="5608276" cy="1534795"/>
            <wp:effectExtent l="0" t="0" r="5715" b="1905"/>
            <wp:docPr id="83446259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462599" name="图片 14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276" cy="1534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81AE1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0CAA1D3" w14:textId="77777777" w:rsidR="009E0E64" w:rsidRPr="0083406A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8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. The protein levels of NKA-</w:t>
      </w:r>
      <w:r w:rsidRPr="0083406A">
        <w:rPr>
          <w:rFonts w:ascii="Times New Roman" w:hAnsi="Times New Roman" w:cs="Times New Roman"/>
          <w:b/>
          <w:bCs/>
          <w:color w:val="000000" w:themeColor="text1"/>
          <w:lang w:val="el-GR"/>
        </w:rPr>
        <w:t>β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1 and NKA-</w:t>
      </w:r>
      <w:r w:rsidRPr="0083406A">
        <w:rPr>
          <w:rFonts w:ascii="Times New Roman" w:hAnsi="Times New Roman" w:cs="Times New Roman"/>
          <w:b/>
          <w:bCs/>
          <w:color w:val="000000" w:themeColor="text1"/>
          <w:lang w:val="el-GR"/>
        </w:rPr>
        <w:t>α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3 in the spinal cord of 12-month-old WT and Mut mice were not affected.  (a) </w:t>
      </w:r>
      <w:r w:rsidRPr="0083406A">
        <w:rPr>
          <w:rFonts w:ascii="Times New Roman" w:hAnsi="Times New Roman" w:cs="Times New Roman"/>
          <w:color w:val="000000" w:themeColor="text1"/>
        </w:rPr>
        <w:t>Western blot of NKA-</w:t>
      </w:r>
      <w:r w:rsidRPr="0083406A">
        <w:rPr>
          <w:rFonts w:ascii="Times New Roman" w:hAnsi="Times New Roman" w:cs="Times New Roman"/>
          <w:color w:val="000000" w:themeColor="text1"/>
          <w:lang w:val="el-GR"/>
        </w:rPr>
        <w:t>β</w:t>
      </w:r>
      <w:r w:rsidRPr="0083406A">
        <w:rPr>
          <w:rFonts w:ascii="Times New Roman" w:hAnsi="Times New Roman" w:cs="Times New Roman"/>
          <w:color w:val="000000" w:themeColor="text1"/>
        </w:rPr>
        <w:t xml:space="preserve">1.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(b)</w:t>
      </w:r>
      <w:r w:rsidRPr="0083406A">
        <w:rPr>
          <w:rFonts w:ascii="Times New Roman" w:hAnsi="Times New Roman" w:cs="Times New Roman"/>
          <w:color w:val="000000" w:themeColor="text1"/>
        </w:rPr>
        <w:t xml:space="preserve"> Western blot of NKA-</w:t>
      </w:r>
      <w:r w:rsidRPr="0083406A">
        <w:rPr>
          <w:rFonts w:ascii="Times New Roman" w:hAnsi="Times New Roman" w:cs="Times New Roman"/>
          <w:color w:val="000000" w:themeColor="text1"/>
          <w:lang w:val="el-GR"/>
        </w:rPr>
        <w:t>α</w:t>
      </w:r>
      <w:r w:rsidRPr="0083406A">
        <w:rPr>
          <w:rFonts w:ascii="Times New Roman" w:hAnsi="Times New Roman" w:cs="Times New Roman"/>
          <w:color w:val="000000" w:themeColor="text1"/>
        </w:rPr>
        <w:t>3. N=4 mice for each group.</w:t>
      </w:r>
    </w:p>
    <w:p w14:paraId="08AF0A40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color w:val="000000" w:themeColor="text1"/>
        </w:rPr>
        <w:t>(related to Figure 7)</w:t>
      </w:r>
    </w:p>
    <w:p w14:paraId="7BD7045B" w14:textId="77777777" w:rsidR="009E0E64" w:rsidRPr="0083406A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2CF1B9C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72639D23" wp14:editId="729045F8">
            <wp:extent cx="5613200" cy="5356324"/>
            <wp:effectExtent l="0" t="0" r="635" b="3175"/>
            <wp:docPr id="37982982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829822" name="图片 1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3200" cy="5356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2EF96" w14:textId="77777777" w:rsidR="009E0E64" w:rsidRPr="0083406A" w:rsidRDefault="009E0E64" w:rsidP="009E0E64">
      <w:pPr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9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. Quality control and integration efficiency of snRNA-seq and snATAC-seq.</w:t>
      </w:r>
      <w:r w:rsidRPr="0083406A">
        <w:rPr>
          <w:rFonts w:ascii="Times New Roman" w:hAnsi="Times New Roman" w:cs="Times New Roman"/>
          <w:color w:val="000000" w:themeColor="text1"/>
        </w:rPr>
        <w:t xml:space="preserve">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(a) </w:t>
      </w:r>
      <w:r w:rsidRPr="0083406A">
        <w:rPr>
          <w:rFonts w:ascii="Times New Roman" w:hAnsi="Times New Roman" w:cs="Times New Roman"/>
          <w:color w:val="000000" w:themeColor="text1"/>
        </w:rPr>
        <w:t xml:space="preserve">UMAP plot of the percentage of contamination in both WT and Mut snRNA-seq data.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(b)</w:t>
      </w:r>
      <w:r w:rsidRPr="0083406A">
        <w:rPr>
          <w:rFonts w:ascii="Times New Roman" w:hAnsi="Times New Roman" w:cs="Times New Roman"/>
          <w:color w:val="000000" w:themeColor="text1"/>
        </w:rPr>
        <w:t xml:space="preserve"> The relationships of the features of cells from spinal cord snRNA-seq, such as the number of UMI detected, percentage of cell counts mapping to mitochondrial genes and the number of genes detected.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(c)</w:t>
      </w:r>
      <w:r w:rsidRPr="0083406A">
        <w:rPr>
          <w:rFonts w:ascii="Times New Roman" w:hAnsi="Times New Roman" w:cs="Times New Roman"/>
          <w:color w:val="000000" w:themeColor="text1"/>
        </w:rPr>
        <w:t xml:space="preserve"> Visualization of cells in WT and Mut snRNA-seq data in tSNE plots and no obvious distribution differences were found between the two datasets.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(d)</w:t>
      </w:r>
      <w:r w:rsidRPr="0083406A">
        <w:rPr>
          <w:rFonts w:ascii="Times New Roman" w:hAnsi="Times New Roman" w:cs="Times New Roman"/>
          <w:color w:val="000000" w:themeColor="text1"/>
        </w:rPr>
        <w:t xml:space="preserve"> The simulated doublet enrichments of snATAC-seq data from WT and Mut mice in UMAP plots.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(e)</w:t>
      </w:r>
      <w:r w:rsidRPr="0083406A">
        <w:rPr>
          <w:rFonts w:ascii="Times New Roman" w:hAnsi="Times New Roman" w:cs="Times New Roman"/>
          <w:color w:val="000000" w:themeColor="text1"/>
        </w:rPr>
        <w:t xml:space="preserve"> Fragment size distributions for the cells in snATAC-seq.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(f)</w:t>
      </w:r>
      <w:r w:rsidRPr="0083406A">
        <w:rPr>
          <w:rFonts w:ascii="Times New Roman" w:hAnsi="Times New Roman" w:cs="Times New Roman"/>
          <w:color w:val="000000" w:themeColor="text1"/>
        </w:rPr>
        <w:t xml:space="preserve"> Aggregate TSS insertion profiles centered at all TSS regions in snATAC-seq.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(g)</w:t>
      </w:r>
      <w:r w:rsidRPr="0083406A">
        <w:rPr>
          <w:rFonts w:ascii="Times New Roman" w:hAnsi="Times New Roman" w:cs="Times New Roman"/>
          <w:color w:val="000000" w:themeColor="text1"/>
        </w:rPr>
        <w:t xml:space="preserve"> UMAP plot of integrated snATAC-seq dataset from WT and Mut mice.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(h) </w:t>
      </w:r>
      <w:r w:rsidRPr="0083406A">
        <w:rPr>
          <w:rFonts w:ascii="Times New Roman" w:hAnsi="Times New Roman" w:cs="Times New Roman"/>
          <w:color w:val="000000" w:themeColor="text1"/>
        </w:rPr>
        <w:t xml:space="preserve">Visualization of cells predicted scores that represent the similarity of snATAC-seq and snRNA-seq data. Vertical red line marked the predicted scores 0.8.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(i)</w:t>
      </w:r>
      <w:r w:rsidRPr="0083406A">
        <w:rPr>
          <w:rFonts w:ascii="Times New Roman" w:hAnsi="Times New Roman" w:cs="Times New Roman"/>
          <w:color w:val="000000" w:themeColor="text1"/>
        </w:rPr>
        <w:t xml:space="preserve"> Sankey plots illustrating the efficiency of integration between snATAC-seq and snRNA-seq data from WT and Mut mouse spinal cord. </w:t>
      </w:r>
    </w:p>
    <w:p w14:paraId="148E2504" w14:textId="77777777" w:rsidR="009E0E64" w:rsidRPr="0083406A" w:rsidRDefault="009E0E64" w:rsidP="009E0E64">
      <w:pPr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color w:val="000000" w:themeColor="text1"/>
        </w:rPr>
        <w:t>(related to Figure 8)</w:t>
      </w:r>
    </w:p>
    <w:p w14:paraId="2C2EB490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6D1D54D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23D92305" wp14:editId="5C214E42">
            <wp:extent cx="5615691" cy="6140076"/>
            <wp:effectExtent l="0" t="0" r="0" b="0"/>
            <wp:docPr id="185203973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039738" name="图片 1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5691" cy="6140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0AE69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10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. Analysis of snRNA-seq and snATAC-seq. (a) </w:t>
      </w:r>
      <w:r w:rsidRPr="0083406A">
        <w:rPr>
          <w:rFonts w:ascii="Times New Roman" w:hAnsi="Times New Roman" w:cs="Times New Roman"/>
          <w:color w:val="000000" w:themeColor="text1"/>
        </w:rPr>
        <w:t xml:space="preserve">Unsupervised cell clusters visualized by UMAP in integrated WT and Mut snATAC-seq data, and major cell types was identified by known markers.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(b) </w:t>
      </w:r>
      <w:r w:rsidRPr="0083406A">
        <w:rPr>
          <w:rFonts w:ascii="Times New Roman" w:hAnsi="Times New Roman" w:cs="Times New Roman"/>
          <w:color w:val="000000" w:themeColor="text1"/>
        </w:rPr>
        <w:t>Heatmap for conserved gene expression enriched in different cell types based on gene score.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 (c) </w:t>
      </w:r>
      <w:r w:rsidRPr="0083406A">
        <w:rPr>
          <w:rFonts w:ascii="Times New Roman" w:hAnsi="Times New Roman" w:cs="Times New Roman"/>
          <w:color w:val="000000" w:themeColor="text1"/>
        </w:rPr>
        <w:t xml:space="preserve">Pie chart comparing proportion of gene function in DEGs.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(d) </w:t>
      </w:r>
      <w:r w:rsidRPr="0083406A">
        <w:rPr>
          <w:rFonts w:ascii="Times New Roman" w:hAnsi="Times New Roman" w:cs="Times New Roman"/>
          <w:color w:val="000000" w:themeColor="text1"/>
        </w:rPr>
        <w:t xml:space="preserve">The depictions of the linkages of genes and biological concepts of interested.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(e) </w:t>
      </w:r>
      <w:r w:rsidRPr="0083406A">
        <w:rPr>
          <w:rFonts w:ascii="Times New Roman" w:hAnsi="Times New Roman" w:cs="Times New Roman"/>
          <w:color w:val="000000" w:themeColor="text1"/>
        </w:rPr>
        <w:t xml:space="preserve">GO analysis was performed to illuminate biological functions of genes associated with significant DARs in neuron cluster.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(f) </w:t>
      </w:r>
      <w:r w:rsidRPr="0083406A">
        <w:rPr>
          <w:rFonts w:ascii="Times New Roman" w:hAnsi="Times New Roman" w:cs="Times New Roman"/>
          <w:color w:val="000000" w:themeColor="text1"/>
        </w:rPr>
        <w:t xml:space="preserve">GO analysis of the downstream genes of Rxra according to Mut mouse GRN.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(g) </w:t>
      </w:r>
      <w:r w:rsidRPr="0083406A">
        <w:rPr>
          <w:rFonts w:ascii="Times New Roman" w:hAnsi="Times New Roman" w:cs="Times New Roman"/>
          <w:color w:val="000000" w:themeColor="text1"/>
        </w:rPr>
        <w:t xml:space="preserve">In neuron cluster, the specific cis-regulatory interactions of Malat1 in Mut mouse and WT mouse. According to the GRN, these peaks were predicted to be the binding sites of Rxra. 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 xml:space="preserve">(h) </w:t>
      </w:r>
      <w:r w:rsidRPr="0083406A">
        <w:rPr>
          <w:rFonts w:ascii="Times New Roman" w:hAnsi="Times New Roman" w:cs="Times New Roman"/>
          <w:color w:val="000000" w:themeColor="text1"/>
        </w:rPr>
        <w:t xml:space="preserve">Overview of specific ligand-receptor </w:t>
      </w:r>
      <w:r w:rsidRPr="0083406A">
        <w:rPr>
          <w:rFonts w:ascii="Times New Roman" w:hAnsi="Times New Roman" w:cs="Times New Roman"/>
          <w:color w:val="000000" w:themeColor="text1"/>
        </w:rPr>
        <w:lastRenderedPageBreak/>
        <w:t>interactions using CellPhoneDB on Mut mouse compared with WT mouse snRNA-seq. (related to Figure 8)</w:t>
      </w:r>
    </w:p>
    <w:p w14:paraId="4E5FB7E7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91EF6E1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3F1E709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3239212F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4BAC48A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C12D261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91D8A77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D55A5B0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9C21C16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6BC7F51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86CFBB4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800E17C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4D73B9F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0171A0D" w14:textId="77777777" w:rsidR="009E0E64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14F5603" w14:textId="77777777" w:rsidR="009E0E64" w:rsidRPr="0083406A" w:rsidRDefault="009E0E64" w:rsidP="009E0E64">
      <w:pPr>
        <w:spacing w:line="276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BA3A382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04C412D8" wp14:editId="7113AC47">
            <wp:extent cx="5608320" cy="4824665"/>
            <wp:effectExtent l="0" t="0" r="5080" b="1905"/>
            <wp:docPr id="130842406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424064" name="图片 1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482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473CB" w14:textId="77777777" w:rsidR="009E0E64" w:rsidRPr="0083406A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b/>
          <w:bCs/>
          <w:color w:val="000000" w:themeColor="text1"/>
        </w:rPr>
        <w:t>Supplementary Figure 1</w:t>
      </w:r>
      <w:r>
        <w:rPr>
          <w:rFonts w:ascii="Times New Roman" w:hAnsi="Times New Roman" w:cs="Times New Roman"/>
          <w:b/>
          <w:bCs/>
          <w:color w:val="000000" w:themeColor="text1"/>
        </w:rPr>
        <w:t>1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. Feature plot of marker genes in snRNA-seq.</w:t>
      </w:r>
      <w:r w:rsidRPr="0083406A">
        <w:rPr>
          <w:rFonts w:ascii="Times New Roman" w:hAnsi="Times New Roman" w:cs="Times New Roman"/>
          <w:color w:val="000000" w:themeColor="text1"/>
        </w:rPr>
        <w:t xml:space="preserve">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Mbp</w:t>
      </w:r>
      <w:r w:rsidRPr="0083406A">
        <w:rPr>
          <w:rFonts w:ascii="Times New Roman" w:hAnsi="Times New Roman" w:cs="Times New Roman"/>
          <w:color w:val="000000" w:themeColor="text1"/>
        </w:rPr>
        <w:t xml:space="preserve"> 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Mobp</w:t>
      </w:r>
      <w:r w:rsidRPr="0083406A">
        <w:rPr>
          <w:rFonts w:ascii="Times New Roman" w:hAnsi="Times New Roman" w:cs="Times New Roman"/>
          <w:color w:val="000000" w:themeColor="text1"/>
        </w:rPr>
        <w:t xml:space="preserve"> for oligodendrocytes,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Snap25</w:t>
      </w:r>
      <w:r w:rsidRPr="0083406A">
        <w:rPr>
          <w:rFonts w:ascii="Times New Roman" w:hAnsi="Times New Roman" w:cs="Times New Roman"/>
          <w:color w:val="000000" w:themeColor="text1"/>
        </w:rPr>
        <w:t xml:space="preserve"> 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Rbfox3</w:t>
      </w:r>
      <w:r w:rsidRPr="0083406A">
        <w:rPr>
          <w:rFonts w:ascii="Times New Roman" w:hAnsi="Times New Roman" w:cs="Times New Roman"/>
          <w:color w:val="000000" w:themeColor="text1"/>
        </w:rPr>
        <w:t xml:space="preserve"> for neurons,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Aldoc</w:t>
      </w:r>
      <w:r w:rsidRPr="0083406A">
        <w:rPr>
          <w:rFonts w:ascii="Times New Roman" w:hAnsi="Times New Roman" w:cs="Times New Roman"/>
          <w:color w:val="000000" w:themeColor="text1"/>
        </w:rPr>
        <w:t xml:space="preserve"> 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Agt</w:t>
      </w:r>
      <w:r w:rsidRPr="0083406A">
        <w:rPr>
          <w:rFonts w:ascii="Times New Roman" w:hAnsi="Times New Roman" w:cs="Times New Roman"/>
          <w:color w:val="000000" w:themeColor="text1"/>
        </w:rPr>
        <w:t xml:space="preserve"> for astrocytes,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 xml:space="preserve"> Cx3cr1 </w:t>
      </w:r>
      <w:r w:rsidRPr="0083406A">
        <w:rPr>
          <w:rFonts w:ascii="Times New Roman" w:hAnsi="Times New Roman" w:cs="Times New Roman"/>
          <w:color w:val="000000" w:themeColor="text1"/>
        </w:rPr>
        <w:t xml:space="preserve">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Trem2</w:t>
      </w:r>
      <w:r w:rsidRPr="0083406A">
        <w:rPr>
          <w:rFonts w:ascii="Times New Roman" w:hAnsi="Times New Roman" w:cs="Times New Roman"/>
          <w:color w:val="000000" w:themeColor="text1"/>
        </w:rPr>
        <w:t xml:space="preserve"> for microglias,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Pdgfra</w:t>
      </w:r>
      <w:r w:rsidRPr="0083406A">
        <w:rPr>
          <w:rFonts w:ascii="Times New Roman" w:hAnsi="Times New Roman" w:cs="Times New Roman"/>
          <w:color w:val="000000" w:themeColor="text1"/>
        </w:rPr>
        <w:t xml:space="preserve"> 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Vcan</w:t>
      </w:r>
      <w:r w:rsidRPr="0083406A">
        <w:rPr>
          <w:rFonts w:ascii="Times New Roman" w:hAnsi="Times New Roman" w:cs="Times New Roman"/>
          <w:color w:val="000000" w:themeColor="text1"/>
        </w:rPr>
        <w:t xml:space="preserve"> for OPCs.</w:t>
      </w:r>
    </w:p>
    <w:p w14:paraId="4E9AE3C0" w14:textId="77777777" w:rsidR="009E0E64" w:rsidRPr="0083406A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color w:val="000000" w:themeColor="text1"/>
        </w:rPr>
        <w:t>(related to Figure 8)</w:t>
      </w:r>
    </w:p>
    <w:p w14:paraId="27200EA6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13DEBE3D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6334EC05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04F6F0F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026453DE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DF20EB7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2A2B6AFF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5EB47B19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CE34C57" w14:textId="77777777" w:rsidR="009E0E64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1AC50865" wp14:editId="13DFD40D">
            <wp:extent cx="5608320" cy="5552236"/>
            <wp:effectExtent l="0" t="0" r="5080" b="0"/>
            <wp:docPr id="168603195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031956" name="图片 1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5552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492C7" w14:textId="77777777" w:rsidR="009E0E64" w:rsidRPr="0083406A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b/>
          <w:bCs/>
          <w:color w:val="000000" w:themeColor="text1"/>
        </w:rPr>
        <w:t>Supplementary Figure 1</w:t>
      </w:r>
      <w:r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83406A">
        <w:rPr>
          <w:rFonts w:ascii="Times New Roman" w:hAnsi="Times New Roman" w:cs="Times New Roman"/>
          <w:b/>
          <w:bCs/>
          <w:color w:val="000000" w:themeColor="text1"/>
        </w:rPr>
        <w:t>. Feature plot of marker genes in snATAC-seq.</w:t>
      </w:r>
      <w:r w:rsidRPr="0083406A">
        <w:rPr>
          <w:rFonts w:ascii="Times New Roman" w:hAnsi="Times New Roman" w:cs="Times New Roman"/>
          <w:color w:val="000000" w:themeColor="text1"/>
        </w:rPr>
        <w:t xml:space="preserve">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Mbp</w:t>
      </w:r>
      <w:r w:rsidRPr="0083406A">
        <w:rPr>
          <w:rFonts w:ascii="Times New Roman" w:hAnsi="Times New Roman" w:cs="Times New Roman"/>
          <w:color w:val="000000" w:themeColor="text1"/>
        </w:rPr>
        <w:t xml:space="preserve"> 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Mobp</w:t>
      </w:r>
      <w:r w:rsidRPr="0083406A">
        <w:rPr>
          <w:rFonts w:ascii="Times New Roman" w:hAnsi="Times New Roman" w:cs="Times New Roman"/>
          <w:color w:val="000000" w:themeColor="text1"/>
        </w:rPr>
        <w:t xml:space="preserve"> for oligodendrocytes,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Snap25</w:t>
      </w:r>
      <w:r w:rsidRPr="0083406A">
        <w:rPr>
          <w:rFonts w:ascii="Times New Roman" w:hAnsi="Times New Roman" w:cs="Times New Roman"/>
          <w:color w:val="000000" w:themeColor="text1"/>
        </w:rPr>
        <w:t xml:space="preserve"> 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Rbfox3</w:t>
      </w:r>
      <w:r w:rsidRPr="0083406A">
        <w:rPr>
          <w:rFonts w:ascii="Times New Roman" w:hAnsi="Times New Roman" w:cs="Times New Roman"/>
          <w:color w:val="000000" w:themeColor="text1"/>
        </w:rPr>
        <w:t xml:space="preserve"> for neurons,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Aldoc</w:t>
      </w:r>
      <w:r w:rsidRPr="0083406A">
        <w:rPr>
          <w:rFonts w:ascii="Times New Roman" w:hAnsi="Times New Roman" w:cs="Times New Roman"/>
          <w:color w:val="000000" w:themeColor="text1"/>
        </w:rPr>
        <w:t xml:space="preserve"> 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Agt</w:t>
      </w:r>
      <w:r w:rsidRPr="0083406A">
        <w:rPr>
          <w:rFonts w:ascii="Times New Roman" w:hAnsi="Times New Roman" w:cs="Times New Roman"/>
          <w:color w:val="000000" w:themeColor="text1"/>
        </w:rPr>
        <w:t xml:space="preserve"> for astrocytes,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 xml:space="preserve"> Cx3cr1 </w:t>
      </w:r>
      <w:r w:rsidRPr="0083406A">
        <w:rPr>
          <w:rFonts w:ascii="Times New Roman" w:hAnsi="Times New Roman" w:cs="Times New Roman"/>
          <w:color w:val="000000" w:themeColor="text1"/>
        </w:rPr>
        <w:t xml:space="preserve">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Trem2</w:t>
      </w:r>
      <w:r w:rsidRPr="0083406A">
        <w:rPr>
          <w:rFonts w:ascii="Times New Roman" w:hAnsi="Times New Roman" w:cs="Times New Roman"/>
          <w:color w:val="000000" w:themeColor="text1"/>
        </w:rPr>
        <w:t xml:space="preserve"> for microglias,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Pdgfra</w:t>
      </w:r>
      <w:r w:rsidRPr="0083406A">
        <w:rPr>
          <w:rFonts w:ascii="Times New Roman" w:hAnsi="Times New Roman" w:cs="Times New Roman"/>
          <w:color w:val="000000" w:themeColor="text1"/>
        </w:rPr>
        <w:t xml:space="preserve"> and </w:t>
      </w:r>
      <w:r w:rsidRPr="0083406A">
        <w:rPr>
          <w:rFonts w:ascii="Times New Roman" w:hAnsi="Times New Roman" w:cs="Times New Roman"/>
          <w:i/>
          <w:iCs/>
          <w:color w:val="000000" w:themeColor="text1"/>
        </w:rPr>
        <w:t>Vcan</w:t>
      </w:r>
      <w:r w:rsidRPr="0083406A">
        <w:rPr>
          <w:rFonts w:ascii="Times New Roman" w:hAnsi="Times New Roman" w:cs="Times New Roman"/>
          <w:color w:val="000000" w:themeColor="text1"/>
        </w:rPr>
        <w:t xml:space="preserve"> for OPCs.</w:t>
      </w:r>
    </w:p>
    <w:p w14:paraId="2FAFA8B9" w14:textId="77777777" w:rsidR="009E0E64" w:rsidRPr="0083406A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83406A">
        <w:rPr>
          <w:rFonts w:ascii="Times New Roman" w:hAnsi="Times New Roman" w:cs="Times New Roman"/>
          <w:color w:val="000000" w:themeColor="text1"/>
        </w:rPr>
        <w:t>(related to Figure 8)</w:t>
      </w:r>
    </w:p>
    <w:p w14:paraId="00E87F2D" w14:textId="77777777" w:rsidR="009E0E64" w:rsidRPr="007B0D6F" w:rsidRDefault="009E0E64" w:rsidP="009E0E64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46A011F5" w14:textId="77777777" w:rsidR="00755780" w:rsidRDefault="00755780"/>
    <w:sectPr w:rsidR="00755780" w:rsidSect="00E26629">
      <w:footerReference w:type="default" r:id="rId18"/>
      <w:pgSz w:w="12240" w:h="15840"/>
      <w:pgMar w:top="1440" w:right="1608" w:bottom="1440" w:left="1800" w:header="0" w:footer="720" w:gutter="0"/>
      <w:lnNumType w:countBy="1" w:restart="continuous"/>
      <w:cols w:space="720"/>
      <w:formProt w:val="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A6144E" w14:textId="77777777" w:rsidR="00DC5DDE" w:rsidRDefault="00DC5DDE">
      <w:r>
        <w:separator/>
      </w:r>
    </w:p>
  </w:endnote>
  <w:endnote w:type="continuationSeparator" w:id="0">
    <w:p w14:paraId="2C7F3846" w14:textId="77777777" w:rsidR="00DC5DDE" w:rsidRDefault="00DC5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panose1 w:val="00000000000000000000"/>
    <w:charset w:val="86"/>
    <w:family w:val="auto"/>
    <w:notTrueType/>
    <w:pitch w:val="variable"/>
    <w:sig w:usb0="00000287" w:usb1="080F0000" w:usb2="00000010" w:usb3="00000000" w:csb0="0004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934179120"/>
      <w:docPartObj>
        <w:docPartGallery w:val="Page Numbers (Bottom of Page)"/>
        <w:docPartUnique/>
      </w:docPartObj>
    </w:sdtPr>
    <w:sdtEndPr/>
    <w:sdtContent>
      <w:p w14:paraId="0CD6A389" w14:textId="77777777" w:rsidR="005311AD" w:rsidRDefault="009E0E64">
        <w:pPr>
          <w:pStyle w:val="Footer"/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rPr>
            <w:noProof/>
          </w:rPr>
          <w:t>83</w:t>
        </w:r>
        <w:r>
          <w:fldChar w:fldCharType="end"/>
        </w:r>
      </w:p>
    </w:sdtContent>
  </w:sdt>
  <w:p w14:paraId="214C63B6" w14:textId="77777777" w:rsidR="005311AD" w:rsidRDefault="00DC5D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34E0DE" w14:textId="77777777" w:rsidR="00DC5DDE" w:rsidRDefault="00DC5DDE">
      <w:r>
        <w:separator/>
      </w:r>
    </w:p>
  </w:footnote>
  <w:footnote w:type="continuationSeparator" w:id="0">
    <w:p w14:paraId="663A84E9" w14:textId="77777777" w:rsidR="00DC5DDE" w:rsidRDefault="00DC5D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E64"/>
    <w:rsid w:val="00755780"/>
    <w:rsid w:val="009E0E64"/>
    <w:rsid w:val="00A43F6F"/>
    <w:rsid w:val="00DC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55162"/>
  <w15:chartTrackingRefBased/>
  <w15:docId w15:val="{413886C1-BD2D-4ED2-BB7E-66133DF15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E64"/>
    <w:pPr>
      <w:suppressAutoHyphens/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E0E64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E0E64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9E0E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1365</Words>
  <Characters>7781</Characters>
  <Application>Microsoft Office Word</Application>
  <DocSecurity>0</DocSecurity>
  <Lines>64</Lines>
  <Paragraphs>18</Paragraphs>
  <ScaleCrop>false</ScaleCrop>
  <Company>Springer Nature</Company>
  <LinksUpToDate>false</LinksUpToDate>
  <CharactersWithSpaces>9128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2023-06-21T01:31:00Z</dcterms:created>
  <dcterms:modified xsi:type="dcterms:W3CDTF">2023-06-21T01:35:00Z</dcterms:modified>
</cp:coreProperties>
</file>