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D3F3C" w14:textId="54A4F7FC" w:rsidR="00B21D79" w:rsidRPr="001B318C" w:rsidRDefault="00B21D79" w:rsidP="00FC49F9">
      <w:pPr>
        <w:jc w:val="left"/>
        <w:rPr>
          <w:rFonts w:ascii="Times New Roman" w:eastAsia="宋体" w:hAnsi="Times New Roman" w:cs="Times New Roman"/>
          <w:b/>
          <w:bCs/>
          <w:sz w:val="24"/>
          <w:szCs w:val="24"/>
        </w:rPr>
      </w:pPr>
      <w:r w:rsidRPr="001B318C">
        <w:rPr>
          <w:rFonts w:ascii="Times New Roman" w:eastAsia="宋体" w:hAnsi="Times New Roman" w:cs="Times New Roman"/>
          <w:b/>
          <w:bCs/>
          <w:sz w:val="24"/>
          <w:szCs w:val="24"/>
        </w:rPr>
        <w:t xml:space="preserve">Effect of different application </w:t>
      </w:r>
      <w:r w:rsidRPr="001B318C">
        <w:rPr>
          <w:rFonts w:ascii="Times New Roman" w:eastAsia="宋体" w:hAnsi="Times New Roman" w:cs="Times New Roman" w:hint="eastAsia"/>
          <w:b/>
          <w:bCs/>
          <w:sz w:val="24"/>
          <w:szCs w:val="24"/>
        </w:rPr>
        <w:t>d</w:t>
      </w:r>
      <w:r w:rsidRPr="001B318C">
        <w:rPr>
          <w:rFonts w:ascii="Times New Roman" w:eastAsia="宋体" w:hAnsi="Times New Roman" w:cs="Times New Roman"/>
          <w:b/>
          <w:bCs/>
          <w:sz w:val="24"/>
          <w:szCs w:val="24"/>
        </w:rPr>
        <w:t>uration of a venous foot pump on prevention of venous thromboembolism after hip and knee arthroplasty: study</w:t>
      </w:r>
      <w:r w:rsidRPr="001B318C">
        <w:rPr>
          <w:rFonts w:ascii="Times New Roman" w:eastAsia="宋体" w:hAnsi="Times New Roman" w:cs="Times New Roman" w:hint="eastAsia"/>
          <w:b/>
          <w:bCs/>
          <w:sz w:val="24"/>
          <w:szCs w:val="24"/>
        </w:rPr>
        <w:t xml:space="preserve"> </w:t>
      </w:r>
      <w:r w:rsidRPr="001B318C">
        <w:rPr>
          <w:rFonts w:ascii="Times New Roman" w:eastAsia="宋体" w:hAnsi="Times New Roman" w:cs="Times New Roman"/>
          <w:b/>
          <w:bCs/>
          <w:sz w:val="24"/>
          <w:szCs w:val="24"/>
        </w:rPr>
        <w:t xml:space="preserve">protocol for a </w:t>
      </w:r>
      <w:bookmarkStart w:id="0" w:name="OLE_LINK23"/>
      <w:r w:rsidRPr="001B318C">
        <w:rPr>
          <w:rFonts w:ascii="Times New Roman" w:eastAsia="宋体" w:hAnsi="Times New Roman" w:cs="Times New Roman"/>
          <w:b/>
          <w:bCs/>
          <w:sz w:val="24"/>
          <w:szCs w:val="24"/>
        </w:rPr>
        <w:t>multicenter</w:t>
      </w:r>
      <w:bookmarkEnd w:id="0"/>
      <w:r w:rsidRPr="001B318C">
        <w:rPr>
          <w:rFonts w:ascii="Times New Roman" w:eastAsia="宋体" w:hAnsi="Times New Roman" w:cs="Times New Roman"/>
          <w:b/>
          <w:bCs/>
          <w:sz w:val="24"/>
          <w:szCs w:val="24"/>
        </w:rPr>
        <w:t xml:space="preserve"> prospective clinical trial</w:t>
      </w:r>
    </w:p>
    <w:p w14:paraId="39C7312C" w14:textId="77777777" w:rsidR="00B21D79" w:rsidRPr="00B21D79" w:rsidRDefault="00B21D79" w:rsidP="009D4BD6"/>
    <w:p w14:paraId="4BDB4A53" w14:textId="360EF103" w:rsidR="00CD7915" w:rsidRPr="003E3F53" w:rsidRDefault="00FC49F9" w:rsidP="003E3F53">
      <w:pPr>
        <w:rPr>
          <w:rFonts w:ascii="Times New Roman" w:eastAsia="宋体" w:hAnsi="Times New Roman" w:cs="Times New Roman"/>
          <w:b/>
          <w:bCs/>
          <w:sz w:val="24"/>
          <w:szCs w:val="24"/>
        </w:rPr>
      </w:pPr>
      <w:r>
        <w:rPr>
          <w:rFonts w:ascii="Times New Roman" w:eastAsia="宋体" w:hAnsi="Times New Roman" w:cs="Times New Roman"/>
          <w:b/>
          <w:bCs/>
          <w:sz w:val="24"/>
          <w:szCs w:val="24"/>
        </w:rPr>
        <w:t>O</w:t>
      </w:r>
      <w:r>
        <w:rPr>
          <w:rFonts w:ascii="Times New Roman" w:eastAsia="宋体" w:hAnsi="Times New Roman" w:cs="Times New Roman" w:hint="eastAsia"/>
          <w:b/>
          <w:bCs/>
          <w:sz w:val="24"/>
          <w:szCs w:val="24"/>
        </w:rPr>
        <w:t>b</w:t>
      </w:r>
      <w:r>
        <w:rPr>
          <w:rFonts w:ascii="Times New Roman" w:eastAsia="宋体" w:hAnsi="Times New Roman" w:cs="Times New Roman"/>
          <w:b/>
          <w:bCs/>
          <w:sz w:val="24"/>
          <w:szCs w:val="24"/>
        </w:rPr>
        <w:t>jective</w:t>
      </w:r>
      <w:r w:rsidR="00CD7915" w:rsidRPr="003E3F53">
        <w:rPr>
          <w:rFonts w:ascii="Times New Roman" w:eastAsia="宋体" w:hAnsi="Times New Roman" w:cs="Times New Roman"/>
          <w:b/>
          <w:bCs/>
          <w:sz w:val="24"/>
          <w:szCs w:val="24"/>
        </w:rPr>
        <w:t xml:space="preserve">: </w:t>
      </w:r>
      <w:r w:rsidR="00CD7915" w:rsidRPr="003E3F53">
        <w:rPr>
          <w:rFonts w:ascii="Times New Roman" w:eastAsia="宋体" w:hAnsi="Times New Roman" w:cs="Times New Roman"/>
          <w:sz w:val="24"/>
          <w:szCs w:val="24"/>
        </w:rPr>
        <w:t>To investigate the optimal duration of applying a venous foot pump (VFP) in the prevention of venous thromboembolism (VTE) following hip and knee arthroplasty.</w:t>
      </w:r>
    </w:p>
    <w:p w14:paraId="65D980E2" w14:textId="00C2BA34" w:rsidR="00A34257" w:rsidRPr="003E3F53" w:rsidRDefault="00CD7915" w:rsidP="003E3F53">
      <w:pPr>
        <w:rPr>
          <w:rFonts w:ascii="Times New Roman" w:eastAsia="宋体" w:hAnsi="Times New Roman" w:cs="Times New Roman"/>
          <w:sz w:val="24"/>
          <w:szCs w:val="24"/>
        </w:rPr>
      </w:pPr>
      <w:bookmarkStart w:id="1" w:name="OLE_LINK38"/>
      <w:bookmarkStart w:id="2" w:name="OLE_LINK36"/>
      <w:r w:rsidRPr="003E3F53">
        <w:rPr>
          <w:rFonts w:ascii="Times New Roman" w:eastAsia="宋体" w:hAnsi="Times New Roman" w:cs="Times New Roman"/>
          <w:b/>
          <w:bCs/>
          <w:sz w:val="24"/>
          <w:szCs w:val="24"/>
        </w:rPr>
        <w:t xml:space="preserve">Methods: </w:t>
      </w:r>
      <w:bookmarkStart w:id="3" w:name="OLE_LINK9"/>
      <w:bookmarkStart w:id="4" w:name="_Hlk124260296"/>
      <w:r w:rsidR="00F6577E" w:rsidRPr="003E3F53">
        <w:rPr>
          <w:rFonts w:ascii="Times New Roman" w:eastAsia="宋体" w:hAnsi="Times New Roman" w:cs="Times New Roman"/>
          <w:sz w:val="24"/>
          <w:szCs w:val="24"/>
        </w:rPr>
        <w:t>A multicenter, randomized, prospective, open-label clinical trial.</w:t>
      </w:r>
      <w:r w:rsidR="00F6577E" w:rsidRPr="003E3F53">
        <w:rPr>
          <w:rFonts w:ascii="Times New Roman" w:eastAsia="宋体" w:hAnsi="Times New Roman" w:cs="Times New Roman"/>
          <w:b/>
          <w:bCs/>
          <w:sz w:val="24"/>
          <w:szCs w:val="24"/>
        </w:rPr>
        <w:t xml:space="preserve"> </w:t>
      </w:r>
      <w:r w:rsidRPr="003E3F53">
        <w:rPr>
          <w:rFonts w:ascii="Times New Roman" w:eastAsia="宋体" w:hAnsi="Times New Roman" w:cs="Times New Roman"/>
          <w:sz w:val="24"/>
          <w:szCs w:val="24"/>
        </w:rPr>
        <w:t>A total of 230 patients undergoing hip and knee arthroplasty between March 2021 and March 2022 in orthopedic department</w:t>
      </w:r>
      <w:r w:rsidRPr="003E3F53">
        <w:rPr>
          <w:rFonts w:ascii="Times New Roman" w:eastAsia="宋体" w:hAnsi="Times New Roman" w:cs="Times New Roman" w:hint="eastAsia"/>
          <w:sz w:val="24"/>
          <w:szCs w:val="24"/>
        </w:rPr>
        <w:t>s</w:t>
      </w:r>
      <w:r w:rsidRPr="003E3F53">
        <w:rPr>
          <w:rFonts w:ascii="Times New Roman" w:eastAsia="宋体" w:hAnsi="Times New Roman" w:cs="Times New Roman"/>
          <w:sz w:val="24"/>
          <w:szCs w:val="24"/>
        </w:rPr>
        <w:t xml:space="preserve"> of four major teaching hospitals </w:t>
      </w:r>
      <w:r w:rsidR="001B318C">
        <w:rPr>
          <w:rFonts w:ascii="Times New Roman" w:eastAsia="宋体" w:hAnsi="Times New Roman" w:cs="Times New Roman" w:hint="eastAsia"/>
          <w:sz w:val="24"/>
          <w:szCs w:val="24"/>
        </w:rPr>
        <w:t>will</w:t>
      </w:r>
      <w:r w:rsidR="001B318C">
        <w:rPr>
          <w:rFonts w:ascii="Times New Roman" w:eastAsia="宋体" w:hAnsi="Times New Roman" w:cs="Times New Roman"/>
          <w:sz w:val="24"/>
          <w:szCs w:val="24"/>
        </w:rPr>
        <w:t xml:space="preserve"> </w:t>
      </w:r>
      <w:r w:rsidR="001B318C">
        <w:rPr>
          <w:rFonts w:ascii="Times New Roman" w:eastAsia="宋体" w:hAnsi="Times New Roman" w:cs="Times New Roman" w:hint="eastAsia"/>
          <w:sz w:val="24"/>
          <w:szCs w:val="24"/>
        </w:rPr>
        <w:t>be</w:t>
      </w:r>
      <w:r w:rsidRPr="003E3F53">
        <w:rPr>
          <w:rFonts w:ascii="Times New Roman" w:eastAsia="宋体" w:hAnsi="Times New Roman" w:cs="Times New Roman"/>
          <w:sz w:val="24"/>
          <w:szCs w:val="24"/>
        </w:rPr>
        <w:t xml:space="preserve"> prospectively enrolled. Patients </w:t>
      </w:r>
      <w:r w:rsidR="001B318C">
        <w:rPr>
          <w:rFonts w:ascii="Times New Roman" w:eastAsia="宋体" w:hAnsi="Times New Roman" w:cs="Times New Roman" w:hint="eastAsia"/>
          <w:sz w:val="24"/>
          <w:szCs w:val="24"/>
        </w:rPr>
        <w:t>will</w:t>
      </w:r>
      <w:r w:rsidRPr="003E3F53">
        <w:rPr>
          <w:rFonts w:ascii="Times New Roman" w:eastAsia="宋体" w:hAnsi="Times New Roman" w:cs="Times New Roman"/>
          <w:sz w:val="24"/>
          <w:szCs w:val="24"/>
        </w:rPr>
        <w:t xml:space="preserve"> </w:t>
      </w:r>
      <w:r w:rsidR="001B318C">
        <w:rPr>
          <w:rFonts w:ascii="Times New Roman" w:eastAsia="宋体" w:hAnsi="Times New Roman" w:cs="Times New Roman"/>
          <w:sz w:val="24"/>
          <w:szCs w:val="24"/>
        </w:rPr>
        <w:t xml:space="preserve">be </w:t>
      </w:r>
      <w:r w:rsidRPr="003E3F53">
        <w:rPr>
          <w:rFonts w:ascii="Times New Roman" w:eastAsia="宋体" w:hAnsi="Times New Roman" w:cs="Times New Roman"/>
          <w:sz w:val="24"/>
          <w:szCs w:val="24"/>
        </w:rPr>
        <w:t>randomly divided into five groups based on the duration of the VFP</w:t>
      </w:r>
      <w:bookmarkEnd w:id="3"/>
      <w:r w:rsidRPr="003E3F53">
        <w:rPr>
          <w:rFonts w:ascii="Times New Roman" w:eastAsia="宋体" w:hAnsi="Times New Roman" w:cs="Times New Roman"/>
          <w:sz w:val="24"/>
          <w:szCs w:val="24"/>
        </w:rPr>
        <w:t xml:space="preserve"> application</w:t>
      </w:r>
      <w:r w:rsidR="00F6577E" w:rsidRPr="003E3F53">
        <w:rPr>
          <w:rFonts w:ascii="Times New Roman" w:eastAsia="宋体" w:hAnsi="Times New Roman" w:cs="Times New Roman"/>
          <w:sz w:val="24"/>
          <w:szCs w:val="24"/>
        </w:rPr>
        <w:t xml:space="preserve">: group A 1h/d, group B 6h/d, group C 12h/d, group D 18h/d, and </w:t>
      </w:r>
      <w:r w:rsidR="00AB4E2D" w:rsidRPr="003E3F53">
        <w:rPr>
          <w:rFonts w:ascii="Times New Roman" w:eastAsia="宋体" w:hAnsi="Times New Roman" w:cs="Times New Roman"/>
          <w:sz w:val="24"/>
          <w:szCs w:val="24"/>
        </w:rPr>
        <w:t xml:space="preserve"> g</w:t>
      </w:r>
      <w:r w:rsidR="00F6577E" w:rsidRPr="003E3F53">
        <w:rPr>
          <w:rFonts w:ascii="Times New Roman" w:eastAsia="宋体" w:hAnsi="Times New Roman" w:cs="Times New Roman"/>
          <w:sz w:val="24"/>
          <w:szCs w:val="24"/>
        </w:rPr>
        <w:t xml:space="preserve">roup E 20h/d. </w:t>
      </w:r>
      <w:r w:rsidRPr="003E3F53">
        <w:rPr>
          <w:rFonts w:ascii="Times New Roman" w:eastAsia="宋体" w:hAnsi="Times New Roman" w:cs="Times New Roman"/>
          <w:sz w:val="24"/>
          <w:szCs w:val="24"/>
        </w:rPr>
        <w:t>Postoperative deep vein thromboses (DVT), including proximal, distal, and intermuscular DVT, w</w:t>
      </w:r>
      <w:r w:rsidR="001B318C">
        <w:rPr>
          <w:rFonts w:ascii="Times New Roman" w:eastAsia="宋体" w:hAnsi="Times New Roman" w:cs="Times New Roman" w:hint="eastAsia"/>
          <w:sz w:val="24"/>
          <w:szCs w:val="24"/>
        </w:rPr>
        <w:t>ill</w:t>
      </w:r>
      <w:r w:rsidR="001B318C">
        <w:rPr>
          <w:rFonts w:ascii="Times New Roman" w:eastAsia="宋体" w:hAnsi="Times New Roman" w:cs="Times New Roman"/>
          <w:sz w:val="24"/>
          <w:szCs w:val="24"/>
        </w:rPr>
        <w:t xml:space="preserve"> </w:t>
      </w:r>
      <w:r w:rsidR="001B318C">
        <w:rPr>
          <w:rFonts w:ascii="Times New Roman" w:eastAsia="宋体" w:hAnsi="Times New Roman" w:cs="Times New Roman" w:hint="eastAsia"/>
          <w:sz w:val="24"/>
          <w:szCs w:val="24"/>
        </w:rPr>
        <w:t>be</w:t>
      </w:r>
      <w:r w:rsidR="001B318C">
        <w:rPr>
          <w:rFonts w:ascii="Times New Roman" w:eastAsia="宋体" w:hAnsi="Times New Roman" w:cs="Times New Roman"/>
          <w:sz w:val="24"/>
          <w:szCs w:val="24"/>
        </w:rPr>
        <w:t xml:space="preserve"> </w:t>
      </w:r>
      <w:r w:rsidRPr="003E3F53">
        <w:rPr>
          <w:rFonts w:ascii="Times New Roman" w:eastAsia="宋体" w:hAnsi="Times New Roman" w:cs="Times New Roman"/>
          <w:sz w:val="24"/>
          <w:szCs w:val="24"/>
        </w:rPr>
        <w:t xml:space="preserve">recorded </w:t>
      </w:r>
      <w:r w:rsidR="00A34257" w:rsidRPr="003E3F53">
        <w:rPr>
          <w:rFonts w:ascii="Times New Roman" w:eastAsia="宋体" w:hAnsi="Times New Roman" w:cs="Times New Roman"/>
          <w:sz w:val="24"/>
          <w:szCs w:val="24"/>
        </w:rPr>
        <w:t>from surgery to discharge</w:t>
      </w:r>
      <w:r w:rsidRPr="003E3F53">
        <w:rPr>
          <w:rFonts w:ascii="Times New Roman" w:eastAsia="宋体" w:hAnsi="Times New Roman" w:cs="Times New Roman"/>
          <w:sz w:val="24"/>
          <w:szCs w:val="24"/>
        </w:rPr>
        <w:t xml:space="preserve">. </w:t>
      </w:r>
      <w:r w:rsidR="00A34257" w:rsidRPr="003E3F53">
        <w:rPr>
          <w:rFonts w:ascii="Times New Roman" w:eastAsia="宋体" w:hAnsi="Times New Roman" w:cs="Times New Roman"/>
          <w:sz w:val="24"/>
          <w:szCs w:val="24"/>
        </w:rPr>
        <w:t>Coagulation indexes [D-dimer, activated partial thromboplastin time (APTT)] w</w:t>
      </w:r>
      <w:r w:rsidR="001B318C">
        <w:rPr>
          <w:rFonts w:ascii="Times New Roman" w:eastAsia="宋体" w:hAnsi="Times New Roman" w:cs="Times New Roman" w:hint="eastAsia"/>
          <w:sz w:val="24"/>
          <w:szCs w:val="24"/>
        </w:rPr>
        <w:t>ill</w:t>
      </w:r>
      <w:r w:rsidR="001B318C">
        <w:rPr>
          <w:rFonts w:ascii="Times New Roman" w:eastAsia="宋体" w:hAnsi="Times New Roman" w:cs="Times New Roman"/>
          <w:sz w:val="24"/>
          <w:szCs w:val="24"/>
        </w:rPr>
        <w:t xml:space="preserve"> </w:t>
      </w:r>
      <w:r w:rsidR="001B318C">
        <w:rPr>
          <w:rFonts w:ascii="Times New Roman" w:eastAsia="宋体" w:hAnsi="Times New Roman" w:cs="Times New Roman" w:hint="eastAsia"/>
          <w:sz w:val="24"/>
          <w:szCs w:val="24"/>
        </w:rPr>
        <w:t>be</w:t>
      </w:r>
      <w:r w:rsidR="00A34257" w:rsidRPr="003E3F53">
        <w:rPr>
          <w:rFonts w:ascii="Times New Roman" w:eastAsia="宋体" w:hAnsi="Times New Roman" w:cs="Times New Roman"/>
          <w:sz w:val="24"/>
          <w:szCs w:val="24"/>
        </w:rPr>
        <w:t xml:space="preserve"> collected on the first and third day after surgery. </w:t>
      </w:r>
      <w:bookmarkEnd w:id="1"/>
      <w:bookmarkEnd w:id="2"/>
      <w:bookmarkEnd w:id="4"/>
      <w:r w:rsidR="00A34257" w:rsidRPr="003E3F53">
        <w:rPr>
          <w:rFonts w:ascii="Times New Roman" w:eastAsia="宋体" w:hAnsi="Times New Roman" w:cs="Times New Roman"/>
          <w:sz w:val="24"/>
          <w:szCs w:val="24"/>
        </w:rPr>
        <w:t>Daily pain and comfort w</w:t>
      </w:r>
      <w:r w:rsidR="001B318C">
        <w:rPr>
          <w:rFonts w:ascii="Times New Roman" w:eastAsia="宋体" w:hAnsi="Times New Roman" w:cs="Times New Roman" w:hint="eastAsia"/>
          <w:sz w:val="24"/>
          <w:szCs w:val="24"/>
        </w:rPr>
        <w:t>ill</w:t>
      </w:r>
      <w:r w:rsidR="001B318C">
        <w:rPr>
          <w:rFonts w:ascii="Times New Roman" w:eastAsia="宋体" w:hAnsi="Times New Roman" w:cs="Times New Roman"/>
          <w:sz w:val="24"/>
          <w:szCs w:val="24"/>
        </w:rPr>
        <w:t xml:space="preserve"> </w:t>
      </w:r>
      <w:r w:rsidR="001B318C">
        <w:rPr>
          <w:rFonts w:ascii="Times New Roman" w:eastAsia="宋体" w:hAnsi="Times New Roman" w:cs="Times New Roman" w:hint="eastAsia"/>
          <w:sz w:val="24"/>
          <w:szCs w:val="24"/>
        </w:rPr>
        <w:t>be</w:t>
      </w:r>
      <w:r w:rsidR="00A34257" w:rsidRPr="003E3F53">
        <w:rPr>
          <w:rFonts w:ascii="Times New Roman" w:eastAsia="宋体" w:hAnsi="Times New Roman" w:cs="Times New Roman"/>
          <w:sz w:val="24"/>
          <w:szCs w:val="24"/>
        </w:rPr>
        <w:t xml:space="preserve"> assessed and recorded.</w:t>
      </w:r>
    </w:p>
    <w:p w14:paraId="6BA594CE" w14:textId="00D3E3B4" w:rsidR="00B21D79" w:rsidRPr="003E3F53" w:rsidRDefault="00B21D79" w:rsidP="003E3F53">
      <w:pPr>
        <w:rPr>
          <w:rStyle w:val="tgt0"/>
          <w:rFonts w:ascii="Times New Roman" w:eastAsia="宋体" w:hAnsi="Times New Roman" w:cs="Times New Roman"/>
          <w:sz w:val="24"/>
          <w:szCs w:val="24"/>
        </w:rPr>
      </w:pPr>
      <w:r w:rsidRPr="003E3F53">
        <w:rPr>
          <w:rStyle w:val="tgt0"/>
          <w:rFonts w:ascii="Times New Roman" w:eastAsia="宋体" w:hAnsi="Times New Roman" w:cs="Times New Roman"/>
          <w:b/>
          <w:bCs/>
          <w:sz w:val="24"/>
          <w:szCs w:val="24"/>
        </w:rPr>
        <w:t xml:space="preserve">Discussion: </w:t>
      </w:r>
      <w:r w:rsidR="00F6577E" w:rsidRPr="003E3F53">
        <w:rPr>
          <w:rStyle w:val="tgt0"/>
          <w:rFonts w:ascii="Times New Roman" w:eastAsia="宋体" w:hAnsi="Times New Roman" w:cs="Times New Roman"/>
          <w:sz w:val="24"/>
          <w:szCs w:val="24"/>
        </w:rPr>
        <w:t>We believe that the application of VFP for too long or too short will not effectively prevent VTE. Considering the incidence of postoperative VTE, coagulation function test, pain</w:t>
      </w:r>
      <w:r w:rsidR="001B318C">
        <w:rPr>
          <w:rStyle w:val="tgt0"/>
          <w:rFonts w:ascii="Times New Roman" w:eastAsia="宋体" w:hAnsi="Times New Roman" w:cs="Times New Roman"/>
          <w:sz w:val="24"/>
          <w:szCs w:val="24"/>
        </w:rPr>
        <w:t>ful</w:t>
      </w:r>
      <w:r w:rsidR="00F6577E" w:rsidRPr="003E3F53">
        <w:rPr>
          <w:rStyle w:val="tgt0"/>
          <w:rFonts w:ascii="Times New Roman" w:eastAsia="宋体" w:hAnsi="Times New Roman" w:cs="Times New Roman"/>
          <w:sz w:val="24"/>
          <w:szCs w:val="24"/>
        </w:rPr>
        <w:t xml:space="preserve"> outcome, comfort score</w:t>
      </w:r>
      <w:r w:rsidR="001B318C">
        <w:rPr>
          <w:rStyle w:val="tgt0"/>
          <w:rFonts w:ascii="Times New Roman" w:eastAsia="宋体" w:hAnsi="Times New Roman" w:cs="Times New Roman"/>
          <w:sz w:val="24"/>
          <w:szCs w:val="24"/>
        </w:rPr>
        <w:t>,</w:t>
      </w:r>
      <w:r w:rsidR="00F6577E" w:rsidRPr="003E3F53">
        <w:rPr>
          <w:rStyle w:val="tgt0"/>
          <w:rFonts w:ascii="Times New Roman" w:eastAsia="宋体" w:hAnsi="Times New Roman" w:cs="Times New Roman"/>
          <w:sz w:val="24"/>
          <w:szCs w:val="24"/>
        </w:rPr>
        <w:t xml:space="preserve"> and other aspects, the application of VFP for 6 hours per day will be the best time to prevent VTE in patients undergoing hip and knee replacement.</w:t>
      </w:r>
    </w:p>
    <w:p w14:paraId="215CA07F" w14:textId="6D1B5788" w:rsidR="00B21D79" w:rsidRPr="003E3F53" w:rsidRDefault="00B21D79" w:rsidP="003E3F53">
      <w:pPr>
        <w:rPr>
          <w:rStyle w:val="tgt0"/>
          <w:rFonts w:ascii="Times New Roman" w:eastAsia="宋体" w:hAnsi="Times New Roman" w:cs="Times New Roman"/>
          <w:sz w:val="24"/>
          <w:szCs w:val="24"/>
        </w:rPr>
      </w:pPr>
      <w:r w:rsidRPr="003E3F53">
        <w:rPr>
          <w:rStyle w:val="tgt0"/>
          <w:rFonts w:ascii="Times New Roman" w:eastAsia="宋体" w:hAnsi="Times New Roman" w:cs="Times New Roman"/>
          <w:b/>
          <w:bCs/>
          <w:sz w:val="24"/>
          <w:szCs w:val="24"/>
        </w:rPr>
        <w:t xml:space="preserve">Trial registration: </w:t>
      </w:r>
      <w:r w:rsidRPr="003E3F53">
        <w:rPr>
          <w:rStyle w:val="tgt0"/>
          <w:rFonts w:ascii="Times New Roman" w:eastAsia="宋体" w:hAnsi="Times New Roman" w:cs="Times New Roman"/>
          <w:sz w:val="24"/>
          <w:szCs w:val="24"/>
        </w:rPr>
        <w:t>ClinicalTrials.gov ChiCTR2200055166. Registered on January 2, 2022.</w:t>
      </w:r>
    </w:p>
    <w:p w14:paraId="2D960395" w14:textId="397A35D3" w:rsidR="007F7E83" w:rsidRDefault="00B21D79" w:rsidP="007F7E83">
      <w:pPr>
        <w:rPr>
          <w:rFonts w:ascii="Times New Roman" w:eastAsia="宋体" w:hAnsi="Times New Roman" w:cs="Times New Roman"/>
          <w:sz w:val="24"/>
          <w:szCs w:val="24"/>
        </w:rPr>
      </w:pPr>
      <w:bookmarkStart w:id="5" w:name="OLE_LINK35"/>
      <w:r w:rsidRPr="003E3F53">
        <w:rPr>
          <w:rFonts w:ascii="Times New Roman" w:eastAsia="宋体" w:hAnsi="Times New Roman" w:cs="Times New Roman"/>
          <w:b/>
          <w:bCs/>
          <w:sz w:val="24"/>
          <w:szCs w:val="24"/>
        </w:rPr>
        <w:t xml:space="preserve">Keywords: </w:t>
      </w:r>
      <w:bookmarkStart w:id="6" w:name="OLE_LINK21"/>
      <w:r w:rsidR="007F7E83" w:rsidRPr="007F7E83">
        <w:rPr>
          <w:rFonts w:ascii="Times New Roman" w:eastAsia="宋体" w:hAnsi="Times New Roman" w:cs="Times New Roman"/>
          <w:sz w:val="24"/>
          <w:szCs w:val="24"/>
        </w:rPr>
        <w:t>Clinical trial</w:t>
      </w:r>
      <w:r w:rsidR="007F7E83" w:rsidRPr="003E3F53">
        <w:rPr>
          <w:rFonts w:ascii="Times New Roman" w:eastAsia="宋体" w:hAnsi="Times New Roman" w:cs="Times New Roman"/>
          <w:sz w:val="24"/>
          <w:szCs w:val="24"/>
        </w:rPr>
        <w:t>;</w:t>
      </w:r>
      <w:r w:rsidR="007F7E83">
        <w:rPr>
          <w:rFonts w:ascii="Times New Roman" w:eastAsia="宋体" w:hAnsi="Times New Roman" w:cs="Times New Roman"/>
          <w:sz w:val="24"/>
          <w:szCs w:val="24"/>
        </w:rPr>
        <w:t xml:space="preserve"> </w:t>
      </w:r>
      <w:r w:rsidR="007F7E83" w:rsidRPr="003E3F53">
        <w:rPr>
          <w:rFonts w:ascii="Times New Roman" w:eastAsia="宋体" w:hAnsi="Times New Roman" w:cs="Times New Roman"/>
          <w:sz w:val="24"/>
          <w:szCs w:val="24"/>
        </w:rPr>
        <w:t>Hip arthroplasty;</w:t>
      </w:r>
      <w:r w:rsidR="007F7E83" w:rsidRPr="007F7E83">
        <w:rPr>
          <w:rFonts w:ascii="Times New Roman" w:eastAsia="宋体" w:hAnsi="Times New Roman" w:cs="Times New Roman"/>
          <w:sz w:val="24"/>
          <w:szCs w:val="24"/>
        </w:rPr>
        <w:t xml:space="preserve"> </w:t>
      </w:r>
      <w:r w:rsidR="007F7E83" w:rsidRPr="003E3F53">
        <w:rPr>
          <w:rFonts w:ascii="Times New Roman" w:eastAsia="宋体" w:hAnsi="Times New Roman" w:cs="Times New Roman"/>
          <w:sz w:val="24"/>
          <w:szCs w:val="24"/>
        </w:rPr>
        <w:t xml:space="preserve">Knee arthroplasty; </w:t>
      </w:r>
      <w:r w:rsidRPr="003E3F53">
        <w:rPr>
          <w:rFonts w:ascii="Times New Roman" w:eastAsia="宋体" w:hAnsi="Times New Roman" w:cs="Times New Roman"/>
          <w:sz w:val="24"/>
          <w:szCs w:val="24"/>
        </w:rPr>
        <w:t>Venous foot pump</w:t>
      </w:r>
      <w:r w:rsidR="007F7E83" w:rsidRPr="003E3F53">
        <w:rPr>
          <w:rFonts w:ascii="Times New Roman" w:eastAsia="宋体" w:hAnsi="Times New Roman" w:cs="Times New Roman"/>
          <w:sz w:val="24"/>
          <w:szCs w:val="24"/>
        </w:rPr>
        <w:t>;</w:t>
      </w:r>
      <w:r w:rsidRPr="003E3F53">
        <w:rPr>
          <w:rFonts w:ascii="Times New Roman" w:eastAsia="宋体" w:hAnsi="Times New Roman" w:cs="Times New Roman"/>
          <w:sz w:val="24"/>
          <w:szCs w:val="24"/>
        </w:rPr>
        <w:t xml:space="preserve"> Venous thromboembolism </w:t>
      </w:r>
      <w:bookmarkEnd w:id="5"/>
      <w:bookmarkEnd w:id="6"/>
    </w:p>
    <w:p w14:paraId="5FF34B2D" w14:textId="7BAB2786" w:rsidR="00CD7915" w:rsidRPr="007F7E83" w:rsidRDefault="00CD7915" w:rsidP="003E3F53">
      <w:pPr>
        <w:rPr>
          <w:rFonts w:ascii="Times New Roman" w:eastAsia="宋体" w:hAnsi="Times New Roman" w:cs="Times New Roman"/>
          <w:sz w:val="24"/>
          <w:szCs w:val="24"/>
        </w:rPr>
      </w:pPr>
    </w:p>
    <w:p w14:paraId="75060E06" w14:textId="0455012E" w:rsidR="003E3F53" w:rsidRDefault="003E3F53" w:rsidP="003E3F53">
      <w:pPr>
        <w:rPr>
          <w:rFonts w:ascii="Times New Roman" w:eastAsia="宋体" w:hAnsi="Times New Roman" w:cs="Times New Roman"/>
          <w:sz w:val="24"/>
          <w:szCs w:val="24"/>
        </w:rPr>
      </w:pPr>
    </w:p>
    <w:p w14:paraId="4C1B0512" w14:textId="77777777" w:rsidR="003E3F53" w:rsidRPr="003E3F53" w:rsidRDefault="003E3F53" w:rsidP="003E3F53">
      <w:pPr>
        <w:rPr>
          <w:rFonts w:ascii="Times New Roman" w:eastAsia="宋体" w:hAnsi="Times New Roman" w:cs="Times New Roman"/>
          <w:sz w:val="24"/>
          <w:szCs w:val="24"/>
        </w:rPr>
      </w:pPr>
    </w:p>
    <w:p w14:paraId="5EA4732F" w14:textId="1E593A69" w:rsidR="00C57FFE" w:rsidRPr="00A51737" w:rsidRDefault="00C57FFE" w:rsidP="00C57FFE">
      <w:pPr>
        <w:pStyle w:val="3"/>
        <w:spacing w:line="240" w:lineRule="atLeast"/>
        <w:rPr>
          <w:rFonts w:ascii="Times New Roman" w:hAnsi="Times New Roman" w:cs="Times New Roman"/>
          <w:kern w:val="2"/>
          <w:sz w:val="24"/>
          <w:szCs w:val="24"/>
        </w:rPr>
      </w:pPr>
      <w:bookmarkStart w:id="7" w:name="_Hlk133615685"/>
      <w:r w:rsidRPr="00A51737">
        <w:rPr>
          <w:rFonts w:ascii="Times New Roman" w:hAnsi="Times New Roman" w:cs="Times New Roman"/>
          <w:kern w:val="2"/>
          <w:sz w:val="24"/>
          <w:szCs w:val="24"/>
        </w:rPr>
        <w:t>General information</w:t>
      </w:r>
    </w:p>
    <w:bookmarkEnd w:id="7"/>
    <w:p w14:paraId="280154DB" w14:textId="67235966" w:rsidR="003E3F53" w:rsidRPr="003E3F53" w:rsidRDefault="003E3F53" w:rsidP="008D3277">
      <w:pPr>
        <w:rPr>
          <w:rFonts w:ascii="Times New Roman" w:hAnsi="Times New Roman" w:cs="Times New Roman"/>
          <w:sz w:val="24"/>
          <w:szCs w:val="24"/>
        </w:rPr>
      </w:pPr>
      <w:r>
        <w:rPr>
          <w:rFonts w:ascii="Times New Roman" w:hAnsi="Times New Roman" w:cs="Times New Roman"/>
          <w:sz w:val="24"/>
          <w:szCs w:val="24"/>
        </w:rPr>
        <w:t xml:space="preserve">Title: </w:t>
      </w:r>
      <w:r w:rsidRPr="003E3F53">
        <w:rPr>
          <w:rFonts w:ascii="Times New Roman" w:hAnsi="Times New Roman" w:cs="Times New Roman"/>
          <w:sz w:val="24"/>
          <w:szCs w:val="24"/>
        </w:rPr>
        <w:t>Effect of different application duration of a venous foot pump on prevention of venous thromboembolism after hip and knee arthroplasty: study protocol for a multicenter prospective clinical trial.</w:t>
      </w:r>
    </w:p>
    <w:p w14:paraId="7E588C05" w14:textId="5CCC478F" w:rsidR="003E3F53" w:rsidRDefault="003E3F53" w:rsidP="008D3277">
      <w:pPr>
        <w:rPr>
          <w:rFonts w:ascii="Times New Roman" w:hAnsi="Times New Roman" w:cs="Times New Roman"/>
          <w:sz w:val="24"/>
          <w:szCs w:val="24"/>
        </w:rPr>
      </w:pPr>
      <w:r>
        <w:rPr>
          <w:rFonts w:ascii="Times New Roman" w:eastAsia="宋体" w:hAnsi="Times New Roman" w:cs="Times New Roman"/>
          <w:sz w:val="24"/>
          <w:szCs w:val="24"/>
        </w:rPr>
        <w:t>T</w:t>
      </w:r>
      <w:r w:rsidRPr="003E3F53">
        <w:rPr>
          <w:rFonts w:ascii="Times New Roman" w:eastAsia="宋体" w:hAnsi="Times New Roman" w:cs="Times New Roman"/>
          <w:sz w:val="24"/>
          <w:szCs w:val="24"/>
        </w:rPr>
        <w:t>he sponsor</w:t>
      </w:r>
      <w:r w:rsidR="001B318C">
        <w:rPr>
          <w:rFonts w:ascii="Times New Roman" w:eastAsia="宋体" w:hAnsi="Times New Roman" w:cs="Times New Roman"/>
          <w:sz w:val="24"/>
          <w:szCs w:val="24"/>
        </w:rPr>
        <w:t>'s</w:t>
      </w:r>
      <w:r w:rsidRPr="003E3F53">
        <w:rPr>
          <w:rFonts w:ascii="Times New Roman" w:eastAsia="宋体" w:hAnsi="Times New Roman" w:cs="Times New Roman"/>
          <w:sz w:val="24"/>
          <w:szCs w:val="24"/>
        </w:rPr>
        <w:t xml:space="preserve"> name </w:t>
      </w:r>
      <w:r>
        <w:rPr>
          <w:rFonts w:ascii="Times New Roman" w:eastAsia="宋体" w:hAnsi="Times New Roman" w:cs="Times New Roman"/>
          <w:sz w:val="24"/>
          <w:szCs w:val="24"/>
        </w:rPr>
        <w:t>and</w:t>
      </w:r>
      <w:r w:rsidRPr="003E3F53">
        <w:rPr>
          <w:rFonts w:ascii="Times New Roman" w:hAnsi="Times New Roman" w:cs="Times New Roman"/>
          <w:sz w:val="24"/>
          <w:szCs w:val="24"/>
        </w:rPr>
        <w:t xml:space="preserve"> address</w:t>
      </w:r>
      <w:r>
        <w:rPr>
          <w:rFonts w:ascii="Times New Roman" w:hAnsi="Times New Roman" w:cs="Times New Roman"/>
          <w:sz w:val="24"/>
          <w:szCs w:val="24"/>
        </w:rPr>
        <w:t xml:space="preserve">: </w:t>
      </w:r>
      <w:r w:rsidRPr="003E3F53">
        <w:rPr>
          <w:rFonts w:ascii="Times New Roman" w:hAnsi="Times New Roman" w:cs="Times New Roman"/>
          <w:sz w:val="24"/>
          <w:szCs w:val="24"/>
        </w:rPr>
        <w:t>Yuan Gao, The First Medical Center of Chinese PLA General, Beijing</w:t>
      </w:r>
      <w:r w:rsidRPr="003E3F53">
        <w:rPr>
          <w:rFonts w:ascii="Times New Roman" w:hAnsi="Times New Roman" w:cs="Times New Roman" w:hint="eastAsia"/>
          <w:sz w:val="24"/>
          <w:szCs w:val="24"/>
        </w:rPr>
        <w:t>.</w:t>
      </w:r>
      <w:r>
        <w:rPr>
          <w:rFonts w:ascii="Times New Roman" w:hAnsi="Times New Roman" w:cs="Times New Roman"/>
          <w:sz w:val="24"/>
          <w:szCs w:val="24"/>
        </w:rPr>
        <w:t xml:space="preserve"> </w:t>
      </w:r>
    </w:p>
    <w:p w14:paraId="7C26102B" w14:textId="5D1DD6CF" w:rsidR="003E3F53" w:rsidRDefault="003E3F53" w:rsidP="008D3277">
      <w:pPr>
        <w:rPr>
          <w:rFonts w:ascii="Times New Roman" w:hAnsi="Times New Roman" w:cs="Times New Roman"/>
          <w:sz w:val="24"/>
          <w:szCs w:val="24"/>
        </w:rPr>
      </w:pPr>
      <w:r w:rsidRPr="003E3F53">
        <w:rPr>
          <w:rFonts w:ascii="Times New Roman" w:hAnsi="Times New Roman" w:cs="Times New Roman"/>
          <w:sz w:val="24"/>
          <w:szCs w:val="24"/>
        </w:rPr>
        <w:t>Siqi G</w:t>
      </w:r>
      <w:r w:rsidRPr="003E3F53">
        <w:rPr>
          <w:rFonts w:ascii="Times New Roman" w:hAnsi="Times New Roman" w:cs="Times New Roman" w:hint="eastAsia"/>
          <w:sz w:val="24"/>
          <w:szCs w:val="24"/>
        </w:rPr>
        <w:t>u</w:t>
      </w:r>
      <w:r w:rsidRPr="003E3F53">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w:t>
      </w:r>
      <w:r w:rsidRPr="003E3F53">
        <w:rPr>
          <w:rFonts w:ascii="Times New Roman" w:hAnsi="Times New Roman" w:cs="Times New Roman"/>
          <w:sz w:val="24"/>
          <w:szCs w:val="24"/>
        </w:rPr>
        <w:t>Yuan Gao</w:t>
      </w:r>
      <w:r>
        <w:rPr>
          <w:rFonts w:ascii="Times New Roman" w:hAnsi="Times New Roman" w:cs="Times New Roman"/>
          <w:sz w:val="24"/>
          <w:szCs w:val="24"/>
        </w:rPr>
        <w:t xml:space="preserve"> </w:t>
      </w:r>
      <w:r w:rsidR="001B318C">
        <w:rPr>
          <w:rFonts w:ascii="Times New Roman" w:hAnsi="Times New Roman" w:cs="Times New Roman"/>
          <w:sz w:val="24"/>
          <w:szCs w:val="24"/>
        </w:rPr>
        <w:t>are</w:t>
      </w:r>
      <w:r w:rsidRPr="003E3F53">
        <w:rPr>
          <w:rFonts w:ascii="Times New Roman" w:hAnsi="Times New Roman" w:cs="Times New Roman"/>
          <w:sz w:val="24"/>
          <w:szCs w:val="24"/>
        </w:rPr>
        <w:t xml:space="preserve"> responsible for conducting the research</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3E3F53">
        <w:rPr>
          <w:rFonts w:ascii="Times New Roman" w:hAnsi="Times New Roman" w:cs="Times New Roman"/>
          <w:sz w:val="24"/>
          <w:szCs w:val="24"/>
        </w:rPr>
        <w:t>and the address</w:t>
      </w:r>
      <w:r>
        <w:rPr>
          <w:rFonts w:ascii="Times New Roman" w:hAnsi="Times New Roman" w:cs="Times New Roman"/>
          <w:sz w:val="24"/>
          <w:szCs w:val="24"/>
        </w:rPr>
        <w:t xml:space="preserve"> of </w:t>
      </w:r>
      <w:r w:rsidRPr="003E3F53">
        <w:rPr>
          <w:rFonts w:ascii="Times New Roman" w:hAnsi="Times New Roman" w:cs="Times New Roman"/>
          <w:sz w:val="24"/>
          <w:szCs w:val="24"/>
        </w:rPr>
        <w:t>the research site</w:t>
      </w:r>
      <w:r>
        <w:rPr>
          <w:rFonts w:ascii="Times New Roman" w:hAnsi="Times New Roman" w:cs="Times New Roman"/>
          <w:sz w:val="24"/>
          <w:szCs w:val="24"/>
        </w:rPr>
        <w:t xml:space="preserve"> is </w:t>
      </w:r>
      <w:r w:rsidRPr="003E3F53">
        <w:rPr>
          <w:rFonts w:ascii="Times New Roman" w:hAnsi="Times New Roman" w:cs="Times New Roman"/>
          <w:sz w:val="24"/>
          <w:szCs w:val="24"/>
        </w:rPr>
        <w:t>The First Medical Center of Chinese PLA General, Beijing</w:t>
      </w:r>
      <w:r w:rsidRPr="003E3F53">
        <w:rPr>
          <w:rFonts w:ascii="Times New Roman" w:hAnsi="Times New Roman" w:cs="Times New Roman" w:hint="eastAsia"/>
          <w:sz w:val="24"/>
          <w:szCs w:val="24"/>
        </w:rPr>
        <w:t>.</w:t>
      </w:r>
      <w:r>
        <w:rPr>
          <w:rFonts w:ascii="Times New Roman" w:hAnsi="Times New Roman" w:cs="Times New Roman"/>
          <w:sz w:val="24"/>
          <w:szCs w:val="24"/>
        </w:rPr>
        <w:t xml:space="preserve"> </w:t>
      </w:r>
    </w:p>
    <w:p w14:paraId="6022897C" w14:textId="4F5B887B" w:rsidR="003E3F53" w:rsidRPr="003E3F53" w:rsidRDefault="003E3F53" w:rsidP="008D3277">
      <w:pPr>
        <w:rPr>
          <w:rFonts w:ascii="Times New Roman" w:hAnsi="Times New Roman" w:cs="Times New Roman"/>
          <w:sz w:val="24"/>
          <w:szCs w:val="24"/>
        </w:rPr>
      </w:pPr>
      <w:r>
        <w:rPr>
          <w:rFonts w:ascii="Times New Roman" w:hAnsi="Times New Roman" w:cs="Times New Roman"/>
          <w:sz w:val="24"/>
          <w:szCs w:val="24"/>
        </w:rPr>
        <w:t>O</w:t>
      </w:r>
      <w:r w:rsidRPr="003E3F53">
        <w:rPr>
          <w:rFonts w:ascii="Times New Roman" w:hAnsi="Times New Roman" w:cs="Times New Roman"/>
          <w:sz w:val="24"/>
          <w:szCs w:val="24"/>
        </w:rPr>
        <w:t xml:space="preserve">ther medical </w:t>
      </w:r>
      <w:r>
        <w:rPr>
          <w:rFonts w:ascii="Times New Roman" w:hAnsi="Times New Roman" w:cs="Times New Roman"/>
          <w:sz w:val="24"/>
          <w:szCs w:val="24"/>
        </w:rPr>
        <w:t>d</w:t>
      </w:r>
      <w:r w:rsidRPr="003E3F53">
        <w:rPr>
          <w:rFonts w:ascii="Times New Roman" w:hAnsi="Times New Roman" w:cs="Times New Roman"/>
          <w:sz w:val="24"/>
          <w:szCs w:val="24"/>
        </w:rPr>
        <w:t>epartments involved in the research</w:t>
      </w:r>
      <w:r>
        <w:rPr>
          <w:rFonts w:ascii="Times New Roman" w:hAnsi="Times New Roman" w:cs="Times New Roman"/>
          <w:sz w:val="24"/>
          <w:szCs w:val="24"/>
        </w:rPr>
        <w:t xml:space="preserve"> are T</w:t>
      </w:r>
      <w:r w:rsidRPr="003E3F53">
        <w:rPr>
          <w:rFonts w:ascii="Times New Roman" w:hAnsi="Times New Roman" w:cs="Times New Roman"/>
          <w:sz w:val="24"/>
          <w:szCs w:val="24"/>
        </w:rPr>
        <w:t xml:space="preserve">he Fourth Medical Center of PLA General Hospital, </w:t>
      </w:r>
      <w:r>
        <w:rPr>
          <w:rFonts w:ascii="Times New Roman" w:hAnsi="Times New Roman" w:cs="Times New Roman"/>
          <w:sz w:val="24"/>
          <w:szCs w:val="24"/>
        </w:rPr>
        <w:t>T</w:t>
      </w:r>
      <w:r w:rsidRPr="003E3F53">
        <w:rPr>
          <w:rFonts w:ascii="Times New Roman" w:hAnsi="Times New Roman" w:cs="Times New Roman"/>
          <w:sz w:val="24"/>
          <w:szCs w:val="24"/>
        </w:rPr>
        <w:t>he Hainan Hospital of PLA General Hospital</w:t>
      </w:r>
      <w:r w:rsidR="001B318C">
        <w:rPr>
          <w:rFonts w:ascii="Times New Roman" w:hAnsi="Times New Roman" w:cs="Times New Roman"/>
          <w:sz w:val="24"/>
          <w:szCs w:val="24"/>
        </w:rPr>
        <w:t>,</w:t>
      </w:r>
      <w:r w:rsidRPr="003E3F53">
        <w:rPr>
          <w:rFonts w:ascii="Times New Roman" w:hAnsi="Times New Roman" w:cs="Times New Roman"/>
          <w:sz w:val="24"/>
          <w:szCs w:val="24"/>
        </w:rPr>
        <w:t xml:space="preserve"> and the First Affiliated Hospital of Soochow University</w:t>
      </w:r>
      <w:r>
        <w:rPr>
          <w:rFonts w:ascii="Times New Roman" w:hAnsi="Times New Roman" w:cs="Times New Roman"/>
          <w:sz w:val="24"/>
          <w:szCs w:val="24"/>
        </w:rPr>
        <w:t>.</w:t>
      </w:r>
    </w:p>
    <w:p w14:paraId="29A10322" w14:textId="73879288" w:rsidR="003E3F53" w:rsidRPr="00A51737" w:rsidRDefault="00A51737" w:rsidP="00C57FFE">
      <w:pPr>
        <w:pStyle w:val="3"/>
        <w:spacing w:line="240" w:lineRule="atLeast"/>
        <w:rPr>
          <w:rFonts w:ascii="Times New Roman" w:hAnsi="Times New Roman" w:cs="Times New Roman"/>
          <w:kern w:val="2"/>
          <w:sz w:val="24"/>
          <w:szCs w:val="24"/>
        </w:rPr>
      </w:pPr>
      <w:r w:rsidRPr="00A51737">
        <w:rPr>
          <w:rFonts w:ascii="Times New Roman" w:hAnsi="Times New Roman" w:cs="Times New Roman"/>
          <w:kern w:val="2"/>
          <w:sz w:val="24"/>
          <w:szCs w:val="24"/>
        </w:rPr>
        <w:t>B</w:t>
      </w:r>
      <w:r w:rsidRPr="00A51737">
        <w:rPr>
          <w:rFonts w:ascii="Times New Roman" w:hAnsi="Times New Roman" w:cs="Times New Roman" w:hint="eastAsia"/>
          <w:kern w:val="2"/>
          <w:sz w:val="24"/>
          <w:szCs w:val="24"/>
        </w:rPr>
        <w:t>ackground</w:t>
      </w:r>
    </w:p>
    <w:p w14:paraId="485401B0" w14:textId="77777777" w:rsidR="003E3F53" w:rsidRPr="003E3F53" w:rsidRDefault="003E3F53" w:rsidP="008D3277">
      <w:pPr>
        <w:rPr>
          <w:rFonts w:ascii="Times New Roman" w:hAnsi="Times New Roman" w:cs="Times New Roman"/>
          <w:sz w:val="24"/>
          <w:szCs w:val="24"/>
        </w:rPr>
      </w:pPr>
      <w:r w:rsidRPr="003E3F53">
        <w:rPr>
          <w:rFonts w:ascii="Times New Roman" w:hAnsi="Times New Roman" w:cs="Times New Roman"/>
          <w:sz w:val="24"/>
          <w:szCs w:val="24"/>
        </w:rPr>
        <w:lastRenderedPageBreak/>
        <w:t>Venous thromboembolism (VTE) is a serious health issue worldwide. It refers to the abnormal coagulation of blood in the vein. VTE is one of the most important complications after orthopedic surgery [1]. It mainly includes deep vein thrombosis (DVT) and pulmonary embolism (PE). Globally, there are nearly 10 million cases of VTE annually. VTE is a substantial contributor to the global burden of disease [2]. Evidence has shown that the incidence of VTE is 60.0% after major trauma surgery, 42-57% among patients treated with a total hip replacement, and 41-85% among patients treated with a total knee replacement [3]. In addition, with growing populations and longer life expectancy, the prevalence of this disease is increasing. The annual incidence of acute VTE is 1-2 cases per 1,000 population, which increases exponentially with age in both men and women [4]. It is reported that approximately 300,000 people die of VTE every year in the United States [5]. In addition to the increase in the medical burden to society, VTE can also lead to long-term disability, reduce the quality of life, and threaten the lives of patients. VTE-related healthcare costs are estimated to be $ 3.3 billion in Europe and $ 10 billion in the United States [6, 7]. Thus, a better understanding of VTE is urgent to develop appropriate preventive strategies for VTE.</w:t>
      </w:r>
    </w:p>
    <w:p w14:paraId="59D18DDC" w14:textId="2312961F" w:rsidR="003E3F53" w:rsidRPr="003E3F53" w:rsidRDefault="003E3F53" w:rsidP="008D3277">
      <w:pPr>
        <w:rPr>
          <w:rFonts w:ascii="Times New Roman" w:hAnsi="Times New Roman" w:cs="Times New Roman"/>
          <w:sz w:val="24"/>
          <w:szCs w:val="24"/>
        </w:rPr>
      </w:pPr>
      <w:r w:rsidRPr="003E3F53">
        <w:rPr>
          <w:rFonts w:ascii="Times New Roman" w:hAnsi="Times New Roman" w:cs="Times New Roman"/>
          <w:sz w:val="24"/>
          <w:szCs w:val="24"/>
        </w:rPr>
        <w:t>Currently, the preventive strategies for VTE mainly include pharmacologic and mechanical thromboprophylaxis among patients treated with knee and/or hip replacement. Mechanical thromboprophylaxis includes graduated compression stockings, intermittent pneumatic compression, venous foot pumps (VFPs), and transcutaneous electrical nerve stimulation [8]. Among these approaches, VFP is a promising method of thromboprophylaxis and is characterized by pulsed pneumatic therapy for the plantar foot by simulating the human physiological foot pump [9]. However, there is no consensus on the optimal duration of applying VFP to prevent VTE events in patients undergoing knee and hip orthopedic surgery. Whereas some studies have shown that one-hour VFP can prevent VTE, other studies have reported that 6-hour and 20-hour VFP can also reduce the incidence of VTE [10, 11]. Nonetheless, these studies were either small sample size analyses or retrospective studies. The Chinese expert consensus has recommended the use of intermittent pneumatic compression (IPC) for more than 18 hours per day. However, there needs to be high-quality evidence to support this proposition.</w:t>
      </w:r>
    </w:p>
    <w:p w14:paraId="44304FB2" w14:textId="559E7BC2" w:rsidR="003E3F53" w:rsidRDefault="003E3F53" w:rsidP="008D3277">
      <w:pPr>
        <w:rPr>
          <w:rStyle w:val="tgt0"/>
          <w:rFonts w:ascii="Segoe UI" w:hAnsi="Segoe UI" w:cs="Segoe UI"/>
          <w:color w:val="101214"/>
          <w:szCs w:val="21"/>
          <w:shd w:val="clear" w:color="auto" w:fill="FFFFFF"/>
        </w:rPr>
      </w:pPr>
      <w:r w:rsidRPr="003E3F53">
        <w:rPr>
          <w:rFonts w:ascii="Times New Roman" w:hAnsi="Times New Roman" w:cs="Times New Roman"/>
          <w:sz w:val="24"/>
          <w:szCs w:val="24"/>
        </w:rPr>
        <w:t xml:space="preserve">Our objective is to investigate the optimal duration of applying VFP for the prevention of VTE in patients receiving hip and knee arthroplasty. </w:t>
      </w:r>
    </w:p>
    <w:p w14:paraId="1287E80B" w14:textId="77777777" w:rsidR="003E3F53" w:rsidRDefault="003E3F53" w:rsidP="003E3F53">
      <w:pPr>
        <w:rPr>
          <w:rFonts w:ascii="Arial" w:hAnsi="Arial" w:cs="Arial"/>
          <w:color w:val="3C4245"/>
        </w:rPr>
      </w:pPr>
    </w:p>
    <w:p w14:paraId="2F2315BD" w14:textId="3BFEB3D1" w:rsidR="008C15BB" w:rsidRPr="00A51737" w:rsidRDefault="008C15BB" w:rsidP="008C15BB">
      <w:pPr>
        <w:pStyle w:val="3"/>
        <w:spacing w:line="240" w:lineRule="atLeast"/>
        <w:rPr>
          <w:rFonts w:ascii="Times New Roman" w:hAnsi="Times New Roman" w:cs="Times New Roman"/>
          <w:kern w:val="2"/>
          <w:sz w:val="24"/>
          <w:szCs w:val="24"/>
        </w:rPr>
      </w:pPr>
      <w:r w:rsidRPr="00A51737">
        <w:rPr>
          <w:rFonts w:ascii="Times New Roman" w:hAnsi="Times New Roman" w:cs="Times New Roman"/>
          <w:kern w:val="2"/>
          <w:sz w:val="24"/>
          <w:szCs w:val="24"/>
        </w:rPr>
        <w:t>Study design</w:t>
      </w:r>
    </w:p>
    <w:p w14:paraId="3BC78EB8" w14:textId="6A6E9270" w:rsidR="003E3F53" w:rsidRPr="003E3F53" w:rsidRDefault="003E3F53" w:rsidP="008D3277">
      <w:pPr>
        <w:rPr>
          <w:rFonts w:ascii="Times New Roman" w:hAnsi="Times New Roman" w:cs="Times New Roman"/>
          <w:sz w:val="24"/>
          <w:szCs w:val="24"/>
        </w:rPr>
      </w:pPr>
      <w:r w:rsidRPr="003E3F53">
        <w:rPr>
          <w:rFonts w:ascii="Times New Roman" w:hAnsi="Times New Roman" w:cs="Times New Roman"/>
          <w:sz w:val="24"/>
          <w:szCs w:val="24"/>
        </w:rPr>
        <w:t>A multicenter</w:t>
      </w:r>
      <w:r>
        <w:rPr>
          <w:rFonts w:ascii="Times New Roman" w:hAnsi="Times New Roman" w:cs="Times New Roman"/>
          <w:sz w:val="24"/>
          <w:szCs w:val="24"/>
        </w:rPr>
        <w:t>,</w:t>
      </w:r>
      <w:r w:rsidRPr="003E3F53">
        <w:rPr>
          <w:rFonts w:ascii="Times New Roman" w:hAnsi="Times New Roman" w:cs="Times New Roman"/>
          <w:sz w:val="24"/>
          <w:szCs w:val="24"/>
        </w:rPr>
        <w:t xml:space="preserve"> prospective</w:t>
      </w:r>
      <w:r>
        <w:rPr>
          <w:rFonts w:ascii="Times New Roman" w:hAnsi="Times New Roman" w:cs="Times New Roman"/>
          <w:sz w:val="24"/>
          <w:szCs w:val="24"/>
        </w:rPr>
        <w:t>,</w:t>
      </w:r>
      <w:r w:rsidRPr="003E3F53">
        <w:rPr>
          <w:rFonts w:ascii="Times New Roman" w:hAnsi="Times New Roman" w:cs="Times New Roman"/>
          <w:sz w:val="24"/>
          <w:szCs w:val="24"/>
        </w:rPr>
        <w:t xml:space="preserve"> randomized</w:t>
      </w:r>
      <w:r>
        <w:rPr>
          <w:rFonts w:ascii="Times New Roman" w:hAnsi="Times New Roman" w:cs="Times New Roman"/>
          <w:sz w:val="24"/>
          <w:szCs w:val="24"/>
        </w:rPr>
        <w:t xml:space="preserve"> </w:t>
      </w:r>
      <w:r w:rsidRPr="003E3F53">
        <w:rPr>
          <w:rFonts w:ascii="Times New Roman" w:hAnsi="Times New Roman" w:cs="Times New Roman"/>
          <w:sz w:val="24"/>
          <w:szCs w:val="24"/>
        </w:rPr>
        <w:t>clinical trial was conducted to generate high-quality evidence.</w:t>
      </w:r>
      <w:r w:rsidRPr="003E3F53">
        <w:t xml:space="preserve"> </w:t>
      </w:r>
      <w:r w:rsidRPr="00FE6D81">
        <w:rPr>
          <w:rFonts w:ascii="Times New Roman" w:hAnsi="Times New Roman" w:cs="Times New Roman"/>
          <w:b/>
          <w:bCs/>
          <w:sz w:val="24"/>
          <w:szCs w:val="24"/>
        </w:rPr>
        <w:t>Figure 1</w:t>
      </w:r>
      <w:r w:rsidRPr="00FE6D81">
        <w:rPr>
          <w:rFonts w:ascii="Times New Roman" w:hAnsi="Times New Roman" w:cs="Times New Roman"/>
          <w:sz w:val="24"/>
          <w:szCs w:val="24"/>
        </w:rPr>
        <w:t xml:space="preserve"> shows a</w:t>
      </w:r>
      <w:r w:rsidRPr="00FE6D81">
        <w:rPr>
          <w:rFonts w:ascii="Times New Roman" w:hAnsi="Times New Roman" w:cs="Times New Roman" w:hint="eastAsia"/>
          <w:sz w:val="24"/>
          <w:szCs w:val="24"/>
        </w:rPr>
        <w:t xml:space="preserve"> </w:t>
      </w:r>
      <w:r w:rsidRPr="00FE6D81">
        <w:rPr>
          <w:rFonts w:ascii="Times New Roman" w:hAnsi="Times New Roman" w:cs="Times New Roman"/>
          <w:sz w:val="24"/>
          <w:szCs w:val="24"/>
        </w:rPr>
        <w:t>diagram with the different phases of the study.</w:t>
      </w:r>
    </w:p>
    <w:p w14:paraId="71BAFE7C" w14:textId="77777777" w:rsidR="003E3F53" w:rsidRDefault="003E3F53" w:rsidP="003E3F53">
      <w:pPr>
        <w:rPr>
          <w:rStyle w:val="tgt0"/>
          <w:rFonts w:ascii="Segoe UI" w:hAnsi="Segoe UI" w:cs="Segoe UI"/>
          <w:color w:val="101214"/>
          <w:szCs w:val="21"/>
          <w:shd w:val="clear" w:color="auto" w:fill="FFFFFF"/>
        </w:rPr>
      </w:pPr>
    </w:p>
    <w:p w14:paraId="354539CF" w14:textId="65213E1A" w:rsidR="003E3F53" w:rsidRPr="00A51737" w:rsidRDefault="003E3F53" w:rsidP="008C15BB">
      <w:pPr>
        <w:pStyle w:val="3"/>
        <w:spacing w:line="240" w:lineRule="atLeast"/>
        <w:rPr>
          <w:rFonts w:ascii="Times New Roman" w:hAnsi="Times New Roman" w:cs="Times New Roman"/>
          <w:kern w:val="2"/>
          <w:sz w:val="24"/>
          <w:szCs w:val="24"/>
        </w:rPr>
      </w:pPr>
      <w:r w:rsidRPr="00A51737">
        <w:rPr>
          <w:rFonts w:ascii="Times New Roman" w:hAnsi="Times New Roman" w:cs="Times New Roman"/>
          <w:kern w:val="2"/>
          <w:sz w:val="24"/>
          <w:szCs w:val="24"/>
        </w:rPr>
        <w:t>Sample size calculation</w:t>
      </w:r>
    </w:p>
    <w:p w14:paraId="61EB5564" w14:textId="77777777" w:rsidR="003E3F53" w:rsidRPr="003E3F53" w:rsidRDefault="003E3F53" w:rsidP="008D3277">
      <w:pPr>
        <w:rPr>
          <w:rFonts w:ascii="Times New Roman" w:eastAsia="宋体" w:hAnsi="Times New Roman" w:cs="Times New Roman"/>
          <w:sz w:val="24"/>
          <w:szCs w:val="24"/>
        </w:rPr>
      </w:pPr>
      <w:r w:rsidRPr="003E3F53">
        <w:rPr>
          <w:rFonts w:ascii="Times New Roman" w:eastAsia="宋体" w:hAnsi="Times New Roman" w:cs="Times New Roman"/>
          <w:sz w:val="24"/>
          <w:szCs w:val="24"/>
        </w:rPr>
        <w:t xml:space="preserve">The study referred to the formula of multiple independent sample rates: n = </w:t>
      </w:r>
      <m:oMath>
        <m:r>
          <m:rPr>
            <m:sty m:val="p"/>
          </m:rPr>
          <w:rPr>
            <w:rFonts w:ascii="Cambria Math" w:eastAsia="宋体" w:hAnsi="Cambria Math" w:cs="Times New Roman"/>
            <w:sz w:val="24"/>
            <w:szCs w:val="24"/>
          </w:rPr>
          <w:lastRenderedPageBreak/>
          <m:t xml:space="preserve"> </m:t>
        </m:r>
        <m:f>
          <m:fPr>
            <m:ctrlPr>
              <w:rPr>
                <w:rFonts w:ascii="Cambria Math" w:eastAsia="宋体" w:hAnsi="Cambria Math" w:cs="Times New Roman"/>
                <w:sz w:val="24"/>
                <w:szCs w:val="24"/>
              </w:rPr>
            </m:ctrlPr>
          </m:fPr>
          <m:num>
            <m:r>
              <m:rPr>
                <m:sty m:val="p"/>
              </m:rPr>
              <w:rPr>
                <w:rFonts w:ascii="Cambria Math" w:eastAsia="宋体" w:hAnsi="Cambria Math" w:cs="Times New Roman"/>
                <w:sz w:val="24"/>
                <w:szCs w:val="24"/>
              </w:rPr>
              <m:t>1641.6 × λ</m:t>
            </m:r>
          </m:num>
          <m:den>
            <m:r>
              <m:rPr>
                <m:sty m:val="p"/>
              </m:rPr>
              <w:rPr>
                <w:rFonts w:ascii="Cambria Math" w:eastAsia="宋体" w:hAnsi="Cambria Math" w:cs="Times New Roman"/>
                <w:sz w:val="24"/>
                <w:szCs w:val="24"/>
              </w:rPr>
              <m:t>(</m:t>
            </m:r>
            <m:func>
              <m:funcPr>
                <m:ctrlPr>
                  <w:rPr>
                    <w:rFonts w:ascii="Cambria Math" w:eastAsia="宋体" w:hAnsi="Cambria Math" w:cs="Times New Roman"/>
                    <w:sz w:val="24"/>
                    <w:szCs w:val="24"/>
                  </w:rPr>
                </m:ctrlPr>
              </m:funcPr>
              <m:fName>
                <m:func>
                  <m:funcPr>
                    <m:ctrlPr>
                      <w:rPr>
                        <w:rFonts w:ascii="Cambria Math" w:eastAsia="宋体" w:hAnsi="Cambria Math" w:cs="Times New Roman"/>
                        <w:sz w:val="24"/>
                        <w:szCs w:val="24"/>
                      </w:rPr>
                    </m:ctrlPr>
                  </m:funcPr>
                  <m:fName>
                    <m:sSup>
                      <m:sSupPr>
                        <m:ctrlPr>
                          <w:rPr>
                            <w:rFonts w:ascii="Cambria Math" w:eastAsia="宋体" w:hAnsi="Cambria Math" w:cs="Times New Roman"/>
                            <w:sz w:val="24"/>
                            <w:szCs w:val="24"/>
                          </w:rPr>
                        </m:ctrlPr>
                      </m:sSupPr>
                      <m:e>
                        <m:r>
                          <m:rPr>
                            <m:sty m:val="p"/>
                          </m:rPr>
                          <w:rPr>
                            <w:rFonts w:ascii="Cambria Math" w:eastAsia="宋体" w:hAnsi="Cambria Math" w:cs="Times New Roman"/>
                            <w:sz w:val="24"/>
                            <w:szCs w:val="24"/>
                          </w:rPr>
                          <m:t>sin</m:t>
                        </m:r>
                      </m:e>
                      <m:sup>
                        <m:r>
                          <m:rPr>
                            <m:sty m:val="p"/>
                          </m:rPr>
                          <w:rPr>
                            <w:rFonts w:ascii="Cambria Math" w:eastAsia="宋体" w:hAnsi="Cambria Math" w:cs="Times New Roman"/>
                            <w:sz w:val="24"/>
                            <w:szCs w:val="24"/>
                          </w:rPr>
                          <m:t>-1</m:t>
                        </m:r>
                      </m:sup>
                    </m:sSup>
                  </m:fName>
                  <m:e>
                    <m:r>
                      <m:rPr>
                        <m:sty m:val="p"/>
                      </m:rPr>
                      <w:rPr>
                        <w:rFonts w:ascii="Cambria Math" w:eastAsia="宋体" w:hAnsi="Cambria Math" w:cs="Times New Roman"/>
                        <w:sz w:val="24"/>
                        <w:szCs w:val="24"/>
                      </w:rPr>
                      <m:t>×</m:t>
                    </m:r>
                  </m:e>
                </m:func>
                <m:rad>
                  <m:radPr>
                    <m:degHide m:val="1"/>
                    <m:ctrlPr>
                      <w:rPr>
                        <w:rFonts w:ascii="Cambria Math" w:eastAsia="宋体" w:hAnsi="Cambria Math" w:cs="Times New Roman"/>
                        <w:sz w:val="24"/>
                        <w:szCs w:val="24"/>
                      </w:rPr>
                    </m:ctrlPr>
                  </m:radPr>
                  <m:deg/>
                  <m:e>
                    <m:r>
                      <w:rPr>
                        <w:rFonts w:ascii="Cambria Math" w:eastAsia="宋体" w:hAnsi="Cambria Math" w:cs="Times New Roman"/>
                        <w:sz w:val="24"/>
                        <w:szCs w:val="24"/>
                      </w:rPr>
                      <m:t>Pmax</m:t>
                    </m:r>
                  </m:e>
                </m:rad>
              </m:fName>
              <m:e>
                <m:r>
                  <m:rPr>
                    <m:sty m:val="p"/>
                  </m:rPr>
                  <w:rPr>
                    <w:rFonts w:ascii="Cambria Math" w:eastAsia="宋体" w:hAnsi="Cambria Math" w:cs="Times New Roman"/>
                    <w:sz w:val="24"/>
                    <w:szCs w:val="24"/>
                  </w:rPr>
                  <m:t>-</m:t>
                </m:r>
                <m:func>
                  <m:funcPr>
                    <m:ctrlPr>
                      <w:rPr>
                        <w:rFonts w:ascii="Cambria Math" w:eastAsia="宋体" w:hAnsi="Cambria Math" w:cs="Times New Roman"/>
                        <w:sz w:val="24"/>
                        <w:szCs w:val="24"/>
                      </w:rPr>
                    </m:ctrlPr>
                  </m:funcPr>
                  <m:fName>
                    <m:sSup>
                      <m:sSupPr>
                        <m:ctrlPr>
                          <w:rPr>
                            <w:rFonts w:ascii="Cambria Math" w:eastAsia="宋体" w:hAnsi="Cambria Math" w:cs="Times New Roman"/>
                            <w:sz w:val="24"/>
                            <w:szCs w:val="24"/>
                          </w:rPr>
                        </m:ctrlPr>
                      </m:sSupPr>
                      <m:e>
                        <m:r>
                          <m:rPr>
                            <m:sty m:val="p"/>
                          </m:rPr>
                          <w:rPr>
                            <w:rFonts w:ascii="Cambria Math" w:eastAsia="宋体" w:hAnsi="Cambria Math" w:cs="Times New Roman"/>
                            <w:sz w:val="24"/>
                            <w:szCs w:val="24"/>
                          </w:rPr>
                          <m:t>sin</m:t>
                        </m:r>
                      </m:e>
                      <m:sup>
                        <m:r>
                          <m:rPr>
                            <m:sty m:val="p"/>
                          </m:rPr>
                          <w:rPr>
                            <w:rFonts w:ascii="Cambria Math" w:eastAsia="宋体" w:hAnsi="Cambria Math" w:cs="Times New Roman"/>
                            <w:sz w:val="24"/>
                            <w:szCs w:val="24"/>
                          </w:rPr>
                          <m:t>-1</m:t>
                        </m:r>
                      </m:sup>
                    </m:sSup>
                  </m:fName>
                  <m:e>
                    <m:r>
                      <m:rPr>
                        <m:sty m:val="p"/>
                      </m:rPr>
                      <w:rPr>
                        <w:rFonts w:ascii="Cambria Math" w:eastAsia="宋体" w:hAnsi="Cambria Math" w:cs="Times New Roman"/>
                        <w:sz w:val="24"/>
                        <w:szCs w:val="24"/>
                      </w:rPr>
                      <m:t xml:space="preserve">× </m:t>
                    </m:r>
                  </m:e>
                </m:func>
                <m:rad>
                  <m:radPr>
                    <m:degHide m:val="1"/>
                    <m:ctrlPr>
                      <w:rPr>
                        <w:rFonts w:ascii="Cambria Math" w:eastAsia="宋体" w:hAnsi="Cambria Math" w:cs="Times New Roman"/>
                        <w:sz w:val="24"/>
                        <w:szCs w:val="24"/>
                      </w:rPr>
                    </m:ctrlPr>
                  </m:radPr>
                  <m:deg/>
                  <m:e>
                    <m:r>
                      <w:rPr>
                        <w:rFonts w:ascii="Cambria Math" w:eastAsia="宋体" w:hAnsi="Cambria Math" w:cs="Times New Roman"/>
                        <w:sz w:val="24"/>
                        <w:szCs w:val="24"/>
                      </w:rPr>
                      <m:t>Pmin</m:t>
                    </m:r>
                    <m:r>
                      <m:rPr>
                        <m:sty m:val="p"/>
                      </m:rPr>
                      <w:rPr>
                        <w:rFonts w:ascii="Cambria Math" w:eastAsia="宋体" w:hAnsi="Cambria Math" w:cs="Times New Roman"/>
                        <w:sz w:val="24"/>
                        <w:szCs w:val="24"/>
                      </w:rPr>
                      <m:t>)²</m:t>
                    </m:r>
                  </m:e>
                </m:rad>
              </m:e>
            </m:func>
          </m:den>
        </m:f>
      </m:oMath>
      <w:r w:rsidRPr="003E3F53">
        <w:rPr>
          <w:rFonts w:ascii="Times New Roman" w:eastAsia="宋体" w:hAnsi="Times New Roman" w:cs="Times New Roman"/>
          <w:sz w:val="24"/>
          <w:szCs w:val="24"/>
        </w:rPr>
        <w:t xml:space="preserve">; λ is 11.94 when α = 0.05 and β = 0.20. According to the literature [15, 16], when </w:t>
      </w:r>
      <m:oMath>
        <m:r>
          <w:rPr>
            <w:rFonts w:ascii="Cambria Math" w:eastAsia="宋体" w:hAnsi="Cambria Math" w:cs="Times New Roman"/>
            <w:sz w:val="24"/>
            <w:szCs w:val="24"/>
          </w:rPr>
          <m:t>Pmax</m:t>
        </m:r>
      </m:oMath>
      <w:r w:rsidRPr="003E3F53">
        <w:rPr>
          <w:rFonts w:ascii="Times New Roman" w:eastAsia="宋体" w:hAnsi="Times New Roman" w:cs="Times New Roman"/>
          <w:sz w:val="24"/>
          <w:szCs w:val="24"/>
        </w:rPr>
        <w:t xml:space="preserve"> = 20.0% and </w:t>
      </w:r>
      <m:oMath>
        <m:r>
          <w:rPr>
            <w:rFonts w:ascii="Cambria Math" w:eastAsia="宋体" w:hAnsi="Cambria Math" w:cs="Times New Roman"/>
            <w:sz w:val="24"/>
            <w:szCs w:val="24"/>
          </w:rPr>
          <m:t>Pmin</m:t>
        </m:r>
      </m:oMath>
      <w:r w:rsidRPr="003E3F53">
        <w:rPr>
          <w:rFonts w:ascii="Times New Roman" w:eastAsia="宋体" w:hAnsi="Times New Roman" w:cs="Times New Roman"/>
          <w:sz w:val="24"/>
          <w:szCs w:val="24"/>
        </w:rPr>
        <w:t xml:space="preserve"> = 0.65%, then a sample size of n = 41 is obtained. Considering that the sample drop-out rate was 10%, at least 46 cases were enrolled in each group, and at least 230 cases overall.</w:t>
      </w:r>
    </w:p>
    <w:p w14:paraId="47585CF6" w14:textId="61F2E7B8" w:rsidR="003E3F53" w:rsidRPr="00A51737" w:rsidRDefault="003E3F53" w:rsidP="008C15BB">
      <w:pPr>
        <w:pStyle w:val="3"/>
        <w:spacing w:line="240" w:lineRule="atLeast"/>
        <w:rPr>
          <w:rFonts w:ascii="Times New Roman" w:hAnsi="Times New Roman" w:cs="Times New Roman"/>
          <w:kern w:val="2"/>
          <w:sz w:val="24"/>
          <w:szCs w:val="24"/>
        </w:rPr>
      </w:pPr>
      <w:r w:rsidRPr="00A51737">
        <w:rPr>
          <w:rFonts w:ascii="Times New Roman" w:hAnsi="Times New Roman" w:cs="Times New Roman"/>
          <w:kern w:val="2"/>
          <w:sz w:val="24"/>
          <w:szCs w:val="24"/>
        </w:rPr>
        <w:t>Study population. Sample recruitment</w:t>
      </w:r>
    </w:p>
    <w:p w14:paraId="3EB05D3A" w14:textId="2D3BB115" w:rsidR="003E3F53" w:rsidRDefault="003E3F53" w:rsidP="008D3277">
      <w:pPr>
        <w:rPr>
          <w:rFonts w:ascii="Times New Roman" w:hAnsi="Times New Roman" w:cs="Times New Roman"/>
          <w:sz w:val="24"/>
          <w:szCs w:val="24"/>
        </w:rPr>
      </w:pPr>
      <w:r>
        <w:rPr>
          <w:rFonts w:ascii="Times New Roman" w:hAnsi="Times New Roman" w:cs="Times New Roman"/>
          <w:sz w:val="24"/>
          <w:szCs w:val="24"/>
        </w:rPr>
        <w:t>P</w:t>
      </w:r>
      <w:r w:rsidRPr="003E3F53">
        <w:rPr>
          <w:rFonts w:ascii="Times New Roman" w:hAnsi="Times New Roman" w:cs="Times New Roman"/>
          <w:sz w:val="24"/>
          <w:szCs w:val="24"/>
        </w:rPr>
        <w:t>atients</w:t>
      </w:r>
      <w:r>
        <w:rPr>
          <w:rFonts w:ascii="Times New Roman" w:hAnsi="Times New Roman" w:cs="Times New Roman"/>
          <w:sz w:val="24"/>
          <w:szCs w:val="24"/>
        </w:rPr>
        <w:t xml:space="preserve"> W</w:t>
      </w:r>
      <w:r>
        <w:rPr>
          <w:rFonts w:ascii="Times New Roman" w:hAnsi="Times New Roman" w:cs="Times New Roman" w:hint="eastAsia"/>
          <w:sz w:val="24"/>
          <w:szCs w:val="24"/>
        </w:rPr>
        <w:t>ho</w:t>
      </w:r>
      <w:r w:rsidRPr="003E3F53">
        <w:rPr>
          <w:rFonts w:ascii="Times New Roman" w:hAnsi="Times New Roman" w:cs="Times New Roman"/>
          <w:sz w:val="24"/>
          <w:szCs w:val="24"/>
        </w:rPr>
        <w:t xml:space="preserve"> undergoing hip and knee arthroplasty between March 2021 and March 2022 in orthopedic departments of four major teaching hospitals, including the First Medical Center of Chinese PLA General Hospital, the Fourth Medical Center of Chinese PLA General Hospital, Hainan Hospital of Chinese PLA General Hospital, and the First Affiliated Hospital of Suzhou University, were prospectively enrolled. The inclusion criteria were as follows: (1) patients receiving hip and/or knee arthroplasty, (2) aged ≥18 years, (3) had a Caprini score of ≥3 points [12], and (4) were conscious and aware of self-identity, space, time, and expressing well-being. The exclusion criteria were as follows: (1) patients previously diagnosed with VTE, (2) unable to receive drug anticoagulation due to severe cardiac, liver, and/or kidney dysfunction, and severe organ bleeding tendency, (3) allergic to VFP equipment materials, and (4) reluctance to continue participating in the study. The criteria for withdrawal were as follows: (1) changes in condition, temporary discharge or transfer; (2) withdrawal due to personal wishes; (3) The test should be stopped immediately when the skin at the application site is red, swollen, and damaged; (4) The requirement of daily use time was not met.</w:t>
      </w:r>
    </w:p>
    <w:p w14:paraId="61BA4197" w14:textId="6F9D6D42" w:rsidR="009D4BD6" w:rsidRPr="00A51737" w:rsidRDefault="009D4BD6" w:rsidP="009D4BD6">
      <w:pPr>
        <w:pStyle w:val="3"/>
        <w:spacing w:line="240" w:lineRule="atLeast"/>
        <w:rPr>
          <w:rFonts w:ascii="Times New Roman" w:hAnsi="Times New Roman" w:cs="Times New Roman"/>
          <w:kern w:val="2"/>
          <w:sz w:val="24"/>
          <w:szCs w:val="24"/>
        </w:rPr>
      </w:pPr>
      <w:r w:rsidRPr="00A51737">
        <w:rPr>
          <w:rFonts w:ascii="Times New Roman" w:hAnsi="Times New Roman" w:cs="Times New Roman"/>
          <w:kern w:val="2"/>
          <w:sz w:val="24"/>
          <w:szCs w:val="24"/>
        </w:rPr>
        <w:t>Randomi</w:t>
      </w:r>
      <w:r w:rsidRPr="00A51737">
        <w:rPr>
          <w:rFonts w:ascii="Times New Roman" w:hAnsi="Times New Roman" w:cs="Times New Roman" w:hint="eastAsia"/>
          <w:kern w:val="2"/>
          <w:sz w:val="24"/>
          <w:szCs w:val="24"/>
        </w:rPr>
        <w:t>z</w:t>
      </w:r>
      <w:r w:rsidRPr="00A51737">
        <w:rPr>
          <w:rFonts w:ascii="Times New Roman" w:hAnsi="Times New Roman" w:cs="Times New Roman"/>
          <w:kern w:val="2"/>
          <w:sz w:val="24"/>
          <w:szCs w:val="24"/>
        </w:rPr>
        <w:t>ation and Blinding</w:t>
      </w:r>
      <w:r w:rsidR="00FC39DB" w:rsidRPr="00A51737">
        <w:rPr>
          <w:rFonts w:ascii="Times New Roman" w:hAnsi="Times New Roman" w:cs="Times New Roman"/>
          <w:kern w:val="2"/>
          <w:sz w:val="24"/>
          <w:szCs w:val="24"/>
        </w:rPr>
        <w:t xml:space="preserve"> </w:t>
      </w:r>
    </w:p>
    <w:p w14:paraId="41732435" w14:textId="76709894" w:rsidR="009D4BD6" w:rsidRDefault="009D4BD6" w:rsidP="008D3277">
      <w:pPr>
        <w:rPr>
          <w:rFonts w:ascii="Times New Roman" w:hAnsi="Times New Roman" w:cs="Times New Roman"/>
          <w:sz w:val="24"/>
          <w:szCs w:val="24"/>
        </w:rPr>
      </w:pPr>
      <w:r w:rsidRPr="009D4BD6">
        <w:rPr>
          <w:rFonts w:ascii="Times New Roman" w:hAnsi="Times New Roman" w:cs="Times New Roman"/>
          <w:sz w:val="24"/>
          <w:szCs w:val="24"/>
        </w:rPr>
        <w:t>Patients were randomly divided into five groups by computer random method based on the duration of the VFP application</w:t>
      </w:r>
      <w:r w:rsidRPr="009D4BD6">
        <w:rPr>
          <w:rFonts w:ascii="Times New Roman" w:hAnsi="Times New Roman" w:cs="Times New Roman" w:hint="eastAsia"/>
          <w:sz w:val="24"/>
          <w:szCs w:val="24"/>
        </w:rPr>
        <w:t>.</w:t>
      </w:r>
      <w:r w:rsidRPr="009D4BD6">
        <w:rPr>
          <w:rFonts w:ascii="Times New Roman" w:hAnsi="Times New Roman" w:cs="Times New Roman"/>
          <w:sz w:val="24"/>
          <w:szCs w:val="24"/>
        </w:rPr>
        <w:t xml:space="preserve"> SPSS26.0 software was used to generate a random sequence, and the random assignment scheme was saved in light-tight envelopes. Envelopes were opened sequentially in the order of enrollment, and patients were assigned to the assigned group according to the assignment scheme in the envelope. Four centers enrolled participants at the same time. Enrollment was terminated when the total number of participants reached the final required sample size. Because patients and study operators were aware of device use, the study was blinded only to study personnel who performed the ultrasonography</w:t>
      </w:r>
      <w:r w:rsidR="00FC39DB">
        <w:rPr>
          <w:rFonts w:ascii="Times New Roman" w:hAnsi="Times New Roman" w:cs="Times New Roman"/>
          <w:sz w:val="24"/>
          <w:szCs w:val="24"/>
        </w:rPr>
        <w:t xml:space="preserve">; </w:t>
      </w:r>
      <w:r w:rsidR="00FC39DB" w:rsidRPr="00FC39DB">
        <w:rPr>
          <w:rFonts w:ascii="Times New Roman" w:hAnsi="Times New Roman" w:cs="Times New Roman"/>
          <w:sz w:val="24"/>
          <w:szCs w:val="24"/>
        </w:rPr>
        <w:t>the sonographers were unaware of the study-group assignments.</w:t>
      </w:r>
      <w:r w:rsidR="00FC39DB">
        <w:rPr>
          <w:rFonts w:ascii="Times New Roman" w:hAnsi="Times New Roman" w:cs="Times New Roman"/>
          <w:sz w:val="24"/>
          <w:szCs w:val="24"/>
        </w:rPr>
        <w:t xml:space="preserve"> </w:t>
      </w:r>
      <w:r w:rsidR="00FC39DB" w:rsidRPr="00FC39DB">
        <w:rPr>
          <w:rFonts w:ascii="Times New Roman" w:hAnsi="Times New Roman" w:cs="Times New Roman"/>
          <w:sz w:val="24"/>
          <w:szCs w:val="24"/>
        </w:rPr>
        <w:t>One week after the intervention, we unblinded the participants.</w:t>
      </w:r>
    </w:p>
    <w:p w14:paraId="143CA456" w14:textId="77777777" w:rsidR="009D4BD6" w:rsidRPr="00A51737" w:rsidRDefault="009D4BD6" w:rsidP="009D4BD6">
      <w:pPr>
        <w:pStyle w:val="3"/>
        <w:spacing w:line="240" w:lineRule="atLeast"/>
        <w:rPr>
          <w:rFonts w:ascii="Times New Roman" w:hAnsi="Times New Roman" w:cs="Times New Roman"/>
          <w:kern w:val="2"/>
          <w:sz w:val="24"/>
          <w:szCs w:val="24"/>
        </w:rPr>
      </w:pPr>
      <w:r w:rsidRPr="00A51737">
        <w:rPr>
          <w:rFonts w:ascii="Times New Roman" w:hAnsi="Times New Roman" w:cs="Times New Roman"/>
          <w:kern w:val="2"/>
          <w:sz w:val="24"/>
          <w:szCs w:val="24"/>
        </w:rPr>
        <w:t>Variables and definitions</w:t>
      </w:r>
    </w:p>
    <w:p w14:paraId="62DE233B" w14:textId="1073411C" w:rsidR="009D4BD6" w:rsidRPr="009D4BD6" w:rsidRDefault="009D4BD6" w:rsidP="008D3277">
      <w:pPr>
        <w:rPr>
          <w:rFonts w:ascii="Times New Roman" w:hAnsi="Times New Roman" w:cs="Times New Roman"/>
          <w:sz w:val="24"/>
          <w:szCs w:val="24"/>
        </w:rPr>
      </w:pPr>
      <w:r w:rsidRPr="009D4BD6">
        <w:rPr>
          <w:rFonts w:ascii="Times New Roman" w:hAnsi="Times New Roman" w:cs="Times New Roman"/>
          <w:sz w:val="24"/>
          <w:szCs w:val="24"/>
        </w:rPr>
        <w:t>Patient’s baseline characteristics included (1) demographics such as age, sex, nationality, body mass index (BMI), temperature, heart rate, respiration rate, systolic blood pressure (</w:t>
      </w:r>
      <w:bookmarkStart w:id="8" w:name="_Hlk124067418"/>
      <w:r w:rsidRPr="009D4BD6">
        <w:rPr>
          <w:rFonts w:ascii="Times New Roman" w:hAnsi="Times New Roman" w:cs="Times New Roman"/>
          <w:sz w:val="24"/>
          <w:szCs w:val="24"/>
        </w:rPr>
        <w:t>SBP</w:t>
      </w:r>
      <w:bookmarkEnd w:id="8"/>
      <w:r w:rsidRPr="009D4BD6">
        <w:rPr>
          <w:rFonts w:ascii="Times New Roman" w:hAnsi="Times New Roman" w:cs="Times New Roman"/>
          <w:sz w:val="24"/>
          <w:szCs w:val="24"/>
        </w:rPr>
        <w:t xml:space="preserve">), diastolic blood pressure (DBP), blood type, hypertension, and diabetes, (2) surgery-related information such as the type of surgery, type of anesthesia, </w:t>
      </w:r>
      <w:r w:rsidRPr="009D4BD6">
        <w:rPr>
          <w:rFonts w:ascii="Times New Roman" w:hAnsi="Times New Roman" w:cs="Times New Roman"/>
          <w:sz w:val="24"/>
          <w:szCs w:val="24"/>
        </w:rPr>
        <w:lastRenderedPageBreak/>
        <w:t xml:space="preserve">blood loss, operation time, catheterization, blood transfusion, perioperative use of </w:t>
      </w:r>
      <w:proofErr w:type="spellStart"/>
      <w:r w:rsidRPr="009D4BD6">
        <w:rPr>
          <w:rFonts w:ascii="Times New Roman" w:hAnsi="Times New Roman" w:cs="Times New Roman"/>
          <w:sz w:val="24"/>
          <w:szCs w:val="24"/>
        </w:rPr>
        <w:t>hemostatics</w:t>
      </w:r>
      <w:proofErr w:type="spellEnd"/>
      <w:r w:rsidRPr="009D4BD6">
        <w:rPr>
          <w:rFonts w:ascii="Times New Roman" w:hAnsi="Times New Roman" w:cs="Times New Roman"/>
          <w:sz w:val="24"/>
          <w:szCs w:val="24"/>
        </w:rPr>
        <w:t>, drainage, and perioperative use of the hormone, and (3) preoperative laboratory examinations such as thrombin time (TT), APTT, prothrombin time (PT), D-dimer, fibrin, hemoglobin, platelet count, and erythrocyte sedimentation rate (ESR). The patient’s temperature, heart rate, respiration rate, SBP, and DBP were collected on the first day after hospitalization. Operation time was defined as the time from skin incision to skin closure.</w:t>
      </w:r>
    </w:p>
    <w:p w14:paraId="7940E3BC" w14:textId="77777777" w:rsidR="009D4BD6" w:rsidRPr="00A51737" w:rsidRDefault="009D4BD6" w:rsidP="009D4BD6">
      <w:pPr>
        <w:pStyle w:val="3"/>
        <w:spacing w:line="240" w:lineRule="atLeast"/>
        <w:rPr>
          <w:rFonts w:ascii="Times New Roman" w:hAnsi="Times New Roman" w:cs="Times New Roman"/>
          <w:kern w:val="2"/>
          <w:sz w:val="24"/>
          <w:szCs w:val="24"/>
        </w:rPr>
      </w:pPr>
      <w:r w:rsidRPr="00A51737">
        <w:rPr>
          <w:rFonts w:ascii="Times New Roman" w:hAnsi="Times New Roman" w:cs="Times New Roman"/>
          <w:kern w:val="2"/>
          <w:sz w:val="24"/>
          <w:szCs w:val="24"/>
        </w:rPr>
        <w:t>Interventions</w:t>
      </w:r>
    </w:p>
    <w:p w14:paraId="496DA55F" w14:textId="4A26DB0F" w:rsidR="009D4BD6" w:rsidRPr="009D4BD6" w:rsidRDefault="009D4BD6" w:rsidP="008D3277">
      <w:pPr>
        <w:rPr>
          <w:rFonts w:ascii="Times New Roman" w:eastAsia="宋体" w:hAnsi="Times New Roman" w:cs="Times New Roman"/>
          <w:b/>
          <w:bCs/>
          <w:sz w:val="24"/>
          <w:szCs w:val="24"/>
        </w:rPr>
      </w:pPr>
      <w:r w:rsidRPr="009D4BD6">
        <w:rPr>
          <w:rFonts w:ascii="Times New Roman" w:eastAsia="宋体" w:hAnsi="Times New Roman" w:cs="Times New Roman"/>
          <w:sz w:val="24"/>
          <w:szCs w:val="24"/>
        </w:rPr>
        <w:t>All patients received pharmacologic and mechanical thromboprophylaxis [5]. Patients were administered an anticoagulant agent (</w:t>
      </w:r>
      <w:proofErr w:type="spellStart"/>
      <w:r w:rsidRPr="009D4BD6">
        <w:rPr>
          <w:rFonts w:ascii="Times New Roman" w:eastAsia="宋体" w:hAnsi="Times New Roman" w:cs="Times New Roman"/>
          <w:sz w:val="24"/>
          <w:szCs w:val="24"/>
        </w:rPr>
        <w:t>dalteparin</w:t>
      </w:r>
      <w:proofErr w:type="spellEnd"/>
      <w:r w:rsidRPr="009D4BD6">
        <w:rPr>
          <w:rFonts w:ascii="Times New Roman" w:eastAsia="宋体" w:hAnsi="Times New Roman" w:cs="Times New Roman"/>
          <w:sz w:val="24"/>
          <w:szCs w:val="24"/>
        </w:rPr>
        <w:t xml:space="preserve">, 5000 IU per day) from the first day after surgery to discharge. Regarding mechanical thromboprophylaxis, all patients were treated with bilateral lower extremity VFP (CWHEAL, CWH-8000). The pressure value was set as 130 mmHg, and the inflation and pressurization durations were 3s and 20s, respectively. All patients in each group were applied continuously except for getting out of bed. If the application was suspended midway, each application should not be less than 30min, and the interval time should not exceed 10min. According to the group of patients, the daily application time was set as follows: </w:t>
      </w:r>
      <w:bookmarkStart w:id="9" w:name="_Hlk133422188"/>
      <w:r w:rsidRPr="009D4BD6">
        <w:rPr>
          <w:rFonts w:ascii="Times New Roman" w:eastAsia="宋体" w:hAnsi="Times New Roman" w:cs="Times New Roman" w:hint="eastAsia"/>
          <w:sz w:val="24"/>
          <w:szCs w:val="24"/>
        </w:rPr>
        <w:t>g</w:t>
      </w:r>
      <w:r w:rsidRPr="009D4BD6">
        <w:rPr>
          <w:rFonts w:ascii="Times New Roman" w:eastAsia="宋体" w:hAnsi="Times New Roman" w:cs="Times New Roman"/>
          <w:sz w:val="24"/>
          <w:szCs w:val="24"/>
        </w:rPr>
        <w:t>roup A 1h/d, group B 6h/d, group C 12h/d, group D 18h/d, and group E 20h/d.</w:t>
      </w:r>
      <w:r w:rsidRPr="009D4BD6">
        <w:rPr>
          <w:rFonts w:ascii="Times New Roman" w:eastAsia="宋体" w:hAnsi="Times New Roman" w:cs="Times New Roman"/>
          <w:b/>
          <w:bCs/>
          <w:sz w:val="24"/>
          <w:szCs w:val="24"/>
        </w:rPr>
        <w:t xml:space="preserve"> </w:t>
      </w:r>
      <w:bookmarkEnd w:id="9"/>
    </w:p>
    <w:p w14:paraId="0ABD0AA7" w14:textId="77777777" w:rsidR="009D4BD6" w:rsidRPr="00A51737" w:rsidRDefault="009D4BD6" w:rsidP="009D4BD6">
      <w:pPr>
        <w:pStyle w:val="3"/>
        <w:spacing w:line="240" w:lineRule="atLeast"/>
        <w:rPr>
          <w:rFonts w:ascii="Times New Roman" w:hAnsi="Times New Roman" w:cs="Times New Roman"/>
          <w:kern w:val="2"/>
          <w:sz w:val="24"/>
          <w:szCs w:val="24"/>
        </w:rPr>
      </w:pPr>
      <w:r w:rsidRPr="00A51737">
        <w:rPr>
          <w:rFonts w:ascii="Times New Roman" w:hAnsi="Times New Roman" w:cs="Times New Roman"/>
          <w:kern w:val="2"/>
          <w:sz w:val="24"/>
          <w:szCs w:val="24"/>
        </w:rPr>
        <w:t>Primary outcome</w:t>
      </w:r>
    </w:p>
    <w:p w14:paraId="114E70C1" w14:textId="77777777" w:rsidR="009D4BD6" w:rsidRPr="009D4BD6" w:rsidRDefault="009D4BD6" w:rsidP="008D3277">
      <w:pPr>
        <w:rPr>
          <w:rFonts w:ascii="Times New Roman" w:eastAsia="宋体" w:hAnsi="Times New Roman" w:cs="Times New Roman"/>
          <w:sz w:val="24"/>
          <w:szCs w:val="24"/>
        </w:rPr>
      </w:pPr>
      <w:r w:rsidRPr="009D4BD6">
        <w:rPr>
          <w:rFonts w:ascii="Times New Roman" w:eastAsia="宋体" w:hAnsi="Times New Roman" w:cs="Times New Roman"/>
          <w:sz w:val="24"/>
          <w:szCs w:val="24"/>
        </w:rPr>
        <w:t>The primary outcome was postoperative DVT, including proximal DVTs such as thromboses in the popliteal vein, femoral vein, or iliac vein, distal DVTs such as thromboses in the anterior tibial vein, posterior tibial vein, or peroneal vein, and intermuscular DVT. DVT was examined using color Doppler flow imaging at postoperative day 3. The diagnostic criteria of DVT were: (1) dilated vena cava, (2) substantial echo, and (3) intraluminal filling defect. If the symptoms of PE were observed in patients, pulmonary arteriography was applied.</w:t>
      </w:r>
    </w:p>
    <w:p w14:paraId="0948458D" w14:textId="77777777" w:rsidR="009D4BD6" w:rsidRPr="00A51737" w:rsidRDefault="009D4BD6" w:rsidP="009D4BD6">
      <w:pPr>
        <w:pStyle w:val="3"/>
        <w:spacing w:line="240" w:lineRule="atLeast"/>
        <w:rPr>
          <w:rFonts w:ascii="Times New Roman" w:hAnsi="Times New Roman" w:cs="Times New Roman"/>
          <w:kern w:val="2"/>
          <w:sz w:val="24"/>
          <w:szCs w:val="24"/>
        </w:rPr>
      </w:pPr>
      <w:r w:rsidRPr="00A51737">
        <w:rPr>
          <w:rFonts w:ascii="Times New Roman" w:hAnsi="Times New Roman" w:cs="Times New Roman"/>
          <w:kern w:val="2"/>
          <w:sz w:val="24"/>
          <w:szCs w:val="24"/>
        </w:rPr>
        <w:t>Secondary outcome</w:t>
      </w:r>
    </w:p>
    <w:p w14:paraId="70630C94" w14:textId="6771011E" w:rsidR="009D4BD6" w:rsidRPr="00A51737" w:rsidRDefault="009D4BD6" w:rsidP="008D3277">
      <w:pPr>
        <w:rPr>
          <w:rFonts w:ascii="Times New Roman" w:eastAsia="宋体" w:hAnsi="Times New Roman" w:cs="Times New Roman"/>
          <w:sz w:val="24"/>
          <w:szCs w:val="24"/>
        </w:rPr>
      </w:pPr>
      <w:r w:rsidRPr="009D4BD6">
        <w:rPr>
          <w:rFonts w:ascii="Times New Roman" w:eastAsia="宋体" w:hAnsi="Times New Roman" w:cs="Times New Roman"/>
          <w:sz w:val="24"/>
          <w:szCs w:val="24"/>
        </w:rPr>
        <w:t>The secondary outcome included postoperative blood coagulation examinations, such as D-dimer and active partial thromboplastin time (APTT), pain outcome, and the degree of comfort. D-dimer and APTT were recorded on postoperative days 1 and 3. The visual analog scale (VAS) [17] was used to assess pain outcome, and a 100-point scale was used to assess the degree of comfort, with a higher score indicating greater comfort when using the VFP.</w:t>
      </w:r>
    </w:p>
    <w:p w14:paraId="27932710" w14:textId="77777777" w:rsidR="009D4BD6" w:rsidRPr="009D4BD6" w:rsidRDefault="009D4BD6" w:rsidP="007D5E86"/>
    <w:p w14:paraId="4035F1DC" w14:textId="77777777" w:rsidR="009D4BD6" w:rsidRPr="009D4BD6" w:rsidRDefault="009D4BD6" w:rsidP="009D4BD6">
      <w:pPr>
        <w:pStyle w:val="3"/>
        <w:spacing w:line="240" w:lineRule="atLeast"/>
        <w:rPr>
          <w:rFonts w:ascii="Times New Roman" w:hAnsi="Times New Roman" w:cs="Times New Roman"/>
          <w:color w:val="3C4245"/>
          <w:sz w:val="24"/>
          <w:szCs w:val="24"/>
        </w:rPr>
      </w:pPr>
      <w:r w:rsidRPr="009D4BD6">
        <w:rPr>
          <w:rFonts w:ascii="Times New Roman" w:hAnsi="Times New Roman" w:cs="Times New Roman"/>
          <w:color w:val="3C4245"/>
          <w:sz w:val="24"/>
          <w:szCs w:val="24"/>
        </w:rPr>
        <w:t>Quality control</w:t>
      </w:r>
    </w:p>
    <w:p w14:paraId="708C49B4" w14:textId="77777777" w:rsidR="009D4BD6" w:rsidRPr="009D4BD6" w:rsidRDefault="009D4BD6" w:rsidP="008D3277">
      <w:pPr>
        <w:rPr>
          <w:rFonts w:ascii="Times New Roman" w:eastAsia="宋体" w:hAnsi="Times New Roman" w:cs="Times New Roman"/>
          <w:sz w:val="24"/>
          <w:szCs w:val="24"/>
        </w:rPr>
      </w:pPr>
      <w:r w:rsidRPr="009D4BD6">
        <w:rPr>
          <w:rFonts w:ascii="Times New Roman" w:eastAsia="宋体" w:hAnsi="Times New Roman" w:cs="Times New Roman"/>
          <w:sz w:val="24"/>
          <w:szCs w:val="24"/>
        </w:rPr>
        <w:t xml:space="preserve">A series of measures were considered to guarantee the quality of the study. Firstly, all investigators were trained on how to evaluate patients using the Caprini thrombus risk </w:t>
      </w:r>
      <w:r w:rsidRPr="009D4BD6">
        <w:rPr>
          <w:rFonts w:ascii="Times New Roman" w:eastAsia="宋体" w:hAnsi="Times New Roman" w:cs="Times New Roman"/>
          <w:sz w:val="24"/>
          <w:szCs w:val="24"/>
        </w:rPr>
        <w:lastRenderedPageBreak/>
        <w:t xml:space="preserve">assessment scale, and all patients received the same education on thrombus prevention, including signs and symptoms of VTE and bleeding, the importance of seeking help if symptoms develop, and conservative measures to prevent VTE such as ambulation and avoiding dehydration. Secondly, an ultrasound physician with the same qualification was designated to complete the ultrasound examination and diagnosis of VTE for enrolled patients in each center. In addition, ultrasound physicians were blinded </w:t>
      </w:r>
      <w:r w:rsidRPr="009D4BD6">
        <w:rPr>
          <w:rFonts w:ascii="Times New Roman" w:eastAsia="宋体" w:hAnsi="Times New Roman" w:cs="Times New Roman" w:hint="eastAsia"/>
          <w:sz w:val="24"/>
          <w:szCs w:val="24"/>
        </w:rPr>
        <w:t>to</w:t>
      </w:r>
      <w:r w:rsidRPr="009D4BD6">
        <w:rPr>
          <w:rFonts w:ascii="Times New Roman" w:eastAsia="宋体" w:hAnsi="Times New Roman" w:cs="Times New Roman"/>
          <w:sz w:val="24"/>
          <w:szCs w:val="24"/>
        </w:rPr>
        <w:t xml:space="preserve"> </w:t>
      </w:r>
      <w:r w:rsidRPr="009D4BD6">
        <w:rPr>
          <w:rFonts w:ascii="Times New Roman" w:eastAsia="宋体" w:hAnsi="Times New Roman" w:cs="Times New Roman" w:hint="eastAsia"/>
          <w:sz w:val="24"/>
          <w:szCs w:val="24"/>
        </w:rPr>
        <w:t>the</w:t>
      </w:r>
      <w:r w:rsidRPr="009D4BD6">
        <w:rPr>
          <w:rFonts w:ascii="Times New Roman" w:eastAsia="宋体" w:hAnsi="Times New Roman" w:cs="Times New Roman"/>
          <w:sz w:val="24"/>
          <w:szCs w:val="24"/>
        </w:rPr>
        <w:t xml:space="preserve"> patient’s categories. Thirdly, Each center designated a responsible nurse as a researcher in the center to collect the data. The unified data collection form and the same type of measuring instrument were used to ensure the compliance of data collection and reduce measurement bias. T</w:t>
      </w:r>
      <w:r w:rsidRPr="009D4BD6">
        <w:rPr>
          <w:rFonts w:ascii="Times New Roman" w:eastAsia="宋体" w:hAnsi="Times New Roman" w:cs="Times New Roman" w:hint="eastAsia"/>
          <w:sz w:val="24"/>
          <w:szCs w:val="24"/>
        </w:rPr>
        <w:t>he</w:t>
      </w:r>
      <w:r w:rsidRPr="009D4BD6">
        <w:rPr>
          <w:rFonts w:ascii="Times New Roman" w:eastAsia="宋体" w:hAnsi="Times New Roman" w:cs="Times New Roman"/>
          <w:sz w:val="24"/>
          <w:szCs w:val="24"/>
        </w:rPr>
        <w:t xml:space="preserve"> data were regularly recorded and summarized, and quality control was monitored and audited at any time to ensure the integrity and accuracy of all data.</w:t>
      </w:r>
    </w:p>
    <w:p w14:paraId="50F474DA" w14:textId="709824A7" w:rsidR="009D4BD6" w:rsidRPr="009D4BD6" w:rsidRDefault="009D4BD6" w:rsidP="009D4BD6">
      <w:pPr>
        <w:pStyle w:val="3"/>
        <w:spacing w:line="240" w:lineRule="atLeast"/>
        <w:rPr>
          <w:rFonts w:ascii="Times New Roman" w:hAnsi="Times New Roman" w:cs="Times New Roman"/>
          <w:color w:val="3C4245"/>
          <w:sz w:val="24"/>
          <w:szCs w:val="24"/>
        </w:rPr>
      </w:pPr>
      <w:r w:rsidRPr="009D4BD6">
        <w:rPr>
          <w:rFonts w:ascii="Times New Roman" w:hAnsi="Times New Roman" w:cs="Times New Roman"/>
          <w:color w:val="3C4245"/>
          <w:sz w:val="24"/>
          <w:szCs w:val="24"/>
        </w:rPr>
        <w:t>Statistical analysis</w:t>
      </w:r>
    </w:p>
    <w:p w14:paraId="4D33AFC7" w14:textId="6B044E55" w:rsidR="009D4BD6" w:rsidRDefault="009D4BD6" w:rsidP="008D3277">
      <w:pPr>
        <w:rPr>
          <w:rFonts w:ascii="Times New Roman" w:eastAsia="宋体" w:hAnsi="Times New Roman" w:cs="Times New Roman"/>
          <w:sz w:val="24"/>
          <w:szCs w:val="24"/>
        </w:rPr>
      </w:pPr>
      <w:r w:rsidRPr="009D4BD6">
        <w:rPr>
          <w:rFonts w:ascii="Times New Roman" w:eastAsia="宋体" w:hAnsi="Times New Roman" w:cs="Times New Roman"/>
          <w:sz w:val="24"/>
          <w:szCs w:val="24"/>
        </w:rPr>
        <w:t>Categorical variables were expressed as proportion and continuous variables as the mean ± standard deviation. The chi-square test was utilized to evaluate differences between categorical variables and analysis of variance (ANOVA) was used to compare the means between three or more groups for continuous variables. Repeated measures ANOVA was used to analyze D-dimer and APTT. If sphericity was violated (Mauchly’s Test of Sphericity), Greenhouse-</w:t>
      </w:r>
      <w:proofErr w:type="spellStart"/>
      <w:r w:rsidRPr="009D4BD6">
        <w:rPr>
          <w:rFonts w:ascii="Times New Roman" w:eastAsia="宋体" w:hAnsi="Times New Roman" w:cs="Times New Roman"/>
          <w:sz w:val="24"/>
          <w:szCs w:val="24"/>
        </w:rPr>
        <w:t>Geisser</w:t>
      </w:r>
      <w:proofErr w:type="spellEnd"/>
      <w:r w:rsidRPr="009D4BD6">
        <w:rPr>
          <w:rFonts w:ascii="Times New Roman" w:eastAsia="宋体" w:hAnsi="Times New Roman" w:cs="Times New Roman"/>
          <w:sz w:val="24"/>
          <w:szCs w:val="24"/>
        </w:rPr>
        <w:t xml:space="preserve"> correction was applied. Multivariate analysis was used to screen potential risk factors for predicting DVT, and the area under the receiver operating characteristic (AUROC) curve was used to evaluate the predictive performance of each significant variable. All data were analyzed using SPSS (Version 26.0) or R programing language (Version 4.1.2). </w:t>
      </w:r>
      <w:r w:rsidR="00FC39DB" w:rsidRPr="00FC39DB">
        <w:rPr>
          <w:rFonts w:ascii="Times New Roman" w:eastAsia="宋体" w:hAnsi="Times New Roman" w:cs="Times New Roman"/>
          <w:sz w:val="24"/>
          <w:szCs w:val="24"/>
        </w:rPr>
        <w:t>As this is a multicenter study, a center effect will be implemented.</w:t>
      </w:r>
      <w:r w:rsidR="00FC39DB">
        <w:rPr>
          <w:rFonts w:ascii="Times New Roman" w:eastAsia="宋体" w:hAnsi="Times New Roman" w:cs="Times New Roman"/>
          <w:sz w:val="24"/>
          <w:szCs w:val="24"/>
        </w:rPr>
        <w:t xml:space="preserve"> </w:t>
      </w:r>
      <w:r w:rsidRPr="009D4BD6">
        <w:rPr>
          <w:rFonts w:ascii="Times New Roman" w:eastAsia="宋体" w:hAnsi="Times New Roman" w:cs="Times New Roman"/>
          <w:sz w:val="24"/>
          <w:szCs w:val="24"/>
        </w:rPr>
        <w:t>A P-value of less than 0.05 (two-sided) was considered statistically significant.</w:t>
      </w:r>
    </w:p>
    <w:p w14:paraId="05A7446A" w14:textId="01FB75D7" w:rsidR="009D4BD6" w:rsidRPr="007D5E86" w:rsidRDefault="007D5E86" w:rsidP="009D4BD6">
      <w:pPr>
        <w:pStyle w:val="3"/>
        <w:spacing w:line="240" w:lineRule="atLeast"/>
        <w:rPr>
          <w:rFonts w:ascii="Times New Roman" w:hAnsi="Times New Roman" w:cs="Times New Roman"/>
          <w:color w:val="3C4245"/>
          <w:sz w:val="24"/>
          <w:szCs w:val="24"/>
        </w:rPr>
      </w:pPr>
      <w:r w:rsidRPr="007D5E86">
        <w:rPr>
          <w:rFonts w:ascii="Times New Roman" w:hAnsi="Times New Roman" w:cs="Times New Roman"/>
          <w:color w:val="3C4245"/>
          <w:sz w:val="24"/>
          <w:szCs w:val="24"/>
        </w:rPr>
        <w:t>Expected outcomes of the study</w:t>
      </w:r>
    </w:p>
    <w:p w14:paraId="0DACB836" w14:textId="7F9305A1" w:rsidR="009D4BD6" w:rsidRDefault="007D5E86" w:rsidP="008D3277">
      <w:pPr>
        <w:rPr>
          <w:rFonts w:ascii="Times New Roman" w:eastAsia="宋体" w:hAnsi="Times New Roman" w:cs="Times New Roman"/>
          <w:sz w:val="24"/>
          <w:szCs w:val="24"/>
        </w:rPr>
      </w:pPr>
      <w:r w:rsidRPr="007D5E86">
        <w:rPr>
          <w:rFonts w:ascii="Times New Roman" w:eastAsia="宋体" w:hAnsi="Times New Roman" w:cs="Times New Roman"/>
          <w:sz w:val="24"/>
          <w:szCs w:val="24"/>
        </w:rPr>
        <w:t>To compare the effects of different application durations of VFP on VTE prevention after TJA, and to explore the best daily application duration, so as to provide scientific basis for clinical practice.</w:t>
      </w:r>
    </w:p>
    <w:p w14:paraId="13CF03DA" w14:textId="77777777" w:rsidR="00FC39DB" w:rsidRPr="00FC39DB" w:rsidRDefault="00FC39DB" w:rsidP="00FC39DB">
      <w:pPr>
        <w:pStyle w:val="3"/>
        <w:spacing w:line="240" w:lineRule="atLeast"/>
        <w:rPr>
          <w:rFonts w:ascii="Times New Roman" w:hAnsi="Times New Roman" w:cs="Times New Roman"/>
          <w:color w:val="3C4245"/>
          <w:sz w:val="24"/>
          <w:szCs w:val="24"/>
        </w:rPr>
      </w:pPr>
      <w:r w:rsidRPr="00FC39DB">
        <w:rPr>
          <w:rFonts w:ascii="Times New Roman" w:hAnsi="Times New Roman" w:cs="Times New Roman"/>
          <w:color w:val="3C4245"/>
          <w:sz w:val="24"/>
          <w:szCs w:val="24"/>
        </w:rPr>
        <w:t>Acknowledgments</w:t>
      </w:r>
      <w:bookmarkStart w:id="10" w:name="_Hlk112601021"/>
      <w:r w:rsidRPr="00FC39DB">
        <w:rPr>
          <w:rFonts w:ascii="Times New Roman" w:hAnsi="Times New Roman" w:cs="Times New Roman"/>
          <w:color w:val="3C4245"/>
          <w:sz w:val="24"/>
          <w:szCs w:val="24"/>
        </w:rPr>
        <w:t xml:space="preserve"> </w:t>
      </w:r>
    </w:p>
    <w:p w14:paraId="464BDF2F" w14:textId="3DBF76B1" w:rsidR="00FC39DB" w:rsidRPr="008D3277" w:rsidRDefault="00FC39DB" w:rsidP="008D3277">
      <w:pPr>
        <w:rPr>
          <w:rFonts w:ascii="Times New Roman" w:eastAsia="宋体" w:hAnsi="Times New Roman" w:cs="Times New Roman"/>
          <w:b/>
          <w:bCs/>
          <w:sz w:val="20"/>
          <w:szCs w:val="20"/>
        </w:rPr>
      </w:pPr>
      <w:r w:rsidRPr="00FC39DB">
        <w:rPr>
          <w:rFonts w:ascii="Times New Roman" w:eastAsia="宋体" w:hAnsi="Times New Roman" w:cs="Times New Roman"/>
          <w:sz w:val="24"/>
          <w:szCs w:val="24"/>
        </w:rPr>
        <w:t xml:space="preserve">We appreciated the funding support of the Military Medical Transformation Project of PLA General Hospital (ZH19009), the Innovation Project of the National Clinical Research Center for </w:t>
      </w:r>
      <w:proofErr w:type="spellStart"/>
      <w:r w:rsidRPr="00FC39DB">
        <w:rPr>
          <w:rFonts w:ascii="Times New Roman" w:eastAsia="宋体" w:hAnsi="Times New Roman" w:cs="Times New Roman"/>
          <w:sz w:val="24"/>
          <w:szCs w:val="24"/>
        </w:rPr>
        <w:t>Orthopaedics</w:t>
      </w:r>
      <w:proofErr w:type="spellEnd"/>
      <w:r w:rsidRPr="00FC39DB">
        <w:rPr>
          <w:rFonts w:ascii="Times New Roman" w:eastAsia="宋体" w:hAnsi="Times New Roman" w:cs="Times New Roman"/>
          <w:sz w:val="24"/>
          <w:szCs w:val="24"/>
        </w:rPr>
        <w:t xml:space="preserve"> and Sports Rehabilitation of China (2021-NCRC-CXJJ-ZH-36).</w:t>
      </w:r>
      <w:bookmarkEnd w:id="10"/>
    </w:p>
    <w:p w14:paraId="04AC622C" w14:textId="78B0B4B1" w:rsidR="00FC39DB" w:rsidRPr="00FC39DB" w:rsidRDefault="00FC39DB" w:rsidP="00FC39DB">
      <w:pPr>
        <w:pStyle w:val="3"/>
        <w:spacing w:line="240" w:lineRule="atLeast"/>
        <w:rPr>
          <w:rFonts w:ascii="Times New Roman" w:hAnsi="Times New Roman" w:cs="Times New Roman"/>
          <w:color w:val="3C4245"/>
          <w:sz w:val="24"/>
          <w:szCs w:val="24"/>
        </w:rPr>
      </w:pPr>
      <w:r w:rsidRPr="00FC39DB">
        <w:rPr>
          <w:rFonts w:ascii="Times New Roman" w:hAnsi="Times New Roman" w:cs="Times New Roman"/>
          <w:color w:val="3C4245"/>
          <w:sz w:val="24"/>
          <w:szCs w:val="24"/>
        </w:rPr>
        <w:t>Funding</w:t>
      </w:r>
    </w:p>
    <w:p w14:paraId="1A8EDD63" w14:textId="5534A8D4" w:rsidR="00FC39DB" w:rsidRDefault="00FC39DB" w:rsidP="008D3277">
      <w:pPr>
        <w:rPr>
          <w:rFonts w:ascii="Times New Roman" w:hAnsi="Times New Roman" w:cs="Times New Roman"/>
          <w:sz w:val="24"/>
          <w:szCs w:val="24"/>
        </w:rPr>
      </w:pPr>
      <w:r w:rsidRPr="00FC39DB">
        <w:rPr>
          <w:rFonts w:ascii="Times New Roman" w:hAnsi="Times New Roman" w:cs="Times New Roman"/>
          <w:sz w:val="24"/>
          <w:szCs w:val="24"/>
        </w:rPr>
        <w:t xml:space="preserve">This study was funded by the Military Medical Transformation Project of PLA General Hospital (ZH19009), the Innovation Project of the National Clinical Research Center </w:t>
      </w:r>
      <w:r w:rsidRPr="00FC39DB">
        <w:rPr>
          <w:rFonts w:ascii="Times New Roman" w:hAnsi="Times New Roman" w:cs="Times New Roman"/>
          <w:sz w:val="24"/>
          <w:szCs w:val="24"/>
        </w:rPr>
        <w:lastRenderedPageBreak/>
        <w:t xml:space="preserve">for </w:t>
      </w:r>
      <w:proofErr w:type="spellStart"/>
      <w:r w:rsidRPr="00FC39DB">
        <w:rPr>
          <w:rFonts w:ascii="Times New Roman" w:hAnsi="Times New Roman" w:cs="Times New Roman"/>
          <w:sz w:val="24"/>
          <w:szCs w:val="24"/>
        </w:rPr>
        <w:t>Orthopaedics</w:t>
      </w:r>
      <w:proofErr w:type="spellEnd"/>
      <w:r w:rsidRPr="00FC39DB">
        <w:rPr>
          <w:rFonts w:ascii="Times New Roman" w:hAnsi="Times New Roman" w:cs="Times New Roman"/>
          <w:sz w:val="24"/>
          <w:szCs w:val="24"/>
        </w:rPr>
        <w:t xml:space="preserve"> and Sports Rehabilitation of China (2021-NCRC-CXJJ-ZH-36). We declare that the funds, grants, or other support were not used to prepare this manuscript.</w:t>
      </w:r>
    </w:p>
    <w:p w14:paraId="45355863" w14:textId="77777777" w:rsidR="00FC39DB" w:rsidRPr="00FC39DB" w:rsidRDefault="00FC39DB" w:rsidP="00FC39DB">
      <w:pPr>
        <w:pStyle w:val="3"/>
        <w:spacing w:line="240" w:lineRule="atLeast"/>
        <w:rPr>
          <w:rFonts w:ascii="Times New Roman" w:hAnsi="Times New Roman" w:cs="Times New Roman"/>
          <w:color w:val="3C4245"/>
          <w:sz w:val="24"/>
          <w:szCs w:val="24"/>
        </w:rPr>
      </w:pPr>
      <w:r w:rsidRPr="00FC39DB">
        <w:rPr>
          <w:rFonts w:ascii="Times New Roman" w:hAnsi="Times New Roman" w:cs="Times New Roman"/>
          <w:color w:val="3C4245"/>
          <w:sz w:val="24"/>
          <w:szCs w:val="24"/>
        </w:rPr>
        <w:t>Availability of data and materials</w:t>
      </w:r>
    </w:p>
    <w:p w14:paraId="1C5240DB" w14:textId="19B8AD3B" w:rsidR="00FC39DB" w:rsidRPr="00FC39DB" w:rsidRDefault="00FC39DB" w:rsidP="008D3277">
      <w:pPr>
        <w:rPr>
          <w:rFonts w:ascii="Times New Roman" w:hAnsi="Times New Roman" w:cs="Times New Roman"/>
          <w:sz w:val="24"/>
          <w:szCs w:val="24"/>
        </w:rPr>
      </w:pPr>
      <w:r w:rsidRPr="00FC39DB">
        <w:rPr>
          <w:rFonts w:ascii="Times New Roman" w:hAnsi="Times New Roman" w:cs="Times New Roman"/>
          <w:sz w:val="24"/>
          <w:szCs w:val="24"/>
        </w:rPr>
        <w:t>Data and materials are available upon reasonable request with the permission of the corresponding authors.</w:t>
      </w:r>
    </w:p>
    <w:p w14:paraId="4A93C0D6" w14:textId="48036AAA" w:rsidR="00FC39DB" w:rsidRDefault="00FC39DB" w:rsidP="00FC39DB">
      <w:pPr>
        <w:pStyle w:val="3"/>
        <w:spacing w:line="240" w:lineRule="atLeast"/>
        <w:rPr>
          <w:rFonts w:ascii="Times New Roman" w:hAnsi="Times New Roman" w:cs="Times New Roman"/>
          <w:color w:val="3C4245"/>
          <w:sz w:val="24"/>
          <w:szCs w:val="24"/>
        </w:rPr>
      </w:pPr>
      <w:r w:rsidRPr="00FC39DB">
        <w:rPr>
          <w:rFonts w:ascii="Times New Roman" w:hAnsi="Times New Roman" w:cs="Times New Roman"/>
          <w:color w:val="3C4245"/>
          <w:sz w:val="24"/>
          <w:szCs w:val="24"/>
        </w:rPr>
        <w:t>Authors’ contributions</w:t>
      </w:r>
    </w:p>
    <w:p w14:paraId="461FDF6A" w14:textId="5CDA7CEF" w:rsidR="00FC39DB" w:rsidRPr="00FC39DB" w:rsidRDefault="00FC39DB" w:rsidP="008D3277">
      <w:pPr>
        <w:rPr>
          <w:rFonts w:ascii="Times New Roman" w:hAnsi="Times New Roman" w:cs="Times New Roman"/>
          <w:sz w:val="24"/>
          <w:szCs w:val="24"/>
        </w:rPr>
      </w:pPr>
      <w:r w:rsidRPr="00FC39DB">
        <w:rPr>
          <w:rFonts w:ascii="Times New Roman" w:hAnsi="Times New Roman" w:cs="Times New Roman"/>
          <w:sz w:val="24"/>
          <w:szCs w:val="24"/>
        </w:rPr>
        <w:t>Conception and design of the study: YG and SG. Data processing and analysis: SG and ML. Interpretation of the results: SG, ML, JL, YC, DK, and YG. Drafting of the article: SG, ML, YC, YG, and DK. Critical revision of the article for important intellectual content: SG, ML, JL, YC, WYL, MZ, HZ, MM, DK, and YG. DK and YG kept the data analyzed in the present study and take full responsibility for the content, integrity, and accuracy of the work reported. All authors approved the final manuscript.</w:t>
      </w:r>
    </w:p>
    <w:p w14:paraId="437C7338" w14:textId="77777777" w:rsidR="00FC39DB" w:rsidRPr="00FC39DB" w:rsidRDefault="00FC39DB" w:rsidP="00FC39DB">
      <w:pPr>
        <w:pStyle w:val="3"/>
        <w:spacing w:line="240" w:lineRule="atLeast"/>
        <w:rPr>
          <w:rFonts w:ascii="Times New Roman" w:hAnsi="Times New Roman" w:cs="Times New Roman"/>
          <w:color w:val="3C4245"/>
          <w:sz w:val="24"/>
          <w:szCs w:val="24"/>
        </w:rPr>
      </w:pPr>
      <w:r w:rsidRPr="00FC39DB">
        <w:rPr>
          <w:rFonts w:ascii="Times New Roman" w:hAnsi="Times New Roman" w:cs="Times New Roman"/>
          <w:color w:val="3C4245"/>
          <w:sz w:val="24"/>
          <w:szCs w:val="24"/>
        </w:rPr>
        <w:t>Ethics approval and consent to participate</w:t>
      </w:r>
    </w:p>
    <w:p w14:paraId="3C56CFD1" w14:textId="738E10A3" w:rsidR="00FC39DB" w:rsidRPr="00FE6D81" w:rsidRDefault="00FC39DB" w:rsidP="008D3277">
      <w:pPr>
        <w:rPr>
          <w:rFonts w:ascii="Times New Roman" w:hAnsi="Times New Roman" w:cs="Times New Roman"/>
          <w:sz w:val="24"/>
          <w:szCs w:val="24"/>
        </w:rPr>
      </w:pPr>
      <w:r w:rsidRPr="00FC39DB">
        <w:rPr>
          <w:rFonts w:ascii="Times New Roman" w:hAnsi="Times New Roman" w:cs="Times New Roman"/>
          <w:sz w:val="24"/>
          <w:szCs w:val="24"/>
        </w:rPr>
        <w:t xml:space="preserve">All patients voluntarily participated in the study and written informed consent was obtained from each patient. This study has been approved </w:t>
      </w:r>
      <w:r w:rsidR="007F7E83">
        <w:rPr>
          <w:rFonts w:ascii="Times New Roman" w:hAnsi="Times New Roman" w:cs="Times New Roman"/>
          <w:sz w:val="24"/>
          <w:szCs w:val="24"/>
        </w:rPr>
        <w:t xml:space="preserve">by </w:t>
      </w:r>
      <w:r w:rsidRPr="00FC39DB">
        <w:rPr>
          <w:rFonts w:ascii="Times New Roman" w:hAnsi="Times New Roman" w:cs="Times New Roman"/>
          <w:sz w:val="24"/>
          <w:szCs w:val="24"/>
        </w:rPr>
        <w:t>the Medical Ethics Committee of Chinese PLA General Hospital (No. 2021-002-01) and the First Affiliated Hospital of Suzhou University (No. 2021053).</w:t>
      </w:r>
      <w:r w:rsidRPr="00FC39DB">
        <w:t xml:space="preserve"> </w:t>
      </w:r>
      <w:r w:rsidRPr="00FC39DB">
        <w:rPr>
          <w:rFonts w:ascii="Times New Roman" w:hAnsi="Times New Roman" w:cs="Times New Roman"/>
          <w:sz w:val="24"/>
          <w:szCs w:val="24"/>
        </w:rPr>
        <w:t>The study will</w:t>
      </w:r>
      <w:r>
        <w:rPr>
          <w:rFonts w:ascii="Times New Roman" w:hAnsi="Times New Roman" w:cs="Times New Roman" w:hint="eastAsia"/>
          <w:sz w:val="24"/>
          <w:szCs w:val="24"/>
        </w:rPr>
        <w:t xml:space="preserve"> </w:t>
      </w:r>
      <w:r w:rsidRPr="00FC39DB">
        <w:rPr>
          <w:rFonts w:ascii="Times New Roman" w:hAnsi="Times New Roman" w:cs="Times New Roman"/>
          <w:sz w:val="24"/>
          <w:szCs w:val="24"/>
        </w:rPr>
        <w:t>follow the ethical principles for medical research involving human subjects of</w:t>
      </w:r>
      <w:r>
        <w:rPr>
          <w:rFonts w:ascii="Times New Roman" w:hAnsi="Times New Roman" w:cs="Times New Roman" w:hint="eastAsia"/>
          <w:sz w:val="24"/>
          <w:szCs w:val="24"/>
        </w:rPr>
        <w:t xml:space="preserve"> </w:t>
      </w:r>
      <w:r w:rsidRPr="00FC39DB">
        <w:rPr>
          <w:rFonts w:ascii="Times New Roman" w:hAnsi="Times New Roman" w:cs="Times New Roman"/>
          <w:sz w:val="24"/>
          <w:szCs w:val="24"/>
        </w:rPr>
        <w:t>the Declaration of Helsinki, All subjects will provide informed consent to participate.</w:t>
      </w:r>
    </w:p>
    <w:p w14:paraId="675D098A" w14:textId="447B366F" w:rsidR="00FC39DB" w:rsidRPr="00FE6D81" w:rsidRDefault="00FC39DB" w:rsidP="00FC39DB">
      <w:pPr>
        <w:pStyle w:val="3"/>
        <w:spacing w:line="240" w:lineRule="atLeast"/>
        <w:rPr>
          <w:rFonts w:ascii="Times New Roman" w:hAnsi="Times New Roman" w:cs="Times New Roman"/>
          <w:color w:val="3C4245"/>
          <w:sz w:val="24"/>
          <w:szCs w:val="24"/>
        </w:rPr>
      </w:pPr>
      <w:r w:rsidRPr="00FE6D81">
        <w:rPr>
          <w:rFonts w:ascii="Times New Roman" w:hAnsi="Times New Roman" w:cs="Times New Roman"/>
          <w:color w:val="3C4245"/>
          <w:sz w:val="24"/>
          <w:szCs w:val="24"/>
        </w:rPr>
        <w:t xml:space="preserve">References </w:t>
      </w:r>
    </w:p>
    <w:p w14:paraId="25F07CE0" w14:textId="77777777" w:rsidR="00FE6D81" w:rsidRPr="00FE6D81" w:rsidRDefault="00FE6D81" w:rsidP="00FE6D81">
      <w:pPr>
        <w:wordWrap w:val="0"/>
        <w:ind w:left="720" w:hanging="720"/>
        <w:rPr>
          <w:rFonts w:ascii="Times New Roman" w:eastAsia="等线" w:hAnsi="Times New Roman" w:cs="Times New Roman"/>
          <w:sz w:val="24"/>
          <w:szCs w:val="24"/>
        </w:rPr>
      </w:pPr>
      <w:bookmarkStart w:id="11" w:name="_ENREF_1"/>
      <w:r w:rsidRPr="00FE6D81">
        <w:rPr>
          <w:rFonts w:ascii="Times New Roman" w:eastAsia="等线" w:hAnsi="Times New Roman" w:cs="Times New Roman"/>
          <w:sz w:val="24"/>
          <w:szCs w:val="24"/>
        </w:rPr>
        <w:t>1.</w:t>
      </w:r>
      <w:r w:rsidRPr="00FE6D81">
        <w:rPr>
          <w:rFonts w:ascii="Times New Roman" w:eastAsia="等线" w:hAnsi="Times New Roman" w:cs="Times New Roman"/>
          <w:sz w:val="24"/>
          <w:szCs w:val="24"/>
        </w:rPr>
        <w:tab/>
        <w:t xml:space="preserve">Geerts WH, Code KI, Jay RM, Chen E, </w:t>
      </w:r>
      <w:proofErr w:type="spellStart"/>
      <w:r w:rsidRPr="00FE6D81">
        <w:rPr>
          <w:rFonts w:ascii="Times New Roman" w:eastAsia="等线" w:hAnsi="Times New Roman" w:cs="Times New Roman"/>
          <w:sz w:val="24"/>
          <w:szCs w:val="24"/>
        </w:rPr>
        <w:t>Szalai</w:t>
      </w:r>
      <w:proofErr w:type="spellEnd"/>
      <w:r w:rsidRPr="00FE6D81">
        <w:rPr>
          <w:rFonts w:ascii="Times New Roman" w:eastAsia="等线" w:hAnsi="Times New Roman" w:cs="Times New Roman"/>
          <w:sz w:val="24"/>
          <w:szCs w:val="24"/>
        </w:rPr>
        <w:t xml:space="preserve"> JP (1994) A prospective study of venous thromboembolism after major trauma. N </w:t>
      </w:r>
      <w:proofErr w:type="spellStart"/>
      <w:r w:rsidRPr="00FE6D81">
        <w:rPr>
          <w:rFonts w:ascii="Times New Roman" w:eastAsia="等线" w:hAnsi="Times New Roman" w:cs="Times New Roman"/>
          <w:sz w:val="24"/>
          <w:szCs w:val="24"/>
        </w:rPr>
        <w:t>Engl</w:t>
      </w:r>
      <w:proofErr w:type="spellEnd"/>
      <w:r w:rsidRPr="00FE6D81">
        <w:rPr>
          <w:rFonts w:ascii="Times New Roman" w:eastAsia="等线" w:hAnsi="Times New Roman" w:cs="Times New Roman"/>
          <w:sz w:val="24"/>
          <w:szCs w:val="24"/>
        </w:rPr>
        <w:t xml:space="preserve"> J Med 331:1601-1606. </w:t>
      </w:r>
      <w:hyperlink r:id="rId6" w:history="1">
        <w:r w:rsidRPr="00FE6D81">
          <w:rPr>
            <w:rFonts w:ascii="Times New Roman" w:eastAsia="等线" w:hAnsi="Times New Roman" w:cs="Times New Roman"/>
            <w:color w:val="0000FF"/>
            <w:sz w:val="24"/>
            <w:szCs w:val="24"/>
            <w:u w:val="single"/>
          </w:rPr>
          <w:t>https://doi.org/10.1056/nejm199412153312401</w:t>
        </w:r>
        <w:bookmarkEnd w:id="11"/>
      </w:hyperlink>
    </w:p>
    <w:p w14:paraId="15F3696E" w14:textId="77777777" w:rsidR="00FE6D81" w:rsidRPr="00FE6D81" w:rsidRDefault="00FE6D81" w:rsidP="00FE6D81">
      <w:pPr>
        <w:wordWrap w:val="0"/>
        <w:ind w:left="720" w:hanging="720"/>
        <w:rPr>
          <w:rFonts w:ascii="Times New Roman" w:eastAsia="等线" w:hAnsi="Times New Roman" w:cs="Times New Roman"/>
          <w:sz w:val="24"/>
          <w:szCs w:val="24"/>
        </w:rPr>
      </w:pPr>
      <w:bookmarkStart w:id="12" w:name="_ENREF_2"/>
      <w:r w:rsidRPr="00FE6D81">
        <w:rPr>
          <w:rFonts w:ascii="Times New Roman" w:eastAsia="等线" w:hAnsi="Times New Roman" w:cs="Times New Roman"/>
          <w:sz w:val="24"/>
          <w:szCs w:val="24"/>
        </w:rPr>
        <w:t>2.</w:t>
      </w:r>
      <w:r w:rsidRPr="00FE6D81">
        <w:rPr>
          <w:rFonts w:ascii="Times New Roman" w:eastAsia="等线" w:hAnsi="Times New Roman" w:cs="Times New Roman"/>
          <w:sz w:val="24"/>
          <w:szCs w:val="24"/>
        </w:rPr>
        <w:tab/>
        <w:t xml:space="preserve">ISTH Steering Committee for World Thrombosis Day (2014) Thrombosis: a major contributor to global disease burden. Thromb Res 134:931-938. </w:t>
      </w:r>
      <w:hyperlink r:id="rId7" w:history="1">
        <w:r w:rsidRPr="00FE6D81">
          <w:rPr>
            <w:rFonts w:ascii="Times New Roman" w:eastAsia="等线" w:hAnsi="Times New Roman" w:cs="Times New Roman"/>
            <w:color w:val="0000FF"/>
            <w:sz w:val="24"/>
            <w:szCs w:val="24"/>
            <w:u w:val="single"/>
          </w:rPr>
          <w:t>https://doi.org/10.1016/j.thromres.2014.08.014</w:t>
        </w:r>
        <w:bookmarkEnd w:id="12"/>
      </w:hyperlink>
    </w:p>
    <w:p w14:paraId="36206273" w14:textId="77777777" w:rsidR="00FE6D81" w:rsidRPr="00FE6D81" w:rsidRDefault="00FE6D81" w:rsidP="00FE6D81">
      <w:pPr>
        <w:wordWrap w:val="0"/>
        <w:ind w:left="720" w:hanging="720"/>
        <w:rPr>
          <w:rFonts w:ascii="Times New Roman" w:eastAsia="等线" w:hAnsi="Times New Roman" w:cs="Times New Roman"/>
          <w:sz w:val="24"/>
          <w:szCs w:val="24"/>
        </w:rPr>
      </w:pPr>
      <w:bookmarkStart w:id="13" w:name="_ENREF_3"/>
      <w:r w:rsidRPr="00FE6D81">
        <w:rPr>
          <w:rFonts w:ascii="Times New Roman" w:eastAsia="等线" w:hAnsi="Times New Roman" w:cs="Times New Roman"/>
          <w:sz w:val="24"/>
          <w:szCs w:val="24"/>
        </w:rPr>
        <w:t>3.</w:t>
      </w:r>
      <w:r w:rsidRPr="00FE6D81">
        <w:rPr>
          <w:rFonts w:ascii="Times New Roman" w:eastAsia="等线" w:hAnsi="Times New Roman" w:cs="Times New Roman"/>
          <w:sz w:val="24"/>
          <w:szCs w:val="24"/>
        </w:rPr>
        <w:tab/>
        <w:t xml:space="preserve">Santana DC, </w:t>
      </w:r>
      <w:proofErr w:type="spellStart"/>
      <w:r w:rsidRPr="00FE6D81">
        <w:rPr>
          <w:rFonts w:ascii="Times New Roman" w:eastAsia="等线" w:hAnsi="Times New Roman" w:cs="Times New Roman"/>
          <w:sz w:val="24"/>
          <w:szCs w:val="24"/>
        </w:rPr>
        <w:t>Emara</w:t>
      </w:r>
      <w:proofErr w:type="spellEnd"/>
      <w:r w:rsidRPr="00FE6D81">
        <w:rPr>
          <w:rFonts w:ascii="Times New Roman" w:eastAsia="等线" w:hAnsi="Times New Roman" w:cs="Times New Roman"/>
          <w:sz w:val="24"/>
          <w:szCs w:val="24"/>
        </w:rPr>
        <w:t xml:space="preserve"> AK, Orr MN, </w:t>
      </w:r>
      <w:proofErr w:type="spellStart"/>
      <w:r w:rsidRPr="00FE6D81">
        <w:rPr>
          <w:rFonts w:ascii="Times New Roman" w:eastAsia="等线" w:hAnsi="Times New Roman" w:cs="Times New Roman"/>
          <w:sz w:val="24"/>
          <w:szCs w:val="24"/>
        </w:rPr>
        <w:t>Klika</w:t>
      </w:r>
      <w:proofErr w:type="spellEnd"/>
      <w:r w:rsidRPr="00FE6D81">
        <w:rPr>
          <w:rFonts w:ascii="Times New Roman" w:eastAsia="等线" w:hAnsi="Times New Roman" w:cs="Times New Roman"/>
          <w:sz w:val="24"/>
          <w:szCs w:val="24"/>
        </w:rPr>
        <w:t xml:space="preserve"> AK, Higuera CA, Krebs VE, Molloy RM, </w:t>
      </w:r>
      <w:proofErr w:type="spellStart"/>
      <w:r w:rsidRPr="00FE6D81">
        <w:rPr>
          <w:rFonts w:ascii="Times New Roman" w:eastAsia="等线" w:hAnsi="Times New Roman" w:cs="Times New Roman"/>
          <w:sz w:val="24"/>
          <w:szCs w:val="24"/>
        </w:rPr>
        <w:t>Piuzzi</w:t>
      </w:r>
      <w:proofErr w:type="spellEnd"/>
      <w:r w:rsidRPr="00FE6D81">
        <w:rPr>
          <w:rFonts w:ascii="Times New Roman" w:eastAsia="等线" w:hAnsi="Times New Roman" w:cs="Times New Roman"/>
          <w:sz w:val="24"/>
          <w:szCs w:val="24"/>
        </w:rPr>
        <w:t xml:space="preserve"> NS (2020) </w:t>
      </w:r>
      <w:bookmarkStart w:id="14" w:name="OLE_LINK11"/>
      <w:r w:rsidRPr="00FE6D81">
        <w:rPr>
          <w:rFonts w:ascii="Times New Roman" w:eastAsia="等线" w:hAnsi="Times New Roman" w:cs="Times New Roman"/>
          <w:sz w:val="24"/>
          <w:szCs w:val="24"/>
        </w:rPr>
        <w:t xml:space="preserve">An Update on Venous Thromboembolism Rates and Prophylaxis in Hip and Knee Arthroplasty in 2020. </w:t>
      </w:r>
      <w:bookmarkEnd w:id="14"/>
      <w:proofErr w:type="spellStart"/>
      <w:r w:rsidRPr="00FE6D81">
        <w:rPr>
          <w:rFonts w:ascii="Times New Roman" w:eastAsia="等线" w:hAnsi="Times New Roman" w:cs="Times New Roman"/>
          <w:sz w:val="24"/>
          <w:szCs w:val="24"/>
        </w:rPr>
        <w:t>Medicina</w:t>
      </w:r>
      <w:proofErr w:type="spellEnd"/>
      <w:r w:rsidRPr="00FE6D81">
        <w:rPr>
          <w:rFonts w:ascii="Times New Roman" w:eastAsia="等线" w:hAnsi="Times New Roman" w:cs="Times New Roman"/>
          <w:sz w:val="24"/>
          <w:szCs w:val="24"/>
        </w:rPr>
        <w:t xml:space="preserve"> (Kaunas) 19:56-59. </w:t>
      </w:r>
      <w:hyperlink r:id="rId8" w:history="1">
        <w:r w:rsidRPr="00FE6D81">
          <w:rPr>
            <w:rFonts w:ascii="Times New Roman" w:eastAsia="等线" w:hAnsi="Times New Roman" w:cs="Times New Roman"/>
            <w:color w:val="0000FF"/>
            <w:sz w:val="24"/>
            <w:szCs w:val="24"/>
            <w:u w:val="single"/>
          </w:rPr>
          <w:t>https://doi.org/10.3390/medicina56090416</w:t>
        </w:r>
        <w:bookmarkEnd w:id="13"/>
      </w:hyperlink>
    </w:p>
    <w:p w14:paraId="136DA62E" w14:textId="77777777" w:rsidR="00FE6D81" w:rsidRPr="00FE6D81" w:rsidRDefault="00FE6D81" w:rsidP="00FE6D81">
      <w:pPr>
        <w:wordWrap w:val="0"/>
        <w:ind w:left="720" w:hanging="720"/>
        <w:rPr>
          <w:rFonts w:ascii="Times New Roman" w:eastAsia="等线" w:hAnsi="Times New Roman" w:cs="Times New Roman"/>
          <w:sz w:val="24"/>
          <w:szCs w:val="24"/>
        </w:rPr>
      </w:pPr>
      <w:bookmarkStart w:id="15" w:name="_ENREF_4"/>
      <w:r w:rsidRPr="00FE6D81">
        <w:rPr>
          <w:rFonts w:ascii="Times New Roman" w:eastAsia="等线" w:hAnsi="Times New Roman" w:cs="Times New Roman"/>
          <w:sz w:val="24"/>
          <w:szCs w:val="24"/>
        </w:rPr>
        <w:t>4.</w:t>
      </w:r>
      <w:r w:rsidRPr="00FE6D81">
        <w:rPr>
          <w:rFonts w:ascii="Times New Roman" w:eastAsia="等线" w:hAnsi="Times New Roman" w:cs="Times New Roman"/>
          <w:sz w:val="24"/>
          <w:szCs w:val="24"/>
        </w:rPr>
        <w:tab/>
        <w:t xml:space="preserve">Heit JA (2015) Epidemiology of venous thromboembolism. Nat Rev </w:t>
      </w:r>
      <w:proofErr w:type="spellStart"/>
      <w:r w:rsidRPr="00FE6D81">
        <w:rPr>
          <w:rFonts w:ascii="Times New Roman" w:eastAsia="等线" w:hAnsi="Times New Roman" w:cs="Times New Roman"/>
          <w:sz w:val="24"/>
          <w:szCs w:val="24"/>
        </w:rPr>
        <w:t>Cardiol</w:t>
      </w:r>
      <w:proofErr w:type="spellEnd"/>
      <w:r w:rsidRPr="00FE6D81">
        <w:rPr>
          <w:rFonts w:ascii="Times New Roman" w:eastAsia="等线" w:hAnsi="Times New Roman" w:cs="Times New Roman"/>
          <w:sz w:val="24"/>
          <w:szCs w:val="24"/>
        </w:rPr>
        <w:t xml:space="preserve"> 12:464-474. </w:t>
      </w:r>
      <w:hyperlink r:id="rId9" w:history="1">
        <w:r w:rsidRPr="00FE6D81">
          <w:rPr>
            <w:rFonts w:ascii="Times New Roman" w:eastAsia="等线" w:hAnsi="Times New Roman" w:cs="Times New Roman"/>
            <w:color w:val="0000FF"/>
            <w:sz w:val="24"/>
            <w:szCs w:val="24"/>
            <w:u w:val="single"/>
          </w:rPr>
          <w:t>https://doi.org/10.1038/nrcardio.2015.83</w:t>
        </w:r>
        <w:bookmarkEnd w:id="15"/>
      </w:hyperlink>
    </w:p>
    <w:p w14:paraId="708CE25D" w14:textId="77777777" w:rsidR="00FE6D81" w:rsidRPr="00FE6D81" w:rsidRDefault="00FE6D81" w:rsidP="00FE6D81">
      <w:pPr>
        <w:wordWrap w:val="0"/>
        <w:ind w:left="720" w:hanging="720"/>
        <w:rPr>
          <w:rFonts w:ascii="Times New Roman" w:eastAsia="等线" w:hAnsi="Times New Roman" w:cs="Times New Roman"/>
          <w:sz w:val="24"/>
          <w:szCs w:val="24"/>
        </w:rPr>
      </w:pPr>
      <w:bookmarkStart w:id="16" w:name="_ENREF_5"/>
      <w:r w:rsidRPr="00FE6D81">
        <w:rPr>
          <w:rFonts w:ascii="Times New Roman" w:eastAsia="等线" w:hAnsi="Times New Roman" w:cs="Times New Roman"/>
          <w:sz w:val="24"/>
          <w:szCs w:val="24"/>
        </w:rPr>
        <w:t>5.</w:t>
      </w:r>
      <w:r w:rsidRPr="00FE6D81">
        <w:rPr>
          <w:rFonts w:ascii="Times New Roman" w:eastAsia="等线" w:hAnsi="Times New Roman" w:cs="Times New Roman"/>
          <w:sz w:val="24"/>
          <w:szCs w:val="24"/>
        </w:rPr>
        <w:tab/>
        <w:t xml:space="preserve">Raskob GE, Silverstein R, </w:t>
      </w:r>
      <w:proofErr w:type="spellStart"/>
      <w:r w:rsidRPr="00FE6D81">
        <w:rPr>
          <w:rFonts w:ascii="Times New Roman" w:eastAsia="等线" w:hAnsi="Times New Roman" w:cs="Times New Roman"/>
          <w:sz w:val="24"/>
          <w:szCs w:val="24"/>
        </w:rPr>
        <w:t>Bratzler</w:t>
      </w:r>
      <w:proofErr w:type="spellEnd"/>
      <w:r w:rsidRPr="00FE6D81">
        <w:rPr>
          <w:rFonts w:ascii="Times New Roman" w:eastAsia="等线" w:hAnsi="Times New Roman" w:cs="Times New Roman"/>
          <w:sz w:val="24"/>
          <w:szCs w:val="24"/>
        </w:rPr>
        <w:t xml:space="preserve"> DW, Heit JA, White RH (2010) Surveillance for deep vein thrombosis and pulmonary embolism: recommendations from a national workshop. Am J </w:t>
      </w:r>
      <w:proofErr w:type="spellStart"/>
      <w:r w:rsidRPr="00FE6D81">
        <w:rPr>
          <w:rFonts w:ascii="Times New Roman" w:eastAsia="等线" w:hAnsi="Times New Roman" w:cs="Times New Roman"/>
          <w:sz w:val="24"/>
          <w:szCs w:val="24"/>
        </w:rPr>
        <w:t>Prev</w:t>
      </w:r>
      <w:proofErr w:type="spellEnd"/>
      <w:r w:rsidRPr="00FE6D81">
        <w:rPr>
          <w:rFonts w:ascii="Times New Roman" w:eastAsia="等线" w:hAnsi="Times New Roman" w:cs="Times New Roman"/>
          <w:sz w:val="24"/>
          <w:szCs w:val="24"/>
        </w:rPr>
        <w:t xml:space="preserve"> Med 38:S502-509. </w:t>
      </w:r>
      <w:hyperlink r:id="rId10" w:history="1">
        <w:r w:rsidRPr="00FE6D81">
          <w:rPr>
            <w:rFonts w:ascii="Times New Roman" w:eastAsia="等线" w:hAnsi="Times New Roman" w:cs="Times New Roman"/>
            <w:color w:val="0000FF"/>
            <w:sz w:val="24"/>
            <w:szCs w:val="24"/>
            <w:u w:val="single"/>
          </w:rPr>
          <w:t>https://doi.org/10.1016/j.amepre.2010.01.010</w:t>
        </w:r>
        <w:bookmarkEnd w:id="16"/>
      </w:hyperlink>
    </w:p>
    <w:p w14:paraId="67D4F7B4" w14:textId="77777777" w:rsidR="00FE6D81" w:rsidRPr="00FE6D81" w:rsidRDefault="00FE6D81" w:rsidP="00FE6D81">
      <w:pPr>
        <w:wordWrap w:val="0"/>
        <w:ind w:left="720" w:hanging="720"/>
        <w:rPr>
          <w:rFonts w:ascii="Times New Roman" w:eastAsia="等线" w:hAnsi="Times New Roman" w:cs="Times New Roman"/>
          <w:sz w:val="24"/>
          <w:szCs w:val="24"/>
        </w:rPr>
      </w:pPr>
      <w:bookmarkStart w:id="17" w:name="_ENREF_6"/>
      <w:r w:rsidRPr="00FE6D81">
        <w:rPr>
          <w:rFonts w:ascii="Times New Roman" w:eastAsia="等线" w:hAnsi="Times New Roman" w:cs="Times New Roman"/>
          <w:sz w:val="24"/>
          <w:szCs w:val="24"/>
        </w:rPr>
        <w:t>6.</w:t>
      </w:r>
      <w:r w:rsidRPr="00FE6D81">
        <w:rPr>
          <w:rFonts w:ascii="Times New Roman" w:eastAsia="等线" w:hAnsi="Times New Roman" w:cs="Times New Roman"/>
          <w:sz w:val="24"/>
          <w:szCs w:val="24"/>
        </w:rPr>
        <w:tab/>
        <w:t xml:space="preserve">Barco S, </w:t>
      </w:r>
      <w:proofErr w:type="spellStart"/>
      <w:r w:rsidRPr="00FE6D81">
        <w:rPr>
          <w:rFonts w:ascii="Times New Roman" w:eastAsia="等线" w:hAnsi="Times New Roman" w:cs="Times New Roman"/>
          <w:sz w:val="24"/>
          <w:szCs w:val="24"/>
        </w:rPr>
        <w:t>Woersching</w:t>
      </w:r>
      <w:proofErr w:type="spellEnd"/>
      <w:r w:rsidRPr="00FE6D81">
        <w:rPr>
          <w:rFonts w:ascii="Times New Roman" w:eastAsia="等线" w:hAnsi="Times New Roman" w:cs="Times New Roman"/>
          <w:sz w:val="24"/>
          <w:szCs w:val="24"/>
        </w:rPr>
        <w:t xml:space="preserve"> AL, Spyropoulos AC, </w:t>
      </w:r>
      <w:proofErr w:type="spellStart"/>
      <w:r w:rsidRPr="00FE6D81">
        <w:rPr>
          <w:rFonts w:ascii="Times New Roman" w:eastAsia="等线" w:hAnsi="Times New Roman" w:cs="Times New Roman"/>
          <w:sz w:val="24"/>
          <w:szCs w:val="24"/>
        </w:rPr>
        <w:t>Piovella</w:t>
      </w:r>
      <w:proofErr w:type="spellEnd"/>
      <w:r w:rsidRPr="00FE6D81">
        <w:rPr>
          <w:rFonts w:ascii="Times New Roman" w:eastAsia="等线" w:hAnsi="Times New Roman" w:cs="Times New Roman"/>
          <w:sz w:val="24"/>
          <w:szCs w:val="24"/>
        </w:rPr>
        <w:t xml:space="preserve"> F, Mahan CE (201</w:t>
      </w:r>
      <w:r w:rsidRPr="00FE6D81">
        <w:rPr>
          <w:rFonts w:ascii="Times New Roman" w:eastAsia="等线" w:hAnsi="Times New Roman" w:cs="Times New Roman"/>
          <w:sz w:val="24"/>
          <w:szCs w:val="24"/>
        </w:rPr>
        <w:lastRenderedPageBreak/>
        <w:t xml:space="preserve">6) European Union-28: An </w:t>
      </w:r>
      <w:proofErr w:type="spellStart"/>
      <w:r w:rsidRPr="00FE6D81">
        <w:rPr>
          <w:rFonts w:ascii="Times New Roman" w:eastAsia="等线" w:hAnsi="Times New Roman" w:cs="Times New Roman"/>
          <w:sz w:val="24"/>
          <w:szCs w:val="24"/>
        </w:rPr>
        <w:t>annualised</w:t>
      </w:r>
      <w:proofErr w:type="spellEnd"/>
      <w:r w:rsidRPr="00FE6D81">
        <w:rPr>
          <w:rFonts w:ascii="Times New Roman" w:eastAsia="等线" w:hAnsi="Times New Roman" w:cs="Times New Roman"/>
          <w:sz w:val="24"/>
          <w:szCs w:val="24"/>
        </w:rPr>
        <w:t xml:space="preserve"> cost-of-illness model for venous thromboembolism. Thromb Haemost 115:800-808. </w:t>
      </w:r>
      <w:hyperlink r:id="rId11" w:history="1">
        <w:r w:rsidRPr="00FE6D81">
          <w:rPr>
            <w:rFonts w:ascii="Times New Roman" w:eastAsia="等线" w:hAnsi="Times New Roman" w:cs="Times New Roman"/>
            <w:color w:val="0000FF"/>
            <w:sz w:val="24"/>
            <w:szCs w:val="24"/>
            <w:u w:val="single"/>
          </w:rPr>
          <w:t>https://doi.org/10.1160/th15-08-0670</w:t>
        </w:r>
        <w:bookmarkEnd w:id="17"/>
      </w:hyperlink>
    </w:p>
    <w:p w14:paraId="702FA036" w14:textId="77777777" w:rsidR="00FE6D81" w:rsidRPr="00FE6D81" w:rsidRDefault="00FE6D81" w:rsidP="00FE6D81">
      <w:pPr>
        <w:wordWrap w:val="0"/>
        <w:ind w:left="720" w:hanging="720"/>
        <w:rPr>
          <w:rFonts w:ascii="Times New Roman" w:eastAsia="等线" w:hAnsi="Times New Roman" w:cs="Times New Roman"/>
          <w:sz w:val="24"/>
          <w:szCs w:val="24"/>
        </w:rPr>
      </w:pPr>
      <w:bookmarkStart w:id="18" w:name="_ENREF_7"/>
      <w:r w:rsidRPr="00FE6D81">
        <w:rPr>
          <w:rFonts w:ascii="Times New Roman" w:eastAsia="等线" w:hAnsi="Times New Roman" w:cs="Times New Roman"/>
          <w:sz w:val="24"/>
          <w:szCs w:val="24"/>
        </w:rPr>
        <w:t>7.</w:t>
      </w:r>
      <w:r w:rsidRPr="00FE6D81">
        <w:rPr>
          <w:rFonts w:ascii="Times New Roman" w:eastAsia="等线" w:hAnsi="Times New Roman" w:cs="Times New Roman"/>
          <w:sz w:val="24"/>
          <w:szCs w:val="24"/>
        </w:rPr>
        <w:tab/>
        <w:t xml:space="preserve">Grosse SD, Nelson RE, Nyarko KA, Richardson LC, Raskob GE (2016) The economic burden of incident venous thromboembolism in the United States: A review of estimated attributable healthcare costs. Thromb Res 137:3-10. </w:t>
      </w:r>
      <w:hyperlink r:id="rId12" w:history="1">
        <w:r w:rsidRPr="00FE6D81">
          <w:rPr>
            <w:rFonts w:ascii="Times New Roman" w:eastAsia="等线" w:hAnsi="Times New Roman" w:cs="Times New Roman"/>
            <w:color w:val="0000FF"/>
            <w:sz w:val="24"/>
            <w:szCs w:val="24"/>
            <w:u w:val="single"/>
          </w:rPr>
          <w:t>https://doi.org/10.1016/j.thromres.2015.11.033</w:t>
        </w:r>
        <w:bookmarkEnd w:id="18"/>
      </w:hyperlink>
    </w:p>
    <w:p w14:paraId="6E222011" w14:textId="77777777" w:rsidR="00FE6D81" w:rsidRPr="00FE6D81" w:rsidRDefault="00FE6D81" w:rsidP="00FE6D81">
      <w:pPr>
        <w:wordWrap w:val="0"/>
        <w:ind w:left="720" w:hanging="720"/>
        <w:rPr>
          <w:rFonts w:ascii="Times New Roman" w:eastAsia="等线" w:hAnsi="Times New Roman" w:cs="Times New Roman"/>
          <w:sz w:val="24"/>
          <w:szCs w:val="24"/>
        </w:rPr>
      </w:pPr>
      <w:bookmarkStart w:id="19" w:name="_ENREF_8"/>
      <w:r w:rsidRPr="00FE6D81">
        <w:rPr>
          <w:rFonts w:ascii="Times New Roman" w:eastAsia="等线" w:hAnsi="Times New Roman" w:cs="Times New Roman"/>
          <w:sz w:val="24"/>
          <w:szCs w:val="24"/>
        </w:rPr>
        <w:t>8.</w:t>
      </w:r>
      <w:r w:rsidRPr="00FE6D81">
        <w:rPr>
          <w:rFonts w:ascii="Times New Roman" w:eastAsia="等线" w:hAnsi="Times New Roman" w:cs="Times New Roman"/>
          <w:sz w:val="24"/>
          <w:szCs w:val="24"/>
        </w:rPr>
        <w:tab/>
      </w:r>
      <w:proofErr w:type="spellStart"/>
      <w:r w:rsidRPr="00FE6D81">
        <w:rPr>
          <w:rFonts w:ascii="Times New Roman" w:eastAsia="等线" w:hAnsi="Times New Roman" w:cs="Times New Roman"/>
          <w:sz w:val="24"/>
          <w:szCs w:val="24"/>
        </w:rPr>
        <w:t>Kakkos</w:t>
      </w:r>
      <w:proofErr w:type="spellEnd"/>
      <w:r w:rsidRPr="00FE6D81">
        <w:rPr>
          <w:rFonts w:ascii="Times New Roman" w:eastAsia="等线" w:hAnsi="Times New Roman" w:cs="Times New Roman"/>
          <w:sz w:val="24"/>
          <w:szCs w:val="24"/>
        </w:rPr>
        <w:t xml:space="preserve"> SK, Gohel M, </w:t>
      </w:r>
      <w:proofErr w:type="spellStart"/>
      <w:r w:rsidRPr="00FE6D81">
        <w:rPr>
          <w:rFonts w:ascii="Times New Roman" w:eastAsia="等线" w:hAnsi="Times New Roman" w:cs="Times New Roman"/>
          <w:sz w:val="24"/>
          <w:szCs w:val="24"/>
        </w:rPr>
        <w:t>Baekgaard</w:t>
      </w:r>
      <w:proofErr w:type="spellEnd"/>
      <w:r w:rsidRPr="00FE6D81">
        <w:rPr>
          <w:rFonts w:ascii="Times New Roman" w:eastAsia="等线" w:hAnsi="Times New Roman" w:cs="Times New Roman"/>
          <w:sz w:val="24"/>
          <w:szCs w:val="24"/>
        </w:rPr>
        <w:t xml:space="preserve"> N, </w:t>
      </w:r>
      <w:r w:rsidRPr="00FE6D81">
        <w:rPr>
          <w:rFonts w:ascii="Times New Roman" w:eastAsia="等线" w:hAnsi="Times New Roman" w:cs="Times New Roman"/>
          <w:iCs/>
          <w:sz w:val="24"/>
          <w:szCs w:val="24"/>
        </w:rPr>
        <w:t xml:space="preserve">et al </w:t>
      </w:r>
      <w:r w:rsidRPr="00FE6D81">
        <w:rPr>
          <w:rFonts w:ascii="Times New Roman" w:eastAsia="等线" w:hAnsi="Times New Roman" w:cs="Times New Roman"/>
          <w:sz w:val="24"/>
          <w:szCs w:val="24"/>
        </w:rPr>
        <w:t xml:space="preserve">(2021) Editor’s Choice-European Society for Vascular Surgery (ESVS) 2021 Clinical Practice Guidelines on the Management of Venous Thrombosis. </w:t>
      </w:r>
      <w:proofErr w:type="spellStart"/>
      <w:r w:rsidRPr="00FE6D81">
        <w:rPr>
          <w:rFonts w:ascii="Times New Roman" w:eastAsia="等线" w:hAnsi="Times New Roman" w:cs="Times New Roman"/>
          <w:sz w:val="24"/>
          <w:szCs w:val="24"/>
        </w:rPr>
        <w:t>Eur</w:t>
      </w:r>
      <w:proofErr w:type="spellEnd"/>
      <w:r w:rsidRPr="00FE6D81">
        <w:rPr>
          <w:rFonts w:ascii="Times New Roman" w:eastAsia="等线" w:hAnsi="Times New Roman" w:cs="Times New Roman"/>
          <w:sz w:val="24"/>
          <w:szCs w:val="24"/>
        </w:rPr>
        <w:t xml:space="preserve"> J Vasc </w:t>
      </w:r>
      <w:proofErr w:type="spellStart"/>
      <w:r w:rsidRPr="00FE6D81">
        <w:rPr>
          <w:rFonts w:ascii="Times New Roman" w:eastAsia="等线" w:hAnsi="Times New Roman" w:cs="Times New Roman"/>
          <w:sz w:val="24"/>
          <w:szCs w:val="24"/>
        </w:rPr>
        <w:t>Endovasc</w:t>
      </w:r>
      <w:proofErr w:type="spellEnd"/>
      <w:r w:rsidRPr="00FE6D81">
        <w:rPr>
          <w:rFonts w:ascii="Times New Roman" w:eastAsia="等线" w:hAnsi="Times New Roman" w:cs="Times New Roman"/>
          <w:sz w:val="24"/>
          <w:szCs w:val="24"/>
        </w:rPr>
        <w:t xml:space="preserve"> Surg 61:9-82. </w:t>
      </w:r>
      <w:hyperlink r:id="rId13" w:history="1">
        <w:r w:rsidRPr="00FE6D81">
          <w:rPr>
            <w:rFonts w:ascii="Times New Roman" w:eastAsia="等线" w:hAnsi="Times New Roman" w:cs="Times New Roman"/>
            <w:color w:val="0000FF"/>
            <w:sz w:val="24"/>
            <w:szCs w:val="24"/>
            <w:u w:val="single"/>
          </w:rPr>
          <w:t>https://doi.org/10.1016/j.ejvs.2020.09.023</w:t>
        </w:r>
        <w:bookmarkEnd w:id="19"/>
      </w:hyperlink>
    </w:p>
    <w:p w14:paraId="2E350E1C" w14:textId="77777777" w:rsidR="00FE6D81" w:rsidRPr="00FE6D81" w:rsidRDefault="00FE6D81" w:rsidP="00FE6D81">
      <w:pPr>
        <w:wordWrap w:val="0"/>
        <w:ind w:left="720" w:hanging="720"/>
        <w:rPr>
          <w:rFonts w:ascii="Times New Roman" w:eastAsia="等线" w:hAnsi="Times New Roman" w:cs="Times New Roman"/>
          <w:sz w:val="24"/>
          <w:szCs w:val="24"/>
        </w:rPr>
      </w:pPr>
      <w:bookmarkStart w:id="20" w:name="_ENREF_9"/>
      <w:r w:rsidRPr="00FE6D81">
        <w:rPr>
          <w:rFonts w:ascii="Times New Roman" w:eastAsia="等线" w:hAnsi="Times New Roman" w:cs="Times New Roman"/>
          <w:sz w:val="24"/>
          <w:szCs w:val="24"/>
        </w:rPr>
        <w:t>9.</w:t>
      </w:r>
      <w:r w:rsidRPr="00FE6D81">
        <w:rPr>
          <w:rFonts w:ascii="Times New Roman" w:eastAsia="等线" w:hAnsi="Times New Roman" w:cs="Times New Roman"/>
          <w:sz w:val="24"/>
          <w:szCs w:val="24"/>
        </w:rPr>
        <w:tab/>
        <w:t xml:space="preserve">Horwood A (2019) </w:t>
      </w:r>
      <w:bookmarkStart w:id="21" w:name="OLE_LINK12"/>
      <w:r w:rsidRPr="00FE6D81">
        <w:rPr>
          <w:rFonts w:ascii="Times New Roman" w:eastAsia="等线" w:hAnsi="Times New Roman" w:cs="Times New Roman"/>
          <w:sz w:val="24"/>
          <w:szCs w:val="24"/>
        </w:rPr>
        <w:t>The biomechanical function of the foot pump in venous return from the lower extremity during the human gait cycle: An expansion of the gait model of the foot pump.</w:t>
      </w:r>
      <w:bookmarkEnd w:id="21"/>
      <w:r w:rsidRPr="00FE6D81">
        <w:rPr>
          <w:rFonts w:ascii="Times New Roman" w:eastAsia="等线" w:hAnsi="Times New Roman" w:cs="Times New Roman"/>
          <w:sz w:val="24"/>
          <w:szCs w:val="24"/>
        </w:rPr>
        <w:t xml:space="preserve"> Med Hypotheses 129:109220. </w:t>
      </w:r>
      <w:hyperlink r:id="rId14" w:history="1">
        <w:r w:rsidRPr="00FE6D81">
          <w:rPr>
            <w:rFonts w:ascii="Times New Roman" w:eastAsia="等线" w:hAnsi="Times New Roman" w:cs="Times New Roman"/>
            <w:color w:val="0000FF"/>
            <w:sz w:val="24"/>
            <w:szCs w:val="24"/>
            <w:u w:val="single"/>
          </w:rPr>
          <w:t>https://doi.org/10.1016/j.mehy.2019.05.006</w:t>
        </w:r>
        <w:bookmarkEnd w:id="20"/>
      </w:hyperlink>
    </w:p>
    <w:p w14:paraId="446B0B3C" w14:textId="77777777" w:rsidR="00FE6D81" w:rsidRPr="00FE6D81" w:rsidRDefault="00FE6D81" w:rsidP="00FE6D81">
      <w:pPr>
        <w:wordWrap w:val="0"/>
        <w:ind w:left="720" w:hanging="720"/>
        <w:rPr>
          <w:rFonts w:ascii="Times New Roman" w:eastAsia="等线" w:hAnsi="Times New Roman" w:cs="Times New Roman"/>
          <w:sz w:val="24"/>
          <w:szCs w:val="24"/>
        </w:rPr>
      </w:pPr>
      <w:bookmarkStart w:id="22" w:name="_ENREF_10"/>
      <w:r w:rsidRPr="00FE6D81">
        <w:rPr>
          <w:rFonts w:ascii="Times New Roman" w:eastAsia="等线" w:hAnsi="Times New Roman" w:cs="Times New Roman"/>
          <w:sz w:val="24"/>
          <w:szCs w:val="24"/>
        </w:rPr>
        <w:t>10.</w:t>
      </w:r>
      <w:r w:rsidRPr="00FE6D81">
        <w:rPr>
          <w:rFonts w:ascii="Times New Roman" w:eastAsia="等线" w:hAnsi="Times New Roman" w:cs="Times New Roman"/>
          <w:sz w:val="24"/>
          <w:szCs w:val="24"/>
        </w:rPr>
        <w:tab/>
        <w:t xml:space="preserve">Charalambous C, </w:t>
      </w:r>
      <w:proofErr w:type="spellStart"/>
      <w:r w:rsidRPr="00FE6D81">
        <w:rPr>
          <w:rFonts w:ascii="Times New Roman" w:eastAsia="等线" w:hAnsi="Times New Roman" w:cs="Times New Roman"/>
          <w:sz w:val="24"/>
          <w:szCs w:val="24"/>
        </w:rPr>
        <w:t>Cleanthous</w:t>
      </w:r>
      <w:proofErr w:type="spellEnd"/>
      <w:r w:rsidRPr="00FE6D81">
        <w:rPr>
          <w:rFonts w:ascii="Times New Roman" w:eastAsia="等线" w:hAnsi="Times New Roman" w:cs="Times New Roman"/>
          <w:sz w:val="24"/>
          <w:szCs w:val="24"/>
        </w:rPr>
        <w:t xml:space="preserve"> S, </w:t>
      </w:r>
      <w:proofErr w:type="spellStart"/>
      <w:r w:rsidRPr="00FE6D81">
        <w:rPr>
          <w:rFonts w:ascii="Times New Roman" w:eastAsia="等线" w:hAnsi="Times New Roman" w:cs="Times New Roman"/>
          <w:sz w:val="24"/>
          <w:szCs w:val="24"/>
        </w:rPr>
        <w:t>Tryfonidis</w:t>
      </w:r>
      <w:proofErr w:type="spellEnd"/>
      <w:r w:rsidRPr="00FE6D81">
        <w:rPr>
          <w:rFonts w:ascii="Times New Roman" w:eastAsia="等线" w:hAnsi="Times New Roman" w:cs="Times New Roman"/>
          <w:sz w:val="24"/>
          <w:szCs w:val="24"/>
        </w:rPr>
        <w:t xml:space="preserve"> M, Goel A, Swindell R, Ellis D (2003)Foot pump prophylaxis for deep venous thrombosis-rate of effective usage following knee and hip arthroplasty. Int </w:t>
      </w:r>
      <w:proofErr w:type="spellStart"/>
      <w:r w:rsidRPr="00FE6D81">
        <w:rPr>
          <w:rFonts w:ascii="Times New Roman" w:eastAsia="等线" w:hAnsi="Times New Roman" w:cs="Times New Roman"/>
          <w:sz w:val="24"/>
          <w:szCs w:val="24"/>
        </w:rPr>
        <w:t>Orthop</w:t>
      </w:r>
      <w:proofErr w:type="spellEnd"/>
      <w:r w:rsidRPr="00FE6D81">
        <w:rPr>
          <w:rFonts w:ascii="Times New Roman" w:eastAsia="等线" w:hAnsi="Times New Roman" w:cs="Times New Roman"/>
          <w:sz w:val="24"/>
          <w:szCs w:val="24"/>
        </w:rPr>
        <w:t xml:space="preserve"> 27:208-210. </w:t>
      </w:r>
      <w:hyperlink r:id="rId15" w:history="1">
        <w:r w:rsidRPr="00FE6D81">
          <w:rPr>
            <w:rFonts w:ascii="Times New Roman" w:eastAsia="等线" w:hAnsi="Times New Roman" w:cs="Times New Roman"/>
            <w:color w:val="0000FF"/>
            <w:sz w:val="24"/>
            <w:szCs w:val="24"/>
            <w:u w:val="single"/>
          </w:rPr>
          <w:t>https://doi.org/10.1007/s00264-003-0456-7</w:t>
        </w:r>
        <w:bookmarkEnd w:id="22"/>
      </w:hyperlink>
    </w:p>
    <w:p w14:paraId="0EF6A962" w14:textId="2E10EEC7" w:rsidR="00FE6D81" w:rsidRPr="00FE6D81" w:rsidRDefault="00FE6D81" w:rsidP="00FE6D81">
      <w:pPr>
        <w:wordWrap w:val="0"/>
        <w:ind w:left="720" w:hanging="720"/>
        <w:rPr>
          <w:rFonts w:ascii="Times New Roman" w:eastAsia="等线" w:hAnsi="Times New Roman" w:cs="Times New Roman"/>
          <w:sz w:val="24"/>
          <w:szCs w:val="24"/>
        </w:rPr>
      </w:pPr>
      <w:bookmarkStart w:id="23" w:name="_ENREF_11"/>
      <w:r w:rsidRPr="00FE6D81">
        <w:rPr>
          <w:rFonts w:ascii="Times New Roman" w:eastAsia="等线" w:hAnsi="Times New Roman" w:cs="Times New Roman"/>
          <w:sz w:val="24"/>
          <w:szCs w:val="24"/>
        </w:rPr>
        <w:t>11.</w:t>
      </w:r>
      <w:r w:rsidRPr="00FE6D81">
        <w:rPr>
          <w:rFonts w:ascii="Times New Roman" w:eastAsia="等线" w:hAnsi="Times New Roman" w:cs="Times New Roman"/>
          <w:sz w:val="24"/>
          <w:szCs w:val="24"/>
        </w:rPr>
        <w:tab/>
        <w:t xml:space="preserve">Windisch C, Kolb W, Kolb K, </w:t>
      </w:r>
      <w:proofErr w:type="spellStart"/>
      <w:r w:rsidRPr="00FE6D81">
        <w:rPr>
          <w:rFonts w:ascii="Times New Roman" w:eastAsia="等线" w:hAnsi="Times New Roman" w:cs="Times New Roman"/>
          <w:sz w:val="24"/>
          <w:szCs w:val="24"/>
        </w:rPr>
        <w:t>Grützner</w:t>
      </w:r>
      <w:proofErr w:type="spellEnd"/>
      <w:r w:rsidRPr="00FE6D81">
        <w:rPr>
          <w:rFonts w:ascii="Times New Roman" w:eastAsia="等线" w:hAnsi="Times New Roman" w:cs="Times New Roman"/>
          <w:sz w:val="24"/>
          <w:szCs w:val="24"/>
        </w:rPr>
        <w:t xml:space="preserve"> P, </w:t>
      </w:r>
      <w:proofErr w:type="spellStart"/>
      <w:r w:rsidRPr="00FE6D81">
        <w:rPr>
          <w:rFonts w:ascii="Times New Roman" w:eastAsia="等线" w:hAnsi="Times New Roman" w:cs="Times New Roman"/>
          <w:sz w:val="24"/>
          <w:szCs w:val="24"/>
        </w:rPr>
        <w:t>Venbrocks</w:t>
      </w:r>
      <w:proofErr w:type="spellEnd"/>
      <w:r w:rsidRPr="00FE6D81">
        <w:rPr>
          <w:rFonts w:ascii="Times New Roman" w:eastAsia="等线" w:hAnsi="Times New Roman" w:cs="Times New Roman"/>
          <w:sz w:val="24"/>
          <w:szCs w:val="24"/>
        </w:rPr>
        <w:t xml:space="preserve"> R, Anders J (2011) Pneumatic compression with foot pumps facilitates early postoperative mobilization in total knee arthroplasty. Int </w:t>
      </w:r>
      <w:proofErr w:type="spellStart"/>
      <w:r w:rsidRPr="00FE6D81">
        <w:rPr>
          <w:rFonts w:ascii="Times New Roman" w:eastAsia="等线" w:hAnsi="Times New Roman" w:cs="Times New Roman"/>
          <w:sz w:val="24"/>
          <w:szCs w:val="24"/>
        </w:rPr>
        <w:t>Orthop</w:t>
      </w:r>
      <w:proofErr w:type="spellEnd"/>
      <w:r w:rsidRPr="00FE6D81">
        <w:rPr>
          <w:rFonts w:ascii="Times New Roman" w:eastAsia="等线" w:hAnsi="Times New Roman" w:cs="Times New Roman"/>
          <w:sz w:val="24"/>
          <w:szCs w:val="24"/>
        </w:rPr>
        <w:t xml:space="preserve"> 35:995-1000. </w:t>
      </w:r>
      <w:hyperlink r:id="rId16" w:history="1">
        <w:r w:rsidRPr="00FE6D81">
          <w:rPr>
            <w:rFonts w:ascii="Times New Roman" w:eastAsia="等线" w:hAnsi="Times New Roman" w:cs="Times New Roman"/>
            <w:color w:val="0000FF"/>
            <w:sz w:val="24"/>
            <w:szCs w:val="24"/>
            <w:u w:val="single"/>
          </w:rPr>
          <w:t>https://doi</w:t>
        </w:r>
      </w:hyperlink>
      <w:r w:rsidRPr="00FE6D81">
        <w:rPr>
          <w:rFonts w:ascii="Times New Roman" w:eastAsia="等线" w:hAnsi="Times New Roman" w:cs="Times New Roman"/>
          <w:sz w:val="24"/>
          <w:szCs w:val="24"/>
        </w:rPr>
        <w:t>.org/10.1007/s00264-010-1091-8</w:t>
      </w:r>
      <w:bookmarkEnd w:id="23"/>
    </w:p>
    <w:p w14:paraId="5BBE0411" w14:textId="77777777" w:rsidR="00FE6D81" w:rsidRDefault="00FE6D81" w:rsidP="00FE6D81"/>
    <w:p w14:paraId="4EC7DA06" w14:textId="7624978B" w:rsidR="00C115D0" w:rsidRPr="007466AD" w:rsidRDefault="00BC506A" w:rsidP="007466AD">
      <w:pPr>
        <w:pStyle w:val="a7"/>
        <w:spacing w:line="360" w:lineRule="atLeast"/>
        <w:jc w:val="center"/>
      </w:pPr>
      <w:r>
        <w:rPr>
          <w:noProof/>
        </w:rPr>
        <w:lastRenderedPageBreak/>
        <w:drawing>
          <wp:inline distT="0" distB="0" distL="0" distR="0" wp14:anchorId="3A91D132" wp14:editId="771DA9A8">
            <wp:extent cx="4967288" cy="5724525"/>
            <wp:effectExtent l="19050" t="19050" r="24130" b="9525"/>
            <wp:docPr id="4487953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95381" name="图片 448795381"/>
                    <pic:cNvPicPr/>
                  </pic:nvPicPr>
                  <pic:blipFill rotWithShape="1">
                    <a:blip r:embed="rId17" cstate="print">
                      <a:extLst>
                        <a:ext uri="{28A0092B-C50C-407E-A947-70E740481C1C}">
                          <a14:useLocalDpi xmlns:a14="http://schemas.microsoft.com/office/drawing/2010/main" val="0"/>
                        </a:ext>
                      </a:extLst>
                    </a:blip>
                    <a:srcRect t="7025" r="5803" b="16211"/>
                    <a:stretch/>
                  </pic:blipFill>
                  <pic:spPr bwMode="auto">
                    <a:xfrm>
                      <a:off x="0" y="0"/>
                      <a:ext cx="4968285" cy="572567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C115D0" w:rsidRPr="00C115D0">
        <w:rPr>
          <w:rFonts w:ascii="Times New Roman" w:hAnsi="Times New Roman" w:cs="Times New Roman"/>
        </w:rPr>
        <w:t>Fig</w:t>
      </w:r>
      <w:r w:rsidR="00C115D0">
        <w:rPr>
          <w:rFonts w:ascii="Times New Roman" w:hAnsi="Times New Roman" w:cs="Times New Roman" w:hint="eastAsia"/>
        </w:rPr>
        <w:t>ure</w:t>
      </w:r>
      <w:r w:rsidR="00C115D0" w:rsidRPr="00C115D0">
        <w:rPr>
          <w:rFonts w:ascii="Times New Roman" w:hAnsi="Times New Roman" w:cs="Times New Roman"/>
        </w:rPr>
        <w:t>1</w:t>
      </w:r>
      <w:r w:rsidR="008D3277">
        <w:rPr>
          <w:rFonts w:ascii="Times New Roman" w:hAnsi="Times New Roman" w:cs="Times New Roman"/>
        </w:rPr>
        <w:t xml:space="preserve">. </w:t>
      </w:r>
      <w:r w:rsidR="00C115D0" w:rsidRPr="00C115D0">
        <w:rPr>
          <w:rFonts w:ascii="Times New Roman" w:hAnsi="Times New Roman" w:cs="Times New Roman"/>
        </w:rPr>
        <w:t>Consort Diagram: Flow of the participants throughout the study</w:t>
      </w:r>
    </w:p>
    <w:sectPr w:rsidR="00C115D0" w:rsidRPr="007466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7F375" w14:textId="77777777" w:rsidR="002C69D4" w:rsidRDefault="002C69D4" w:rsidP="00C57FFE">
      <w:r>
        <w:separator/>
      </w:r>
    </w:p>
  </w:endnote>
  <w:endnote w:type="continuationSeparator" w:id="0">
    <w:p w14:paraId="5139DFEA" w14:textId="77777777" w:rsidR="002C69D4" w:rsidRDefault="002C69D4" w:rsidP="00C5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66C1" w14:textId="77777777" w:rsidR="002C69D4" w:rsidRDefault="002C69D4" w:rsidP="00C57FFE">
      <w:r>
        <w:separator/>
      </w:r>
    </w:p>
  </w:footnote>
  <w:footnote w:type="continuationSeparator" w:id="0">
    <w:p w14:paraId="21CE3B08" w14:textId="77777777" w:rsidR="002C69D4" w:rsidRDefault="002C69D4" w:rsidP="00C57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M0szQ2NTMzsQRyTJR0lIJTi4sz8/NACkxrAaE0LcMsAAAA"/>
  </w:docVars>
  <w:rsids>
    <w:rsidRoot w:val="00A35293"/>
    <w:rsid w:val="001B318C"/>
    <w:rsid w:val="001C2931"/>
    <w:rsid w:val="002C69D4"/>
    <w:rsid w:val="002D2340"/>
    <w:rsid w:val="002E4D2F"/>
    <w:rsid w:val="003E3F53"/>
    <w:rsid w:val="00403E6C"/>
    <w:rsid w:val="004807B9"/>
    <w:rsid w:val="004B4B20"/>
    <w:rsid w:val="00573340"/>
    <w:rsid w:val="0066743B"/>
    <w:rsid w:val="007466AD"/>
    <w:rsid w:val="007C6943"/>
    <w:rsid w:val="007D5E86"/>
    <w:rsid w:val="007F7E83"/>
    <w:rsid w:val="008C15BB"/>
    <w:rsid w:val="008D3277"/>
    <w:rsid w:val="009B0C68"/>
    <w:rsid w:val="009D4BD6"/>
    <w:rsid w:val="00A34257"/>
    <w:rsid w:val="00A35293"/>
    <w:rsid w:val="00A51737"/>
    <w:rsid w:val="00AB4E2D"/>
    <w:rsid w:val="00AF57BA"/>
    <w:rsid w:val="00B21D79"/>
    <w:rsid w:val="00BC506A"/>
    <w:rsid w:val="00C115D0"/>
    <w:rsid w:val="00C57FFE"/>
    <w:rsid w:val="00CD7915"/>
    <w:rsid w:val="00E337C7"/>
    <w:rsid w:val="00F6577E"/>
    <w:rsid w:val="00FC39DB"/>
    <w:rsid w:val="00FC49F9"/>
    <w:rsid w:val="00FE6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C31C4"/>
  <w15:chartTrackingRefBased/>
  <w15:docId w15:val="{B13D50BC-14A6-4D4D-AFFD-13581912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9DB"/>
    <w:pPr>
      <w:widowControl w:val="0"/>
      <w:jc w:val="both"/>
    </w:pPr>
  </w:style>
  <w:style w:type="paragraph" w:styleId="3">
    <w:name w:val="heading 3"/>
    <w:basedOn w:val="a"/>
    <w:link w:val="30"/>
    <w:uiPriority w:val="9"/>
    <w:qFormat/>
    <w:rsid w:val="00C57FF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7F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57FFE"/>
    <w:rPr>
      <w:sz w:val="18"/>
      <w:szCs w:val="18"/>
    </w:rPr>
  </w:style>
  <w:style w:type="paragraph" w:styleId="a5">
    <w:name w:val="footer"/>
    <w:basedOn w:val="a"/>
    <w:link w:val="a6"/>
    <w:uiPriority w:val="99"/>
    <w:unhideWhenUsed/>
    <w:rsid w:val="00C57FFE"/>
    <w:pPr>
      <w:tabs>
        <w:tab w:val="center" w:pos="4153"/>
        <w:tab w:val="right" w:pos="8306"/>
      </w:tabs>
      <w:snapToGrid w:val="0"/>
      <w:jc w:val="left"/>
    </w:pPr>
    <w:rPr>
      <w:sz w:val="18"/>
      <w:szCs w:val="18"/>
    </w:rPr>
  </w:style>
  <w:style w:type="character" w:customStyle="1" w:styleId="a6">
    <w:name w:val="页脚 字符"/>
    <w:basedOn w:val="a0"/>
    <w:link w:val="a5"/>
    <w:uiPriority w:val="99"/>
    <w:rsid w:val="00C57FFE"/>
    <w:rPr>
      <w:sz w:val="18"/>
      <w:szCs w:val="18"/>
    </w:rPr>
  </w:style>
  <w:style w:type="character" w:customStyle="1" w:styleId="30">
    <w:name w:val="标题 3 字符"/>
    <w:basedOn w:val="a0"/>
    <w:link w:val="3"/>
    <w:uiPriority w:val="9"/>
    <w:rsid w:val="00C57FFE"/>
    <w:rPr>
      <w:rFonts w:ascii="宋体" w:eastAsia="宋体" w:hAnsi="宋体" w:cs="宋体"/>
      <w:b/>
      <w:bCs/>
      <w:kern w:val="0"/>
      <w:sz w:val="27"/>
      <w:szCs w:val="27"/>
    </w:rPr>
  </w:style>
  <w:style w:type="paragraph" w:styleId="a7">
    <w:name w:val="Normal (Web)"/>
    <w:basedOn w:val="a"/>
    <w:uiPriority w:val="99"/>
    <w:unhideWhenUsed/>
    <w:rsid w:val="008C15BB"/>
    <w:pPr>
      <w:widowControl/>
      <w:spacing w:before="100" w:beforeAutospacing="1" w:after="100" w:afterAutospacing="1"/>
      <w:jc w:val="left"/>
    </w:pPr>
    <w:rPr>
      <w:rFonts w:ascii="宋体" w:eastAsia="宋体" w:hAnsi="宋体" w:cs="宋体"/>
      <w:kern w:val="0"/>
      <w:sz w:val="24"/>
      <w:szCs w:val="24"/>
    </w:rPr>
  </w:style>
  <w:style w:type="paragraph" w:customStyle="1" w:styleId="tgt">
    <w:name w:val="_tgt"/>
    <w:basedOn w:val="a"/>
    <w:rsid w:val="00E337C7"/>
    <w:pPr>
      <w:widowControl/>
      <w:spacing w:before="100" w:beforeAutospacing="1" w:after="100" w:afterAutospacing="1"/>
      <w:jc w:val="left"/>
    </w:pPr>
    <w:rPr>
      <w:rFonts w:ascii="宋体" w:eastAsia="宋体" w:hAnsi="宋体" w:cs="宋体"/>
      <w:kern w:val="0"/>
      <w:sz w:val="24"/>
      <w:szCs w:val="24"/>
    </w:rPr>
  </w:style>
  <w:style w:type="character" w:customStyle="1" w:styleId="transsent">
    <w:name w:val="transsent"/>
    <w:basedOn w:val="a0"/>
    <w:rsid w:val="00E337C7"/>
  </w:style>
  <w:style w:type="character" w:customStyle="1" w:styleId="tgt0">
    <w:name w:val="tgt"/>
    <w:basedOn w:val="a0"/>
    <w:rsid w:val="00CD7915"/>
  </w:style>
  <w:style w:type="character" w:customStyle="1" w:styleId="tgt1">
    <w:name w:val="tgt1"/>
    <w:basedOn w:val="a0"/>
    <w:rsid w:val="003E3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70994">
      <w:bodyDiv w:val="1"/>
      <w:marLeft w:val="0"/>
      <w:marRight w:val="0"/>
      <w:marTop w:val="0"/>
      <w:marBottom w:val="0"/>
      <w:divBdr>
        <w:top w:val="none" w:sz="0" w:space="0" w:color="auto"/>
        <w:left w:val="none" w:sz="0" w:space="0" w:color="auto"/>
        <w:bottom w:val="none" w:sz="0" w:space="0" w:color="auto"/>
        <w:right w:val="none" w:sz="0" w:space="0" w:color="auto"/>
      </w:divBdr>
    </w:div>
    <w:div w:id="315842385">
      <w:bodyDiv w:val="1"/>
      <w:marLeft w:val="0"/>
      <w:marRight w:val="0"/>
      <w:marTop w:val="0"/>
      <w:marBottom w:val="0"/>
      <w:divBdr>
        <w:top w:val="none" w:sz="0" w:space="0" w:color="auto"/>
        <w:left w:val="none" w:sz="0" w:space="0" w:color="auto"/>
        <w:bottom w:val="none" w:sz="0" w:space="0" w:color="auto"/>
        <w:right w:val="none" w:sz="0" w:space="0" w:color="auto"/>
      </w:divBdr>
    </w:div>
    <w:div w:id="349526590">
      <w:bodyDiv w:val="1"/>
      <w:marLeft w:val="0"/>
      <w:marRight w:val="0"/>
      <w:marTop w:val="0"/>
      <w:marBottom w:val="0"/>
      <w:divBdr>
        <w:top w:val="none" w:sz="0" w:space="0" w:color="auto"/>
        <w:left w:val="none" w:sz="0" w:space="0" w:color="auto"/>
        <w:bottom w:val="none" w:sz="0" w:space="0" w:color="auto"/>
        <w:right w:val="none" w:sz="0" w:space="0" w:color="auto"/>
      </w:divBdr>
    </w:div>
    <w:div w:id="427195045">
      <w:bodyDiv w:val="1"/>
      <w:marLeft w:val="0"/>
      <w:marRight w:val="0"/>
      <w:marTop w:val="0"/>
      <w:marBottom w:val="0"/>
      <w:divBdr>
        <w:top w:val="none" w:sz="0" w:space="0" w:color="auto"/>
        <w:left w:val="none" w:sz="0" w:space="0" w:color="auto"/>
        <w:bottom w:val="none" w:sz="0" w:space="0" w:color="auto"/>
        <w:right w:val="none" w:sz="0" w:space="0" w:color="auto"/>
      </w:divBdr>
    </w:div>
    <w:div w:id="540825092">
      <w:bodyDiv w:val="1"/>
      <w:marLeft w:val="0"/>
      <w:marRight w:val="0"/>
      <w:marTop w:val="0"/>
      <w:marBottom w:val="0"/>
      <w:divBdr>
        <w:top w:val="none" w:sz="0" w:space="0" w:color="auto"/>
        <w:left w:val="none" w:sz="0" w:space="0" w:color="auto"/>
        <w:bottom w:val="none" w:sz="0" w:space="0" w:color="auto"/>
        <w:right w:val="none" w:sz="0" w:space="0" w:color="auto"/>
      </w:divBdr>
    </w:div>
    <w:div w:id="551620343">
      <w:bodyDiv w:val="1"/>
      <w:marLeft w:val="0"/>
      <w:marRight w:val="0"/>
      <w:marTop w:val="0"/>
      <w:marBottom w:val="0"/>
      <w:divBdr>
        <w:top w:val="none" w:sz="0" w:space="0" w:color="auto"/>
        <w:left w:val="none" w:sz="0" w:space="0" w:color="auto"/>
        <w:bottom w:val="none" w:sz="0" w:space="0" w:color="auto"/>
        <w:right w:val="none" w:sz="0" w:space="0" w:color="auto"/>
      </w:divBdr>
    </w:div>
    <w:div w:id="563832060">
      <w:bodyDiv w:val="1"/>
      <w:marLeft w:val="0"/>
      <w:marRight w:val="0"/>
      <w:marTop w:val="0"/>
      <w:marBottom w:val="0"/>
      <w:divBdr>
        <w:top w:val="none" w:sz="0" w:space="0" w:color="auto"/>
        <w:left w:val="none" w:sz="0" w:space="0" w:color="auto"/>
        <w:bottom w:val="none" w:sz="0" w:space="0" w:color="auto"/>
        <w:right w:val="none" w:sz="0" w:space="0" w:color="auto"/>
      </w:divBdr>
    </w:div>
    <w:div w:id="599601172">
      <w:bodyDiv w:val="1"/>
      <w:marLeft w:val="0"/>
      <w:marRight w:val="0"/>
      <w:marTop w:val="0"/>
      <w:marBottom w:val="0"/>
      <w:divBdr>
        <w:top w:val="none" w:sz="0" w:space="0" w:color="auto"/>
        <w:left w:val="none" w:sz="0" w:space="0" w:color="auto"/>
        <w:bottom w:val="none" w:sz="0" w:space="0" w:color="auto"/>
        <w:right w:val="none" w:sz="0" w:space="0" w:color="auto"/>
      </w:divBdr>
    </w:div>
    <w:div w:id="676076756">
      <w:bodyDiv w:val="1"/>
      <w:marLeft w:val="0"/>
      <w:marRight w:val="0"/>
      <w:marTop w:val="0"/>
      <w:marBottom w:val="0"/>
      <w:divBdr>
        <w:top w:val="none" w:sz="0" w:space="0" w:color="auto"/>
        <w:left w:val="none" w:sz="0" w:space="0" w:color="auto"/>
        <w:bottom w:val="none" w:sz="0" w:space="0" w:color="auto"/>
        <w:right w:val="none" w:sz="0" w:space="0" w:color="auto"/>
      </w:divBdr>
    </w:div>
    <w:div w:id="738291813">
      <w:bodyDiv w:val="1"/>
      <w:marLeft w:val="0"/>
      <w:marRight w:val="0"/>
      <w:marTop w:val="0"/>
      <w:marBottom w:val="0"/>
      <w:divBdr>
        <w:top w:val="none" w:sz="0" w:space="0" w:color="auto"/>
        <w:left w:val="none" w:sz="0" w:space="0" w:color="auto"/>
        <w:bottom w:val="none" w:sz="0" w:space="0" w:color="auto"/>
        <w:right w:val="none" w:sz="0" w:space="0" w:color="auto"/>
      </w:divBdr>
    </w:div>
    <w:div w:id="752700733">
      <w:bodyDiv w:val="1"/>
      <w:marLeft w:val="0"/>
      <w:marRight w:val="0"/>
      <w:marTop w:val="0"/>
      <w:marBottom w:val="0"/>
      <w:divBdr>
        <w:top w:val="none" w:sz="0" w:space="0" w:color="auto"/>
        <w:left w:val="none" w:sz="0" w:space="0" w:color="auto"/>
        <w:bottom w:val="none" w:sz="0" w:space="0" w:color="auto"/>
        <w:right w:val="none" w:sz="0" w:space="0" w:color="auto"/>
      </w:divBdr>
    </w:div>
    <w:div w:id="761344315">
      <w:bodyDiv w:val="1"/>
      <w:marLeft w:val="0"/>
      <w:marRight w:val="0"/>
      <w:marTop w:val="0"/>
      <w:marBottom w:val="0"/>
      <w:divBdr>
        <w:top w:val="none" w:sz="0" w:space="0" w:color="auto"/>
        <w:left w:val="none" w:sz="0" w:space="0" w:color="auto"/>
        <w:bottom w:val="none" w:sz="0" w:space="0" w:color="auto"/>
        <w:right w:val="none" w:sz="0" w:space="0" w:color="auto"/>
      </w:divBdr>
    </w:div>
    <w:div w:id="811993254">
      <w:bodyDiv w:val="1"/>
      <w:marLeft w:val="0"/>
      <w:marRight w:val="0"/>
      <w:marTop w:val="0"/>
      <w:marBottom w:val="0"/>
      <w:divBdr>
        <w:top w:val="none" w:sz="0" w:space="0" w:color="auto"/>
        <w:left w:val="none" w:sz="0" w:space="0" w:color="auto"/>
        <w:bottom w:val="none" w:sz="0" w:space="0" w:color="auto"/>
        <w:right w:val="none" w:sz="0" w:space="0" w:color="auto"/>
      </w:divBdr>
    </w:div>
    <w:div w:id="1157767410">
      <w:bodyDiv w:val="1"/>
      <w:marLeft w:val="0"/>
      <w:marRight w:val="0"/>
      <w:marTop w:val="0"/>
      <w:marBottom w:val="0"/>
      <w:divBdr>
        <w:top w:val="none" w:sz="0" w:space="0" w:color="auto"/>
        <w:left w:val="none" w:sz="0" w:space="0" w:color="auto"/>
        <w:bottom w:val="none" w:sz="0" w:space="0" w:color="auto"/>
        <w:right w:val="none" w:sz="0" w:space="0" w:color="auto"/>
      </w:divBdr>
    </w:div>
    <w:div w:id="1173371316">
      <w:bodyDiv w:val="1"/>
      <w:marLeft w:val="0"/>
      <w:marRight w:val="0"/>
      <w:marTop w:val="0"/>
      <w:marBottom w:val="0"/>
      <w:divBdr>
        <w:top w:val="none" w:sz="0" w:space="0" w:color="auto"/>
        <w:left w:val="none" w:sz="0" w:space="0" w:color="auto"/>
        <w:bottom w:val="none" w:sz="0" w:space="0" w:color="auto"/>
        <w:right w:val="none" w:sz="0" w:space="0" w:color="auto"/>
      </w:divBdr>
    </w:div>
    <w:div w:id="1286041588">
      <w:bodyDiv w:val="1"/>
      <w:marLeft w:val="0"/>
      <w:marRight w:val="0"/>
      <w:marTop w:val="0"/>
      <w:marBottom w:val="0"/>
      <w:divBdr>
        <w:top w:val="none" w:sz="0" w:space="0" w:color="auto"/>
        <w:left w:val="none" w:sz="0" w:space="0" w:color="auto"/>
        <w:bottom w:val="none" w:sz="0" w:space="0" w:color="auto"/>
        <w:right w:val="none" w:sz="0" w:space="0" w:color="auto"/>
      </w:divBdr>
    </w:div>
    <w:div w:id="1333608929">
      <w:bodyDiv w:val="1"/>
      <w:marLeft w:val="0"/>
      <w:marRight w:val="0"/>
      <w:marTop w:val="0"/>
      <w:marBottom w:val="0"/>
      <w:divBdr>
        <w:top w:val="none" w:sz="0" w:space="0" w:color="auto"/>
        <w:left w:val="none" w:sz="0" w:space="0" w:color="auto"/>
        <w:bottom w:val="none" w:sz="0" w:space="0" w:color="auto"/>
        <w:right w:val="none" w:sz="0" w:space="0" w:color="auto"/>
      </w:divBdr>
    </w:div>
    <w:div w:id="1389651995">
      <w:bodyDiv w:val="1"/>
      <w:marLeft w:val="0"/>
      <w:marRight w:val="0"/>
      <w:marTop w:val="0"/>
      <w:marBottom w:val="0"/>
      <w:divBdr>
        <w:top w:val="none" w:sz="0" w:space="0" w:color="auto"/>
        <w:left w:val="none" w:sz="0" w:space="0" w:color="auto"/>
        <w:bottom w:val="none" w:sz="0" w:space="0" w:color="auto"/>
        <w:right w:val="none" w:sz="0" w:space="0" w:color="auto"/>
      </w:divBdr>
    </w:div>
    <w:div w:id="1410270895">
      <w:bodyDiv w:val="1"/>
      <w:marLeft w:val="0"/>
      <w:marRight w:val="0"/>
      <w:marTop w:val="0"/>
      <w:marBottom w:val="0"/>
      <w:divBdr>
        <w:top w:val="none" w:sz="0" w:space="0" w:color="auto"/>
        <w:left w:val="none" w:sz="0" w:space="0" w:color="auto"/>
        <w:bottom w:val="none" w:sz="0" w:space="0" w:color="auto"/>
        <w:right w:val="none" w:sz="0" w:space="0" w:color="auto"/>
      </w:divBdr>
    </w:div>
    <w:div w:id="1657297946">
      <w:bodyDiv w:val="1"/>
      <w:marLeft w:val="0"/>
      <w:marRight w:val="0"/>
      <w:marTop w:val="0"/>
      <w:marBottom w:val="0"/>
      <w:divBdr>
        <w:top w:val="none" w:sz="0" w:space="0" w:color="auto"/>
        <w:left w:val="none" w:sz="0" w:space="0" w:color="auto"/>
        <w:bottom w:val="none" w:sz="0" w:space="0" w:color="auto"/>
        <w:right w:val="none" w:sz="0" w:space="0" w:color="auto"/>
      </w:divBdr>
    </w:div>
    <w:div w:id="1665477853">
      <w:bodyDiv w:val="1"/>
      <w:marLeft w:val="0"/>
      <w:marRight w:val="0"/>
      <w:marTop w:val="0"/>
      <w:marBottom w:val="0"/>
      <w:divBdr>
        <w:top w:val="none" w:sz="0" w:space="0" w:color="auto"/>
        <w:left w:val="none" w:sz="0" w:space="0" w:color="auto"/>
        <w:bottom w:val="none" w:sz="0" w:space="0" w:color="auto"/>
        <w:right w:val="none" w:sz="0" w:space="0" w:color="auto"/>
      </w:divBdr>
    </w:div>
    <w:div w:id="1840582237">
      <w:bodyDiv w:val="1"/>
      <w:marLeft w:val="0"/>
      <w:marRight w:val="0"/>
      <w:marTop w:val="0"/>
      <w:marBottom w:val="0"/>
      <w:divBdr>
        <w:top w:val="none" w:sz="0" w:space="0" w:color="auto"/>
        <w:left w:val="none" w:sz="0" w:space="0" w:color="auto"/>
        <w:bottom w:val="none" w:sz="0" w:space="0" w:color="auto"/>
        <w:right w:val="none" w:sz="0" w:space="0" w:color="auto"/>
      </w:divBdr>
    </w:div>
    <w:div w:id="1841040861">
      <w:bodyDiv w:val="1"/>
      <w:marLeft w:val="0"/>
      <w:marRight w:val="0"/>
      <w:marTop w:val="0"/>
      <w:marBottom w:val="0"/>
      <w:divBdr>
        <w:top w:val="none" w:sz="0" w:space="0" w:color="auto"/>
        <w:left w:val="none" w:sz="0" w:space="0" w:color="auto"/>
        <w:bottom w:val="none" w:sz="0" w:space="0" w:color="auto"/>
        <w:right w:val="none" w:sz="0" w:space="0" w:color="auto"/>
      </w:divBdr>
    </w:div>
    <w:div w:id="1887373947">
      <w:bodyDiv w:val="1"/>
      <w:marLeft w:val="0"/>
      <w:marRight w:val="0"/>
      <w:marTop w:val="0"/>
      <w:marBottom w:val="0"/>
      <w:divBdr>
        <w:top w:val="none" w:sz="0" w:space="0" w:color="auto"/>
        <w:left w:val="none" w:sz="0" w:space="0" w:color="auto"/>
        <w:bottom w:val="none" w:sz="0" w:space="0" w:color="auto"/>
        <w:right w:val="none" w:sz="0" w:space="0" w:color="auto"/>
      </w:divBdr>
    </w:div>
    <w:div w:id="2025283968">
      <w:bodyDiv w:val="1"/>
      <w:marLeft w:val="0"/>
      <w:marRight w:val="0"/>
      <w:marTop w:val="0"/>
      <w:marBottom w:val="0"/>
      <w:divBdr>
        <w:top w:val="none" w:sz="0" w:space="0" w:color="auto"/>
        <w:left w:val="none" w:sz="0" w:space="0" w:color="auto"/>
        <w:bottom w:val="none" w:sz="0" w:space="0" w:color="auto"/>
        <w:right w:val="none" w:sz="0" w:space="0" w:color="auto"/>
      </w:divBdr>
    </w:div>
    <w:div w:id="213806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medicina56090416" TargetMode="External"/><Relationship Id="rId13" Type="http://schemas.openxmlformats.org/officeDocument/2006/relationships/hyperlink" Target="https://doi.org/10.1016/j.ejvs.2020.09.023"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j.thromres.2014.08.014" TargetMode="External"/><Relationship Id="rId12" Type="http://schemas.openxmlformats.org/officeDocument/2006/relationships/hyperlink" Target="https://doi.org/10.1016/j.thromres.2015.11.033" TargetMode="External"/><Relationship Id="rId17" Type="http://schemas.openxmlformats.org/officeDocument/2006/relationships/image" Target="media/image1.tiff"/><Relationship Id="rId2" Type="http://schemas.openxmlformats.org/officeDocument/2006/relationships/settings" Target="settings.xml"/><Relationship Id="rId16" Type="http://schemas.openxmlformats.org/officeDocument/2006/relationships/hyperlink" Target="https://doi" TargetMode="External"/><Relationship Id="rId1" Type="http://schemas.openxmlformats.org/officeDocument/2006/relationships/styles" Target="styles.xml"/><Relationship Id="rId6" Type="http://schemas.openxmlformats.org/officeDocument/2006/relationships/hyperlink" Target="https://doi.org/10.1056/nejm199412153312401" TargetMode="External"/><Relationship Id="rId11" Type="http://schemas.openxmlformats.org/officeDocument/2006/relationships/hyperlink" Target="https://doi.org/10.1160/th15-08-0670" TargetMode="External"/><Relationship Id="rId5" Type="http://schemas.openxmlformats.org/officeDocument/2006/relationships/endnotes" Target="endnotes.xml"/><Relationship Id="rId15" Type="http://schemas.openxmlformats.org/officeDocument/2006/relationships/hyperlink" Target="https://doi.org/10.1007/s00264-003-0456-7" TargetMode="External"/><Relationship Id="rId10" Type="http://schemas.openxmlformats.org/officeDocument/2006/relationships/hyperlink" Target="https://doi.org/10.1016/j.amepre.2010.01.010"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1038/nrcardio.2015.83" TargetMode="External"/><Relationship Id="rId14" Type="http://schemas.openxmlformats.org/officeDocument/2006/relationships/hyperlink" Target="https://doi.org/10.1016/j.mehy.2019.05.00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13314</TotalTime>
  <Pages>8</Pages>
  <Words>2687</Words>
  <Characters>15320</Characters>
  <Application>Microsoft Office Word</Application>
  <DocSecurity>0</DocSecurity>
  <Lines>127</Lines>
  <Paragraphs>35</Paragraphs>
  <ScaleCrop>false</ScaleCrop>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 思琪</dc:creator>
  <cp:keywords/>
  <dc:description/>
  <cp:lastModifiedBy>谷 思琪</cp:lastModifiedBy>
  <cp:revision>45</cp:revision>
  <dcterms:created xsi:type="dcterms:W3CDTF">2023-04-26T07:55:00Z</dcterms:created>
  <dcterms:modified xsi:type="dcterms:W3CDTF">2023-05-18T02:41:00Z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277437e3b9de61cf25cacbc1d2cab9fd115f7af27b700c088214b8740eff6dbb</vt:lpwstr>
  </property>
</Properties>
</file>