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9EC21" w14:textId="54848A52" w:rsidR="00404497" w:rsidRPr="007F30D6" w:rsidRDefault="00AA6322">
      <w:pPr>
        <w:rPr>
          <w:rFonts w:ascii="Arial" w:hAnsi="Arial" w:cs="Arial"/>
          <w:b/>
          <w:bCs/>
        </w:rPr>
      </w:pPr>
      <w:r w:rsidRPr="007F30D6">
        <w:rPr>
          <w:rFonts w:ascii="Arial" w:hAnsi="Arial" w:cs="Arial"/>
          <w:b/>
          <w:bCs/>
        </w:rPr>
        <w:t>A</w:t>
      </w:r>
      <w:r w:rsidR="00AC0574" w:rsidRPr="007F30D6">
        <w:rPr>
          <w:rFonts w:ascii="Arial" w:hAnsi="Arial" w:cs="Arial"/>
          <w:b/>
          <w:bCs/>
        </w:rPr>
        <w:t>dditional File 3</w:t>
      </w:r>
      <w:r w:rsidRPr="007F30D6">
        <w:rPr>
          <w:rFonts w:ascii="Arial" w:hAnsi="Arial" w:cs="Arial"/>
          <w:b/>
          <w:bCs/>
        </w:rPr>
        <w:t xml:space="preserve">: </w:t>
      </w:r>
      <w:r w:rsidR="00FA5CA5" w:rsidRPr="007F30D6">
        <w:rPr>
          <w:rFonts w:ascii="Arial" w:hAnsi="Arial" w:cs="Arial"/>
          <w:b/>
          <w:bCs/>
        </w:rPr>
        <w:t>Detailed f</w:t>
      </w:r>
      <w:r w:rsidR="00EB3874" w:rsidRPr="007F30D6">
        <w:rPr>
          <w:rFonts w:ascii="Arial" w:hAnsi="Arial" w:cs="Arial"/>
          <w:b/>
          <w:bCs/>
        </w:rPr>
        <w:t>indings regarding f</w:t>
      </w:r>
      <w:r w:rsidR="008E0B60" w:rsidRPr="007F30D6">
        <w:rPr>
          <w:rFonts w:ascii="Arial" w:hAnsi="Arial" w:cs="Arial"/>
          <w:b/>
          <w:bCs/>
        </w:rPr>
        <w:t>actors i</w:t>
      </w:r>
      <w:r w:rsidR="004B64CD" w:rsidRPr="007F30D6">
        <w:rPr>
          <w:rFonts w:ascii="Arial" w:hAnsi="Arial" w:cs="Arial"/>
          <w:b/>
          <w:bCs/>
        </w:rPr>
        <w:t>nfluenc</w:t>
      </w:r>
      <w:r w:rsidR="008E0B60" w:rsidRPr="007F30D6">
        <w:rPr>
          <w:rFonts w:ascii="Arial" w:hAnsi="Arial" w:cs="Arial"/>
          <w:b/>
          <w:bCs/>
        </w:rPr>
        <w:t>ing</w:t>
      </w:r>
      <w:r w:rsidR="004B64CD" w:rsidRPr="007F30D6">
        <w:rPr>
          <w:rFonts w:ascii="Arial" w:hAnsi="Arial" w:cs="Arial"/>
          <w:b/>
          <w:bCs/>
        </w:rPr>
        <w:t xml:space="preserve"> PHC planning</w:t>
      </w:r>
    </w:p>
    <w:tbl>
      <w:tblPr>
        <w:tblStyle w:val="TableGrid"/>
        <w:tblW w:w="15871" w:type="dxa"/>
        <w:jc w:val="center"/>
        <w:tblLook w:val="04A0" w:firstRow="1" w:lastRow="0" w:firstColumn="1" w:lastColumn="0" w:noHBand="0" w:noVBand="1"/>
      </w:tblPr>
      <w:tblGrid>
        <w:gridCol w:w="2122"/>
        <w:gridCol w:w="2126"/>
        <w:gridCol w:w="7371"/>
        <w:gridCol w:w="4252"/>
      </w:tblGrid>
      <w:tr w:rsidR="006F39E7" w:rsidRPr="007F30D6" w14:paraId="0CB674BD" w14:textId="77777777" w:rsidTr="00FA5CA5">
        <w:trPr>
          <w:tblHeader/>
          <w:jc w:val="center"/>
        </w:trPr>
        <w:tc>
          <w:tcPr>
            <w:tcW w:w="2122" w:type="dxa"/>
            <w:shd w:val="clear" w:color="auto" w:fill="D9D9D9" w:themeFill="background1" w:themeFillShade="D9"/>
          </w:tcPr>
          <w:p w14:paraId="3826D92E" w14:textId="523E9969" w:rsidR="006F39E7" w:rsidRPr="007F30D6" w:rsidRDefault="006F39E7">
            <w:pPr>
              <w:rPr>
                <w:rFonts w:ascii="Arial" w:hAnsi="Arial" w:cs="Arial"/>
                <w:b/>
                <w:bCs/>
              </w:rPr>
            </w:pPr>
            <w:r w:rsidRPr="007F30D6">
              <w:rPr>
                <w:rFonts w:ascii="Arial" w:hAnsi="Arial" w:cs="Arial"/>
                <w:b/>
                <w:bCs/>
              </w:rPr>
              <w:t>Factor</w:t>
            </w:r>
          </w:p>
        </w:tc>
        <w:tc>
          <w:tcPr>
            <w:tcW w:w="2126" w:type="dxa"/>
            <w:shd w:val="clear" w:color="auto" w:fill="D9D9D9" w:themeFill="background1" w:themeFillShade="D9"/>
          </w:tcPr>
          <w:p w14:paraId="0BB91BB8" w14:textId="07E7C3E6" w:rsidR="006F39E7" w:rsidRPr="007F30D6" w:rsidRDefault="006F39E7">
            <w:pPr>
              <w:rPr>
                <w:rFonts w:ascii="Arial" w:hAnsi="Arial" w:cs="Arial"/>
                <w:b/>
                <w:bCs/>
              </w:rPr>
            </w:pPr>
            <w:r w:rsidRPr="007F30D6">
              <w:rPr>
                <w:rFonts w:ascii="Arial" w:hAnsi="Arial" w:cs="Arial"/>
                <w:b/>
                <w:bCs/>
              </w:rPr>
              <w:t>Source of influence &amp; position in framework</w:t>
            </w:r>
          </w:p>
          <w:p w14:paraId="09F57F63" w14:textId="3C568C76" w:rsidR="006F39E7" w:rsidRPr="007F30D6" w:rsidRDefault="006F39E7">
            <w:pPr>
              <w:rPr>
                <w:rFonts w:ascii="Arial" w:hAnsi="Arial" w:cs="Arial"/>
                <w:b/>
                <w:bCs/>
              </w:rPr>
            </w:pPr>
          </w:p>
        </w:tc>
        <w:tc>
          <w:tcPr>
            <w:tcW w:w="7371" w:type="dxa"/>
            <w:shd w:val="clear" w:color="auto" w:fill="D9D9D9" w:themeFill="background1" w:themeFillShade="D9"/>
          </w:tcPr>
          <w:p w14:paraId="2A24A420" w14:textId="694014F2" w:rsidR="006F39E7" w:rsidRPr="007F30D6" w:rsidRDefault="00B051ED">
            <w:pPr>
              <w:rPr>
                <w:rFonts w:ascii="Arial" w:hAnsi="Arial" w:cs="Arial"/>
                <w:b/>
                <w:bCs/>
              </w:rPr>
            </w:pPr>
            <w:r w:rsidRPr="007F30D6">
              <w:rPr>
                <w:rFonts w:ascii="Arial" w:hAnsi="Arial" w:cs="Arial"/>
                <w:b/>
                <w:bCs/>
              </w:rPr>
              <w:t>Key f</w:t>
            </w:r>
            <w:r w:rsidR="006F39E7" w:rsidRPr="007F30D6">
              <w:rPr>
                <w:rFonts w:ascii="Arial" w:hAnsi="Arial" w:cs="Arial"/>
                <w:b/>
                <w:bCs/>
              </w:rPr>
              <w:t>indings and quotes</w:t>
            </w:r>
            <w:r w:rsidR="00B93C01" w:rsidRPr="007F30D6">
              <w:rPr>
                <w:rFonts w:ascii="Arial" w:hAnsi="Arial" w:cs="Arial"/>
                <w:b/>
                <w:bCs/>
              </w:rPr>
              <w:t xml:space="preserve"> illustrating the influence</w:t>
            </w:r>
          </w:p>
        </w:tc>
        <w:tc>
          <w:tcPr>
            <w:tcW w:w="4252" w:type="dxa"/>
            <w:shd w:val="clear" w:color="auto" w:fill="D9D9D9" w:themeFill="background1" w:themeFillShade="D9"/>
          </w:tcPr>
          <w:p w14:paraId="5AB92B14" w14:textId="689E1887" w:rsidR="006F39E7" w:rsidRPr="007F30D6" w:rsidRDefault="006F39E7">
            <w:pPr>
              <w:rPr>
                <w:rFonts w:ascii="Arial" w:hAnsi="Arial" w:cs="Arial"/>
                <w:b/>
                <w:bCs/>
              </w:rPr>
            </w:pPr>
            <w:r w:rsidRPr="007F30D6">
              <w:rPr>
                <w:rFonts w:ascii="Arial" w:hAnsi="Arial" w:cs="Arial"/>
                <w:b/>
                <w:bCs/>
              </w:rPr>
              <w:t>Implications for (evidence-informed) planning</w:t>
            </w:r>
          </w:p>
        </w:tc>
      </w:tr>
      <w:tr w:rsidR="006F39E7" w:rsidRPr="007F30D6" w14:paraId="301FA480" w14:textId="77777777" w:rsidTr="00FA5CA5">
        <w:trPr>
          <w:jc w:val="center"/>
        </w:trPr>
        <w:tc>
          <w:tcPr>
            <w:tcW w:w="2122" w:type="dxa"/>
          </w:tcPr>
          <w:p w14:paraId="6B1BD752" w14:textId="6A44D571" w:rsidR="006F39E7" w:rsidRPr="007F30D6" w:rsidRDefault="006F39E7" w:rsidP="00A17F3D">
            <w:pPr>
              <w:rPr>
                <w:rFonts w:ascii="Arial" w:hAnsi="Arial" w:cs="Arial"/>
              </w:rPr>
            </w:pPr>
            <w:r w:rsidRPr="007F30D6">
              <w:rPr>
                <w:rFonts w:ascii="Arial" w:hAnsi="Arial" w:cs="Arial"/>
              </w:rPr>
              <w:t>Evidence sources</w:t>
            </w:r>
          </w:p>
        </w:tc>
        <w:tc>
          <w:tcPr>
            <w:tcW w:w="2126" w:type="dxa"/>
          </w:tcPr>
          <w:p w14:paraId="401AA0B3" w14:textId="77A8A55C" w:rsidR="006F39E7" w:rsidRPr="007F30D6" w:rsidRDefault="006F39E7" w:rsidP="00A17F3D">
            <w:pPr>
              <w:rPr>
                <w:rFonts w:ascii="Arial" w:hAnsi="Arial" w:cs="Arial"/>
              </w:rPr>
            </w:pPr>
            <w:r w:rsidRPr="007F30D6">
              <w:rPr>
                <w:rFonts w:ascii="Arial" w:hAnsi="Arial" w:cs="Arial"/>
              </w:rPr>
              <w:t>Federal government – external actor influences PHN access to evidence resources.</w:t>
            </w:r>
          </w:p>
        </w:tc>
        <w:tc>
          <w:tcPr>
            <w:tcW w:w="7371" w:type="dxa"/>
          </w:tcPr>
          <w:p w14:paraId="5893BE41" w14:textId="7EACDDD4" w:rsidR="006F39E7" w:rsidRPr="007F30D6" w:rsidRDefault="006F39E7" w:rsidP="00A17F3D">
            <w:pPr>
              <w:rPr>
                <w:rFonts w:ascii="Arial" w:eastAsiaTheme="majorEastAsia" w:hAnsi="Arial" w:cs="Arial"/>
              </w:rPr>
            </w:pPr>
            <w:r w:rsidRPr="007F30D6">
              <w:rPr>
                <w:rFonts w:ascii="Arial" w:eastAsiaTheme="majorEastAsia" w:hAnsi="Arial" w:cs="Arial"/>
              </w:rPr>
              <w:t>The Department of Health indirectly influences which evidence informs needs assessment and planning, by providing access and directing PHNs to large national data sets via a PHN web portal, as the basis for their needs assessments. Evidence in these portals tends to be quantitative demographic, epidemiological and health services utilisation data.</w:t>
            </w:r>
          </w:p>
        </w:tc>
        <w:tc>
          <w:tcPr>
            <w:tcW w:w="4252" w:type="dxa"/>
          </w:tcPr>
          <w:p w14:paraId="36F6AB8A" w14:textId="3B989A7D" w:rsidR="006F39E7" w:rsidRPr="007F30D6" w:rsidRDefault="00804364" w:rsidP="00A17F3D">
            <w:pPr>
              <w:rPr>
                <w:rFonts w:ascii="Arial" w:hAnsi="Arial" w:cs="Arial"/>
              </w:rPr>
            </w:pPr>
            <w:r w:rsidRPr="007F30D6">
              <w:rPr>
                <w:rFonts w:ascii="Arial" w:hAnsi="Arial" w:cs="Arial"/>
              </w:rPr>
              <w:t>Constrains evidence-informed planning. D</w:t>
            </w:r>
            <w:r w:rsidR="006F39E7" w:rsidRPr="007F30D6">
              <w:rPr>
                <w:rFonts w:ascii="Arial" w:hAnsi="Arial" w:cs="Arial"/>
              </w:rPr>
              <w:t>rives PHNs towards bio-medically focussed, quantitative evidence sources</w:t>
            </w:r>
          </w:p>
        </w:tc>
      </w:tr>
      <w:tr w:rsidR="006F39E7" w:rsidRPr="007F30D6" w14:paraId="32C160A6" w14:textId="77777777" w:rsidTr="00FA5CA5">
        <w:trPr>
          <w:jc w:val="center"/>
        </w:trPr>
        <w:tc>
          <w:tcPr>
            <w:tcW w:w="2122" w:type="dxa"/>
          </w:tcPr>
          <w:p w14:paraId="3773004E" w14:textId="0B5E37B7" w:rsidR="006F39E7" w:rsidRPr="007F30D6" w:rsidRDefault="006F39E7" w:rsidP="00A17F3D">
            <w:pPr>
              <w:rPr>
                <w:rFonts w:ascii="Arial" w:hAnsi="Arial" w:cs="Arial"/>
              </w:rPr>
            </w:pPr>
            <w:r w:rsidRPr="007F30D6">
              <w:rPr>
                <w:rFonts w:ascii="Arial" w:hAnsi="Arial" w:cs="Arial"/>
              </w:rPr>
              <w:t xml:space="preserve">Inadequate support and guidance </w:t>
            </w:r>
          </w:p>
        </w:tc>
        <w:tc>
          <w:tcPr>
            <w:tcW w:w="2126" w:type="dxa"/>
          </w:tcPr>
          <w:p w14:paraId="0657A273" w14:textId="0734791F" w:rsidR="006F39E7" w:rsidRPr="007F30D6" w:rsidRDefault="006F39E7" w:rsidP="00A17F3D">
            <w:pPr>
              <w:rPr>
                <w:rFonts w:ascii="Arial" w:hAnsi="Arial" w:cs="Arial"/>
              </w:rPr>
            </w:pPr>
            <w:r w:rsidRPr="007F30D6">
              <w:rPr>
                <w:rFonts w:ascii="Arial" w:hAnsi="Arial" w:cs="Arial"/>
              </w:rPr>
              <w:t>Federal government – external actor that influences PHNs</w:t>
            </w:r>
            <w:r w:rsidR="00DB20B3" w:rsidRPr="007F30D6">
              <w:rPr>
                <w:rFonts w:ascii="Arial" w:hAnsi="Arial" w:cs="Arial"/>
              </w:rPr>
              <w:t>’</w:t>
            </w:r>
            <w:r w:rsidRPr="007F30D6">
              <w:rPr>
                <w:rFonts w:ascii="Arial" w:hAnsi="Arial" w:cs="Arial"/>
              </w:rPr>
              <w:t xml:space="preserve"> capacity and processes.</w:t>
            </w:r>
          </w:p>
        </w:tc>
        <w:tc>
          <w:tcPr>
            <w:tcW w:w="7371" w:type="dxa"/>
          </w:tcPr>
          <w:p w14:paraId="6AFFBB17" w14:textId="73B7D520" w:rsidR="0015488F" w:rsidRPr="007F30D6" w:rsidRDefault="006F39E7" w:rsidP="00A17F3D">
            <w:pPr>
              <w:rPr>
                <w:rFonts w:ascii="Arial" w:hAnsi="Arial" w:cs="Arial"/>
              </w:rPr>
            </w:pPr>
            <w:r w:rsidRPr="007F30D6">
              <w:rPr>
                <w:rFonts w:ascii="Arial" w:eastAsiaTheme="majorEastAsia" w:hAnsi="Arial" w:cs="Arial"/>
              </w:rPr>
              <w:t xml:space="preserve">Interviewees </w:t>
            </w:r>
            <w:r w:rsidR="0015488F" w:rsidRPr="007F30D6">
              <w:rPr>
                <w:rFonts w:ascii="Arial" w:hAnsi="Arial" w:cs="Arial"/>
              </w:rPr>
              <w:t>strenuously criticised</w:t>
            </w:r>
            <w:r w:rsidR="0015488F" w:rsidRPr="007F30D6" w:rsidDel="0015488F">
              <w:rPr>
                <w:rFonts w:ascii="Arial" w:eastAsiaTheme="majorEastAsia" w:hAnsi="Arial" w:cs="Arial"/>
              </w:rPr>
              <w:t xml:space="preserve"> </w:t>
            </w:r>
            <w:r w:rsidR="0015488F" w:rsidRPr="007F30D6">
              <w:rPr>
                <w:rFonts w:ascii="Arial" w:hAnsi="Arial" w:cs="Arial"/>
              </w:rPr>
              <w:t xml:space="preserve">the lack of support or guidance by the federal Department of Health </w:t>
            </w:r>
            <w:r w:rsidR="0015488F" w:rsidRPr="007F30D6">
              <w:rPr>
                <w:rFonts w:ascii="Arial" w:eastAsiaTheme="majorEastAsia" w:hAnsi="Arial" w:cs="Arial"/>
              </w:rPr>
              <w:t>regarding planning and commissioning in the early stages of establishment, and t</w:t>
            </w:r>
            <w:r w:rsidR="0015488F" w:rsidRPr="007F30D6">
              <w:rPr>
                <w:rFonts w:ascii="Arial" w:hAnsi="Arial" w:cs="Arial"/>
              </w:rPr>
              <w:t>he imposition of</w:t>
            </w:r>
            <w:r w:rsidR="0015488F" w:rsidRPr="007F30D6" w:rsidDel="00E00C08">
              <w:rPr>
                <w:rFonts w:ascii="Arial" w:hAnsi="Arial" w:cs="Arial"/>
              </w:rPr>
              <w:t xml:space="preserve"> </w:t>
            </w:r>
            <w:r w:rsidR="0015488F" w:rsidRPr="007F30D6">
              <w:rPr>
                <w:rFonts w:ascii="Arial" w:hAnsi="Arial" w:cs="Arial"/>
              </w:rPr>
              <w:t xml:space="preserve">tight transition timeframes: </w:t>
            </w:r>
            <w:r w:rsidR="0015488F" w:rsidRPr="007F30D6">
              <w:rPr>
                <w:rFonts w:ascii="Arial" w:hAnsi="Arial" w:cs="Arial"/>
                <w:i/>
                <w:iCs/>
              </w:rPr>
              <w:t>“I don’t think that there was really much help coming from them [the Department of Health]. In fact, I think they’re all scrambling desperately to work out how to do it all themselves.”</w:t>
            </w:r>
            <w:r w:rsidR="0015488F" w:rsidRPr="007F30D6">
              <w:rPr>
                <w:rFonts w:ascii="Arial" w:hAnsi="Arial" w:cs="Arial"/>
              </w:rPr>
              <w:t xml:space="preserve"> (Board, Metro South, 2016)</w:t>
            </w:r>
          </w:p>
        </w:tc>
        <w:tc>
          <w:tcPr>
            <w:tcW w:w="4252" w:type="dxa"/>
          </w:tcPr>
          <w:p w14:paraId="6FB94CBA" w14:textId="0CFB6F70" w:rsidR="000672A6" w:rsidRPr="007F30D6" w:rsidRDefault="000672A6" w:rsidP="00A17F3D">
            <w:pPr>
              <w:rPr>
                <w:rFonts w:ascii="Arial" w:hAnsi="Arial" w:cs="Arial"/>
              </w:rPr>
            </w:pPr>
            <w:r w:rsidRPr="007F30D6">
              <w:rPr>
                <w:rFonts w:ascii="Arial" w:hAnsi="Arial" w:cs="Arial"/>
              </w:rPr>
              <w:t>Impeded establishment of organisational capacity, robust planning processes and culture, and made for great uncertainty and stress at the outset.</w:t>
            </w:r>
          </w:p>
        </w:tc>
      </w:tr>
      <w:tr w:rsidR="006F39E7" w:rsidRPr="007F30D6" w14:paraId="2E41AB4B" w14:textId="77777777" w:rsidTr="00FA5CA5">
        <w:trPr>
          <w:jc w:val="center"/>
        </w:trPr>
        <w:tc>
          <w:tcPr>
            <w:tcW w:w="2122" w:type="dxa"/>
          </w:tcPr>
          <w:p w14:paraId="4C22E0D7" w14:textId="69887758" w:rsidR="006F39E7" w:rsidRPr="007F30D6" w:rsidRDefault="006F39E7" w:rsidP="00A17F3D">
            <w:pPr>
              <w:rPr>
                <w:rFonts w:ascii="Arial" w:hAnsi="Arial" w:cs="Arial"/>
              </w:rPr>
            </w:pPr>
            <w:r w:rsidRPr="007F30D6">
              <w:rPr>
                <w:rFonts w:ascii="Arial" w:hAnsi="Arial" w:cs="Arial"/>
              </w:rPr>
              <w:t>Health service landscape</w:t>
            </w:r>
          </w:p>
        </w:tc>
        <w:tc>
          <w:tcPr>
            <w:tcW w:w="2126" w:type="dxa"/>
          </w:tcPr>
          <w:p w14:paraId="52455DAC" w14:textId="6BC177AE" w:rsidR="006F39E7" w:rsidRPr="007F30D6" w:rsidRDefault="006F39E7" w:rsidP="00A17F3D">
            <w:pPr>
              <w:rPr>
                <w:rFonts w:ascii="Arial" w:hAnsi="Arial" w:cs="Arial"/>
              </w:rPr>
            </w:pPr>
            <w:r w:rsidRPr="007F30D6">
              <w:rPr>
                <w:rFonts w:ascii="Arial" w:hAnsi="Arial" w:cs="Arial"/>
              </w:rPr>
              <w:t>External context – local/regional.</w:t>
            </w:r>
          </w:p>
        </w:tc>
        <w:tc>
          <w:tcPr>
            <w:tcW w:w="7371" w:type="dxa"/>
          </w:tcPr>
          <w:p w14:paraId="4A2765BA" w14:textId="2EB7DCB0" w:rsidR="006F39E7" w:rsidRPr="007F30D6" w:rsidRDefault="006F39E7" w:rsidP="00A17F3D">
            <w:pPr>
              <w:rPr>
                <w:rFonts w:ascii="Arial" w:hAnsi="Arial" w:cs="Arial"/>
              </w:rPr>
            </w:pPr>
            <w:r w:rsidRPr="007F30D6">
              <w:rPr>
                <w:rFonts w:ascii="Arial" w:hAnsi="Arial" w:cs="Arial"/>
              </w:rPr>
              <w:t xml:space="preserve">The </w:t>
            </w:r>
            <w:r w:rsidR="0076463C" w:rsidRPr="007F30D6">
              <w:rPr>
                <w:rFonts w:ascii="Arial" w:hAnsi="Arial" w:cs="Arial"/>
              </w:rPr>
              <w:t>composition</w:t>
            </w:r>
            <w:r w:rsidRPr="007F30D6">
              <w:rPr>
                <w:rFonts w:ascii="Arial" w:hAnsi="Arial" w:cs="Arial"/>
              </w:rPr>
              <w:t xml:space="preserve"> and distribution of healthcare services and workforce in the region influences local needs/priorities and planning options. This is particularly an issue in regional and remote areas where health workforce shortages are common. In service-rich areas integration between service providers took greater priority.</w:t>
            </w:r>
          </w:p>
        </w:tc>
        <w:tc>
          <w:tcPr>
            <w:tcW w:w="4252" w:type="dxa"/>
          </w:tcPr>
          <w:p w14:paraId="64766D08" w14:textId="2AD1B139" w:rsidR="006F39E7" w:rsidRPr="007F30D6" w:rsidRDefault="006F39E7" w:rsidP="00A17F3D">
            <w:pPr>
              <w:rPr>
                <w:rFonts w:ascii="Arial" w:hAnsi="Arial" w:cs="Arial"/>
              </w:rPr>
            </w:pPr>
            <w:r w:rsidRPr="007F30D6">
              <w:rPr>
                <w:rFonts w:ascii="Arial" w:hAnsi="Arial" w:cs="Arial"/>
              </w:rPr>
              <w:t>Workforce shortages limit options for planned services/programs to address local needs</w:t>
            </w:r>
          </w:p>
        </w:tc>
      </w:tr>
      <w:tr w:rsidR="006F39E7" w:rsidRPr="007F30D6" w14:paraId="6B21F353" w14:textId="77777777" w:rsidTr="00FA5CA5">
        <w:trPr>
          <w:jc w:val="center"/>
        </w:trPr>
        <w:tc>
          <w:tcPr>
            <w:tcW w:w="2122" w:type="dxa"/>
          </w:tcPr>
          <w:p w14:paraId="2855187D" w14:textId="17DEF61A" w:rsidR="006F39E7" w:rsidRPr="007F30D6" w:rsidRDefault="006F39E7" w:rsidP="00A17F3D">
            <w:pPr>
              <w:rPr>
                <w:rFonts w:ascii="Arial" w:hAnsi="Arial" w:cs="Arial"/>
              </w:rPr>
            </w:pPr>
            <w:r w:rsidRPr="007F30D6">
              <w:rPr>
                <w:rFonts w:ascii="Arial" w:hAnsi="Arial" w:cs="Arial"/>
              </w:rPr>
              <w:t xml:space="preserve">Local geography </w:t>
            </w:r>
          </w:p>
        </w:tc>
        <w:tc>
          <w:tcPr>
            <w:tcW w:w="2126" w:type="dxa"/>
          </w:tcPr>
          <w:p w14:paraId="0B6EDF57" w14:textId="7D889422" w:rsidR="006F39E7" w:rsidRPr="007F30D6" w:rsidRDefault="006F39E7" w:rsidP="00A17F3D">
            <w:pPr>
              <w:rPr>
                <w:rFonts w:ascii="Arial" w:hAnsi="Arial" w:cs="Arial"/>
              </w:rPr>
            </w:pPr>
            <w:r w:rsidRPr="007F30D6">
              <w:rPr>
                <w:rFonts w:ascii="Arial" w:hAnsi="Arial" w:cs="Arial"/>
              </w:rPr>
              <w:t>External context – local/regional.</w:t>
            </w:r>
          </w:p>
        </w:tc>
        <w:tc>
          <w:tcPr>
            <w:tcW w:w="7371" w:type="dxa"/>
          </w:tcPr>
          <w:p w14:paraId="4A3C0FB0" w14:textId="0DDF71A4" w:rsidR="006F39E7" w:rsidRPr="007F30D6" w:rsidRDefault="006F39E7" w:rsidP="00A17F3D">
            <w:pPr>
              <w:rPr>
                <w:rFonts w:ascii="Arial" w:hAnsi="Arial" w:cs="Arial"/>
              </w:rPr>
            </w:pPr>
            <w:r w:rsidRPr="007F30D6">
              <w:rPr>
                <w:rFonts w:ascii="Arial" w:hAnsi="Arial" w:cs="Arial"/>
              </w:rPr>
              <w:t>Population density and remoteness vary among and within PHNs.</w:t>
            </w:r>
          </w:p>
          <w:p w14:paraId="3C3ABFB4" w14:textId="77777777" w:rsidR="006F39E7" w:rsidRPr="007F30D6" w:rsidRDefault="006F39E7" w:rsidP="00045EE0">
            <w:pPr>
              <w:rPr>
                <w:rFonts w:ascii="Arial" w:hAnsi="Arial" w:cs="Arial"/>
              </w:rPr>
            </w:pPr>
            <w:r w:rsidRPr="007F30D6">
              <w:rPr>
                <w:rFonts w:ascii="Arial" w:hAnsi="Arial" w:cs="Arial"/>
              </w:rPr>
              <w:t>Geographies and local climate conditions can also influence population health needs.</w:t>
            </w:r>
          </w:p>
          <w:p w14:paraId="1186FF56" w14:textId="77777777" w:rsidR="006F39E7" w:rsidRPr="007F30D6" w:rsidRDefault="006F39E7" w:rsidP="00A17F3D">
            <w:pPr>
              <w:rPr>
                <w:rFonts w:ascii="Arial" w:hAnsi="Arial" w:cs="Arial"/>
              </w:rPr>
            </w:pPr>
          </w:p>
          <w:p w14:paraId="038B20EE" w14:textId="77777777" w:rsidR="006F39E7" w:rsidRPr="007F30D6" w:rsidRDefault="006F39E7" w:rsidP="00A17F3D">
            <w:pPr>
              <w:rPr>
                <w:rFonts w:ascii="Arial" w:hAnsi="Arial" w:cs="Arial"/>
              </w:rPr>
            </w:pPr>
          </w:p>
          <w:p w14:paraId="377AB9F0" w14:textId="0FCB7794" w:rsidR="006F39E7" w:rsidRPr="007F30D6" w:rsidRDefault="006F39E7" w:rsidP="00045EE0">
            <w:pPr>
              <w:rPr>
                <w:rFonts w:ascii="Arial" w:hAnsi="Arial" w:cs="Arial"/>
              </w:rPr>
            </w:pPr>
          </w:p>
        </w:tc>
        <w:tc>
          <w:tcPr>
            <w:tcW w:w="4252" w:type="dxa"/>
          </w:tcPr>
          <w:p w14:paraId="1598DDE1" w14:textId="046536E4" w:rsidR="006F39E7" w:rsidRPr="007F30D6" w:rsidRDefault="006F39E7" w:rsidP="00A17F3D">
            <w:pPr>
              <w:rPr>
                <w:rFonts w:ascii="Arial" w:hAnsi="Arial" w:cs="Arial"/>
              </w:rPr>
            </w:pPr>
            <w:r w:rsidRPr="007F30D6">
              <w:rPr>
                <w:rFonts w:ascii="Arial" w:hAnsi="Arial" w:cs="Arial"/>
              </w:rPr>
              <w:t xml:space="preserve">Influences local health needs. Can constrain options for interventions to address needs. Impacts on service viability, distribution and access.  </w:t>
            </w:r>
          </w:p>
          <w:p w14:paraId="7A3C01E7" w14:textId="0B3405C3" w:rsidR="006F39E7" w:rsidRPr="007F30D6" w:rsidRDefault="006F39E7" w:rsidP="00A17F3D">
            <w:pPr>
              <w:rPr>
                <w:rFonts w:ascii="Arial" w:hAnsi="Arial" w:cs="Arial"/>
              </w:rPr>
            </w:pPr>
            <w:r w:rsidRPr="007F30D6">
              <w:rPr>
                <w:rFonts w:ascii="Arial" w:hAnsi="Arial" w:cs="Arial"/>
              </w:rPr>
              <w:t xml:space="preserve">Distance/remoteness can limit stakeholder </w:t>
            </w:r>
            <w:r w:rsidR="00101073" w:rsidRPr="007F30D6">
              <w:rPr>
                <w:rFonts w:ascii="Arial" w:hAnsi="Arial" w:cs="Arial"/>
              </w:rPr>
              <w:t>engagement</w:t>
            </w:r>
            <w:r w:rsidR="00C04ED9" w:rsidRPr="007F30D6">
              <w:rPr>
                <w:rFonts w:ascii="Arial" w:hAnsi="Arial" w:cs="Arial"/>
              </w:rPr>
              <w:t xml:space="preserve"> and </w:t>
            </w:r>
            <w:r w:rsidR="003D54C0" w:rsidRPr="007F30D6">
              <w:rPr>
                <w:rFonts w:ascii="Arial" w:hAnsi="Arial" w:cs="Arial"/>
              </w:rPr>
              <w:t>increase</w:t>
            </w:r>
            <w:r w:rsidR="00C04ED9" w:rsidRPr="007F30D6">
              <w:rPr>
                <w:rFonts w:ascii="Arial" w:hAnsi="Arial" w:cs="Arial"/>
              </w:rPr>
              <w:t xml:space="preserve"> operational and program costs</w:t>
            </w:r>
          </w:p>
        </w:tc>
      </w:tr>
      <w:tr w:rsidR="0017793A" w:rsidRPr="007F30D6" w14:paraId="37DAA2AE" w14:textId="77777777" w:rsidTr="00FA5CA5">
        <w:trPr>
          <w:jc w:val="center"/>
        </w:trPr>
        <w:tc>
          <w:tcPr>
            <w:tcW w:w="2122" w:type="dxa"/>
          </w:tcPr>
          <w:p w14:paraId="746DEA5F" w14:textId="7587FA4C" w:rsidR="0017793A" w:rsidRPr="007F30D6" w:rsidRDefault="0017793A" w:rsidP="00A17F3D">
            <w:pPr>
              <w:rPr>
                <w:rFonts w:ascii="Arial" w:hAnsi="Arial" w:cs="Arial"/>
              </w:rPr>
            </w:pPr>
            <w:r w:rsidRPr="007F30D6">
              <w:rPr>
                <w:rFonts w:ascii="Arial" w:hAnsi="Arial" w:cs="Arial"/>
              </w:rPr>
              <w:t>Socio-demographic context</w:t>
            </w:r>
          </w:p>
        </w:tc>
        <w:tc>
          <w:tcPr>
            <w:tcW w:w="2126" w:type="dxa"/>
          </w:tcPr>
          <w:p w14:paraId="36230264" w14:textId="77777777" w:rsidR="0017793A" w:rsidRPr="007F30D6" w:rsidRDefault="0017793A" w:rsidP="00A17F3D">
            <w:pPr>
              <w:rPr>
                <w:rFonts w:ascii="Arial" w:hAnsi="Arial" w:cs="Arial"/>
              </w:rPr>
            </w:pPr>
            <w:r w:rsidRPr="007F30D6">
              <w:rPr>
                <w:rFonts w:ascii="Arial" w:hAnsi="Arial" w:cs="Arial"/>
              </w:rPr>
              <w:t>External context – local/regional</w:t>
            </w:r>
          </w:p>
          <w:p w14:paraId="210A3203" w14:textId="343EDA05" w:rsidR="0017793A" w:rsidRPr="007F30D6" w:rsidRDefault="0017793A" w:rsidP="00A17F3D">
            <w:pPr>
              <w:rPr>
                <w:rFonts w:ascii="Arial" w:hAnsi="Arial" w:cs="Arial"/>
              </w:rPr>
            </w:pPr>
          </w:p>
        </w:tc>
        <w:tc>
          <w:tcPr>
            <w:tcW w:w="7371" w:type="dxa"/>
          </w:tcPr>
          <w:p w14:paraId="1B3972EC" w14:textId="77777777" w:rsidR="0017793A" w:rsidRPr="007F30D6" w:rsidRDefault="0017793A" w:rsidP="00EF12AF">
            <w:pPr>
              <w:rPr>
                <w:rFonts w:ascii="Arial" w:hAnsi="Arial" w:cs="Arial"/>
              </w:rPr>
            </w:pPr>
            <w:r w:rsidRPr="007F30D6">
              <w:rPr>
                <w:rFonts w:ascii="Arial" w:hAnsi="Arial" w:cs="Arial"/>
              </w:rPr>
              <w:t>Different regions have diverse demographic profiles, with varying population proportions of Aboriginal and Torres Strait Islander people, people from culturally and linguistically diverse communities, refugees and migrants.</w:t>
            </w:r>
          </w:p>
          <w:p w14:paraId="76134FC0" w14:textId="77777777" w:rsidR="0017793A" w:rsidRPr="007F30D6" w:rsidRDefault="0017793A" w:rsidP="00EF12AF">
            <w:pPr>
              <w:rPr>
                <w:rFonts w:ascii="Arial" w:hAnsi="Arial" w:cs="Arial"/>
              </w:rPr>
            </w:pPr>
          </w:p>
          <w:p w14:paraId="54A63678" w14:textId="77777777" w:rsidR="0017793A" w:rsidRPr="007F30D6" w:rsidRDefault="0017793A" w:rsidP="00EF12AF">
            <w:pPr>
              <w:rPr>
                <w:rFonts w:ascii="Arial" w:hAnsi="Arial" w:cs="Arial"/>
              </w:rPr>
            </w:pPr>
          </w:p>
          <w:p w14:paraId="0124A5CA" w14:textId="77777777" w:rsidR="0017793A" w:rsidRPr="007F30D6" w:rsidRDefault="0017793A" w:rsidP="00EF12AF">
            <w:pPr>
              <w:rPr>
                <w:rFonts w:ascii="Arial" w:hAnsi="Arial" w:cs="Arial"/>
              </w:rPr>
            </w:pPr>
          </w:p>
          <w:p w14:paraId="6B529605" w14:textId="77777777" w:rsidR="0017793A" w:rsidRPr="007F30D6" w:rsidRDefault="0017793A" w:rsidP="00EF12AF">
            <w:pPr>
              <w:rPr>
                <w:rFonts w:ascii="Arial" w:hAnsi="Arial" w:cs="Arial"/>
              </w:rPr>
            </w:pPr>
          </w:p>
          <w:p w14:paraId="1F6FDF95" w14:textId="77777777" w:rsidR="0017793A" w:rsidRPr="007F30D6" w:rsidRDefault="0017793A" w:rsidP="00EF12AF">
            <w:pPr>
              <w:rPr>
                <w:rFonts w:ascii="Arial" w:hAnsi="Arial" w:cs="Arial"/>
              </w:rPr>
            </w:pPr>
          </w:p>
          <w:p w14:paraId="1F2D5823" w14:textId="798DE631" w:rsidR="0017793A" w:rsidRPr="007F30D6" w:rsidRDefault="0017793A" w:rsidP="00EF12AF">
            <w:pPr>
              <w:rPr>
                <w:rFonts w:ascii="Arial" w:hAnsi="Arial" w:cs="Arial"/>
              </w:rPr>
            </w:pPr>
            <w:r w:rsidRPr="007F30D6">
              <w:rPr>
                <w:rFonts w:ascii="Arial" w:hAnsi="Arial" w:cs="Arial"/>
              </w:rPr>
              <w:lastRenderedPageBreak/>
              <w:t>S</w:t>
            </w:r>
            <w:r w:rsidR="0055176A" w:rsidRPr="007F30D6">
              <w:rPr>
                <w:rFonts w:ascii="Arial" w:hAnsi="Arial" w:cs="Arial"/>
              </w:rPr>
              <w:t xml:space="preserve">ome interviewees </w:t>
            </w:r>
            <w:r w:rsidR="00D55C03" w:rsidRPr="007F30D6">
              <w:rPr>
                <w:rFonts w:ascii="Arial" w:hAnsi="Arial" w:cs="Arial"/>
              </w:rPr>
              <w:t>saw s</w:t>
            </w:r>
            <w:r w:rsidRPr="007F30D6">
              <w:rPr>
                <w:rFonts w:ascii="Arial" w:hAnsi="Arial" w:cs="Arial"/>
              </w:rPr>
              <w:t xml:space="preserve">ocio-economic factors to be important, with endemic poverty and social disadvantage reported </w:t>
            </w:r>
            <w:r w:rsidRPr="007F30D6" w:rsidDel="006D7DC3">
              <w:rPr>
                <w:rFonts w:ascii="Arial" w:hAnsi="Arial" w:cs="Arial"/>
              </w:rPr>
              <w:t xml:space="preserve">as </w:t>
            </w:r>
            <w:r w:rsidRPr="007F30D6">
              <w:rPr>
                <w:rFonts w:ascii="Arial" w:hAnsi="Arial" w:cs="Arial"/>
              </w:rPr>
              <w:t>key issues in some regions.</w:t>
            </w:r>
          </w:p>
        </w:tc>
        <w:tc>
          <w:tcPr>
            <w:tcW w:w="4252" w:type="dxa"/>
          </w:tcPr>
          <w:p w14:paraId="7181BCBD" w14:textId="70801FB0" w:rsidR="0017793A" w:rsidRPr="007F30D6" w:rsidRDefault="0017793A" w:rsidP="00EF12AF">
            <w:pPr>
              <w:rPr>
                <w:rFonts w:ascii="Arial" w:hAnsi="Arial" w:cs="Arial"/>
              </w:rPr>
            </w:pPr>
            <w:r w:rsidRPr="007F30D6">
              <w:rPr>
                <w:rFonts w:ascii="Arial" w:hAnsi="Arial" w:cs="Arial"/>
              </w:rPr>
              <w:lastRenderedPageBreak/>
              <w:t>The diversity of communities has implications for identifying and appropriately responding to community health needs, in collaboration with communities, which is integral to local health planning. Co-design is more time consuming, but more ethical, than top-down, non-participatory health planning.</w:t>
            </w:r>
          </w:p>
          <w:p w14:paraId="1EA5E088" w14:textId="77777777" w:rsidR="0017793A" w:rsidRPr="007F30D6" w:rsidRDefault="0017793A" w:rsidP="00A17F3D">
            <w:pPr>
              <w:rPr>
                <w:rFonts w:ascii="Arial" w:hAnsi="Arial" w:cs="Arial"/>
              </w:rPr>
            </w:pPr>
          </w:p>
          <w:p w14:paraId="299AEF4A" w14:textId="4CEAE9B7" w:rsidR="0017793A" w:rsidRPr="007F30D6" w:rsidRDefault="0017793A" w:rsidP="00A17F3D">
            <w:pPr>
              <w:rPr>
                <w:rFonts w:ascii="Arial" w:hAnsi="Arial" w:cs="Arial"/>
              </w:rPr>
            </w:pPr>
            <w:r w:rsidRPr="007F30D6">
              <w:rPr>
                <w:rFonts w:ascii="Arial" w:hAnsi="Arial" w:cs="Arial"/>
              </w:rPr>
              <w:lastRenderedPageBreak/>
              <w:t>Communities that face endemic hardship have many competing priority issues, many of whose underlying causes are beyond the scope of PHNs’ influence. Planned interventions need to be appropriate for communities with diverse needs and limited resources.</w:t>
            </w:r>
          </w:p>
        </w:tc>
      </w:tr>
      <w:tr w:rsidR="002675D9" w:rsidRPr="007F30D6" w14:paraId="358DB49C" w14:textId="77777777" w:rsidTr="00FA5CA5">
        <w:trPr>
          <w:jc w:val="center"/>
        </w:trPr>
        <w:tc>
          <w:tcPr>
            <w:tcW w:w="2122" w:type="dxa"/>
          </w:tcPr>
          <w:p w14:paraId="73947145" w14:textId="75DA35FE" w:rsidR="002675D9" w:rsidRPr="007F30D6" w:rsidRDefault="002675D9" w:rsidP="00A17F3D">
            <w:pPr>
              <w:rPr>
                <w:rFonts w:ascii="Arial" w:hAnsi="Arial" w:cs="Arial"/>
              </w:rPr>
            </w:pPr>
            <w:r w:rsidRPr="007F30D6">
              <w:rPr>
                <w:rFonts w:ascii="Arial" w:hAnsi="Arial" w:cs="Arial"/>
              </w:rPr>
              <w:lastRenderedPageBreak/>
              <w:t>Interests, power and politics</w:t>
            </w:r>
          </w:p>
        </w:tc>
        <w:tc>
          <w:tcPr>
            <w:tcW w:w="2126" w:type="dxa"/>
          </w:tcPr>
          <w:p w14:paraId="0C5397E7" w14:textId="13D8D086" w:rsidR="002675D9" w:rsidRPr="007F30D6" w:rsidRDefault="002675D9" w:rsidP="00A17F3D">
            <w:pPr>
              <w:rPr>
                <w:rFonts w:ascii="Arial" w:hAnsi="Arial" w:cs="Arial"/>
              </w:rPr>
            </w:pPr>
            <w:r w:rsidRPr="007F30D6">
              <w:rPr>
                <w:rFonts w:ascii="Arial" w:hAnsi="Arial" w:cs="Arial"/>
              </w:rPr>
              <w:t>Local health care service providers – actors in the local context.</w:t>
            </w:r>
          </w:p>
        </w:tc>
        <w:tc>
          <w:tcPr>
            <w:tcW w:w="7371" w:type="dxa"/>
          </w:tcPr>
          <w:p w14:paraId="33343ABF" w14:textId="23968237" w:rsidR="002675D9" w:rsidRPr="007F30D6" w:rsidRDefault="002675D9" w:rsidP="00A17F3D">
            <w:pPr>
              <w:rPr>
                <w:rFonts w:ascii="Arial" w:hAnsi="Arial" w:cs="Arial"/>
              </w:rPr>
            </w:pPr>
            <w:r w:rsidRPr="007F30D6">
              <w:rPr>
                <w:rFonts w:ascii="Arial" w:hAnsi="Arial" w:cs="Arial"/>
              </w:rPr>
              <w:t>Vested interests of local service providers in commissioning was a common theme. Some interviewees from Clinical Councils and Community Advisory Committees were quite explicit that their motive for becoming involved with the PHN was to advocate for their particular interest, such as allied health, community services or general practice. Interests were generally underpinned by altruistic motives for the greater community good.</w:t>
            </w:r>
          </w:p>
          <w:p w14:paraId="600E3AE4" w14:textId="28FE4237" w:rsidR="002675D9" w:rsidRPr="007F30D6" w:rsidRDefault="002675D9" w:rsidP="00A17F3D">
            <w:pPr>
              <w:rPr>
                <w:rFonts w:ascii="Arial" w:hAnsi="Arial" w:cs="Arial"/>
              </w:rPr>
            </w:pPr>
            <w:r w:rsidRPr="007F30D6">
              <w:rPr>
                <w:rFonts w:ascii="Arial" w:hAnsi="Arial" w:cs="Arial"/>
              </w:rPr>
              <w:t>Vested interests challenged objective, evidence-informed decision-making when PHNs were redistributing or decommissioning services:</w:t>
            </w:r>
          </w:p>
          <w:p w14:paraId="7FFF340B" w14:textId="77777777" w:rsidR="002675D9" w:rsidRPr="007F30D6" w:rsidRDefault="002675D9" w:rsidP="00A17F3D">
            <w:pPr>
              <w:rPr>
                <w:rFonts w:ascii="Arial" w:eastAsiaTheme="majorEastAsia" w:hAnsi="Arial" w:cs="Arial"/>
                <w:i/>
                <w:iCs/>
              </w:rPr>
            </w:pPr>
            <w:r w:rsidRPr="007F30D6">
              <w:rPr>
                <w:rFonts w:ascii="Arial" w:eastAsiaTheme="majorEastAsia" w:hAnsi="Arial" w:cs="Arial"/>
                <w:i/>
                <w:iCs/>
              </w:rPr>
              <w:t>“it doesn’t make the role of a PHN as a commissioner easier when you’ve got this self-interested influence coming in at multiple levels that threatens to separate you from the objectivity of your planning and data analysis process that’s evidencing where you need to invest” (Senior Executive, Rural South)</w:t>
            </w:r>
          </w:p>
          <w:p w14:paraId="5D9E1F30" w14:textId="77777777" w:rsidR="007E6669" w:rsidRPr="007F30D6" w:rsidRDefault="007E6669" w:rsidP="00A17F3D">
            <w:pPr>
              <w:rPr>
                <w:rFonts w:ascii="Arial" w:eastAsiaTheme="majorEastAsia" w:hAnsi="Arial" w:cs="Arial"/>
                <w:i/>
                <w:iCs/>
              </w:rPr>
            </w:pPr>
          </w:p>
          <w:p w14:paraId="7DF728B8" w14:textId="6FD664E5" w:rsidR="007E6669" w:rsidRPr="007F30D6" w:rsidRDefault="007E6669" w:rsidP="00A17F3D">
            <w:pPr>
              <w:rPr>
                <w:rFonts w:ascii="Arial" w:hAnsi="Arial" w:cs="Arial"/>
              </w:rPr>
            </w:pPr>
            <w:r w:rsidRPr="007F30D6">
              <w:rPr>
                <w:rFonts w:ascii="Arial" w:hAnsi="Arial" w:cs="Arial"/>
              </w:rPr>
              <w:t>Th</w:t>
            </w:r>
            <w:r w:rsidR="00366CE1" w:rsidRPr="007F30D6">
              <w:rPr>
                <w:rFonts w:ascii="Arial" w:hAnsi="Arial" w:cs="Arial"/>
              </w:rPr>
              <w:t xml:space="preserve">e </w:t>
            </w:r>
            <w:r w:rsidR="0063226D" w:rsidRPr="007F30D6">
              <w:rPr>
                <w:rFonts w:ascii="Arial" w:hAnsi="Arial" w:cs="Arial"/>
              </w:rPr>
              <w:t xml:space="preserve">influence of </w:t>
            </w:r>
            <w:r w:rsidR="00366CE1" w:rsidRPr="007F30D6">
              <w:rPr>
                <w:rFonts w:ascii="Arial" w:hAnsi="Arial" w:cs="Arial"/>
              </w:rPr>
              <w:t>the federal government</w:t>
            </w:r>
            <w:r w:rsidR="00820F93" w:rsidRPr="007F30D6">
              <w:rPr>
                <w:rFonts w:ascii="Arial" w:hAnsi="Arial" w:cs="Arial"/>
              </w:rPr>
              <w:t>’s ideas of health</w:t>
            </w:r>
            <w:r w:rsidRPr="007F30D6">
              <w:rPr>
                <w:rFonts w:ascii="Arial" w:hAnsi="Arial" w:cs="Arial"/>
              </w:rPr>
              <w:t xml:space="preserve"> reflects the </w:t>
            </w:r>
            <w:r w:rsidR="0063226D" w:rsidRPr="007F30D6">
              <w:rPr>
                <w:rFonts w:ascii="Arial" w:hAnsi="Arial" w:cs="Arial"/>
              </w:rPr>
              <w:t xml:space="preserve">broader </w:t>
            </w:r>
            <w:r w:rsidRPr="007F30D6">
              <w:rPr>
                <w:rFonts w:ascii="Arial" w:hAnsi="Arial" w:cs="Arial"/>
              </w:rPr>
              <w:t>contextual influence of neoliberal ideology, with associated conservative, bio-medical, individualistic ideas and approaches, and the indirect influence of this global phenomenon on local planning.</w:t>
            </w:r>
          </w:p>
        </w:tc>
        <w:tc>
          <w:tcPr>
            <w:tcW w:w="4252" w:type="dxa"/>
          </w:tcPr>
          <w:p w14:paraId="5119766F" w14:textId="77777777" w:rsidR="002675D9" w:rsidRPr="007F30D6" w:rsidRDefault="002675D9" w:rsidP="00A17F3D">
            <w:pPr>
              <w:rPr>
                <w:rFonts w:ascii="Arial" w:hAnsi="Arial" w:cs="Arial"/>
              </w:rPr>
            </w:pPr>
            <w:r w:rsidRPr="007F30D6">
              <w:rPr>
                <w:rFonts w:ascii="Arial" w:hAnsi="Arial" w:cs="Arial"/>
              </w:rPr>
              <w:t>Interests challenge or outweigh evidence in determining local priorities and activities.</w:t>
            </w:r>
          </w:p>
          <w:p w14:paraId="3B1A6374" w14:textId="77777777" w:rsidR="0068015A" w:rsidRPr="007F30D6" w:rsidRDefault="0068015A" w:rsidP="00A17F3D">
            <w:pPr>
              <w:rPr>
                <w:rFonts w:ascii="Arial" w:hAnsi="Arial" w:cs="Arial"/>
              </w:rPr>
            </w:pPr>
          </w:p>
          <w:p w14:paraId="6EE0BC3F" w14:textId="77777777" w:rsidR="0068015A" w:rsidRPr="007F30D6" w:rsidRDefault="0068015A" w:rsidP="00A17F3D">
            <w:pPr>
              <w:rPr>
                <w:rFonts w:ascii="Arial" w:hAnsi="Arial" w:cs="Arial"/>
              </w:rPr>
            </w:pPr>
          </w:p>
          <w:p w14:paraId="2B94144E" w14:textId="77777777" w:rsidR="0068015A" w:rsidRPr="007F30D6" w:rsidRDefault="0068015A" w:rsidP="00A17F3D">
            <w:pPr>
              <w:rPr>
                <w:rFonts w:ascii="Arial" w:hAnsi="Arial" w:cs="Arial"/>
              </w:rPr>
            </w:pPr>
          </w:p>
          <w:p w14:paraId="3246C8BB" w14:textId="77777777" w:rsidR="0068015A" w:rsidRPr="007F30D6" w:rsidRDefault="0068015A" w:rsidP="00A17F3D">
            <w:pPr>
              <w:rPr>
                <w:rFonts w:ascii="Arial" w:hAnsi="Arial" w:cs="Arial"/>
              </w:rPr>
            </w:pPr>
          </w:p>
          <w:p w14:paraId="0FFBE657" w14:textId="77777777" w:rsidR="0068015A" w:rsidRPr="007F30D6" w:rsidRDefault="0068015A" w:rsidP="00A17F3D">
            <w:pPr>
              <w:rPr>
                <w:rFonts w:ascii="Arial" w:hAnsi="Arial" w:cs="Arial"/>
              </w:rPr>
            </w:pPr>
          </w:p>
          <w:p w14:paraId="52C1D841" w14:textId="77777777" w:rsidR="0068015A" w:rsidRPr="007F30D6" w:rsidRDefault="0068015A" w:rsidP="00A17F3D">
            <w:pPr>
              <w:rPr>
                <w:rFonts w:ascii="Arial" w:hAnsi="Arial" w:cs="Arial"/>
              </w:rPr>
            </w:pPr>
          </w:p>
          <w:p w14:paraId="5F49E5A9" w14:textId="77777777" w:rsidR="0068015A" w:rsidRPr="007F30D6" w:rsidRDefault="0068015A" w:rsidP="00A17F3D">
            <w:pPr>
              <w:rPr>
                <w:rFonts w:ascii="Arial" w:hAnsi="Arial" w:cs="Arial"/>
              </w:rPr>
            </w:pPr>
          </w:p>
          <w:p w14:paraId="2AA5C2D6" w14:textId="77777777" w:rsidR="0068015A" w:rsidRPr="007F30D6" w:rsidRDefault="0068015A" w:rsidP="00A17F3D">
            <w:pPr>
              <w:rPr>
                <w:rFonts w:ascii="Arial" w:hAnsi="Arial" w:cs="Arial"/>
              </w:rPr>
            </w:pPr>
          </w:p>
          <w:p w14:paraId="38BA785F" w14:textId="77777777" w:rsidR="0068015A" w:rsidRPr="007F30D6" w:rsidRDefault="0068015A" w:rsidP="00A17F3D">
            <w:pPr>
              <w:rPr>
                <w:rFonts w:ascii="Arial" w:hAnsi="Arial" w:cs="Arial"/>
              </w:rPr>
            </w:pPr>
          </w:p>
          <w:p w14:paraId="5D290F3D" w14:textId="77777777" w:rsidR="0068015A" w:rsidRPr="007F30D6" w:rsidRDefault="0068015A" w:rsidP="00A17F3D">
            <w:pPr>
              <w:rPr>
                <w:rFonts w:ascii="Arial" w:hAnsi="Arial" w:cs="Arial"/>
              </w:rPr>
            </w:pPr>
          </w:p>
          <w:p w14:paraId="776097E2" w14:textId="77777777" w:rsidR="00253993" w:rsidRPr="007F30D6" w:rsidRDefault="00253993" w:rsidP="00A17F3D">
            <w:pPr>
              <w:rPr>
                <w:rFonts w:ascii="Arial" w:hAnsi="Arial" w:cs="Arial"/>
              </w:rPr>
            </w:pPr>
          </w:p>
          <w:p w14:paraId="7B7545CF" w14:textId="77777777" w:rsidR="007F30D6" w:rsidRDefault="007F30D6" w:rsidP="00A17F3D">
            <w:pPr>
              <w:rPr>
                <w:rFonts w:ascii="Arial" w:hAnsi="Arial" w:cs="Arial"/>
              </w:rPr>
            </w:pPr>
          </w:p>
          <w:p w14:paraId="0DE216B4" w14:textId="6DCA0D83" w:rsidR="0068015A" w:rsidRPr="007F30D6" w:rsidRDefault="0068015A" w:rsidP="00A17F3D">
            <w:pPr>
              <w:rPr>
                <w:rFonts w:ascii="Arial" w:hAnsi="Arial" w:cs="Arial"/>
              </w:rPr>
            </w:pPr>
            <w:r w:rsidRPr="007F30D6">
              <w:rPr>
                <w:rFonts w:ascii="Arial" w:hAnsi="Arial" w:cs="Arial"/>
              </w:rPr>
              <w:t>Constrains scope of planned interventions</w:t>
            </w:r>
          </w:p>
        </w:tc>
      </w:tr>
      <w:tr w:rsidR="002675D9" w:rsidRPr="007F30D6" w14:paraId="28767E9E" w14:textId="77777777" w:rsidTr="00FA5CA5">
        <w:trPr>
          <w:jc w:val="center"/>
        </w:trPr>
        <w:tc>
          <w:tcPr>
            <w:tcW w:w="2122" w:type="dxa"/>
          </w:tcPr>
          <w:p w14:paraId="2F5F8BE0" w14:textId="075D80CE" w:rsidR="002675D9" w:rsidRPr="007F30D6" w:rsidRDefault="002675D9" w:rsidP="00A17F3D">
            <w:pPr>
              <w:rPr>
                <w:rFonts w:ascii="Arial" w:hAnsi="Arial" w:cs="Arial"/>
              </w:rPr>
            </w:pPr>
            <w:r w:rsidRPr="007F30D6">
              <w:rPr>
                <w:rFonts w:ascii="Arial" w:hAnsi="Arial" w:cs="Arial"/>
              </w:rPr>
              <w:t>Interests, power and politics</w:t>
            </w:r>
          </w:p>
        </w:tc>
        <w:tc>
          <w:tcPr>
            <w:tcW w:w="2126" w:type="dxa"/>
          </w:tcPr>
          <w:p w14:paraId="4BB0B89D" w14:textId="77777777" w:rsidR="002675D9" w:rsidRPr="007F30D6" w:rsidRDefault="002675D9" w:rsidP="00A17F3D">
            <w:pPr>
              <w:rPr>
                <w:rFonts w:ascii="Arial" w:hAnsi="Arial" w:cs="Arial"/>
              </w:rPr>
            </w:pPr>
            <w:r w:rsidRPr="007F30D6">
              <w:rPr>
                <w:rFonts w:ascii="Arial" w:hAnsi="Arial" w:cs="Arial"/>
              </w:rPr>
              <w:t xml:space="preserve">Politicians – actors in the national external context. </w:t>
            </w:r>
          </w:p>
          <w:p w14:paraId="4FF58BF6" w14:textId="37954176" w:rsidR="002675D9" w:rsidRPr="007F30D6" w:rsidRDefault="002675D9" w:rsidP="00A17F3D">
            <w:pPr>
              <w:rPr>
                <w:rFonts w:ascii="Arial" w:hAnsi="Arial" w:cs="Arial"/>
              </w:rPr>
            </w:pPr>
          </w:p>
        </w:tc>
        <w:tc>
          <w:tcPr>
            <w:tcW w:w="7371" w:type="dxa"/>
          </w:tcPr>
          <w:p w14:paraId="411A887D" w14:textId="73FD0E07" w:rsidR="002675D9" w:rsidRPr="007F30D6" w:rsidRDefault="002675D9" w:rsidP="00A17F3D">
            <w:pPr>
              <w:rPr>
                <w:rFonts w:ascii="Arial" w:hAnsi="Arial" w:cs="Arial"/>
              </w:rPr>
            </w:pPr>
            <w:r w:rsidRPr="007F30D6">
              <w:rPr>
                <w:rFonts w:ascii="Arial" w:hAnsi="Arial" w:cs="Arial"/>
              </w:rPr>
              <w:t>Interviewees identified various influences from politicians: their preferences for certain types of services, high profile ‘ribbon cutting’ opportunities; and interest in particular issues or advocacy on behalf of local lobby groups.</w:t>
            </w:r>
          </w:p>
          <w:p w14:paraId="1A074066" w14:textId="2A1D2D3E" w:rsidR="002675D9" w:rsidRPr="007F30D6" w:rsidRDefault="002675D9" w:rsidP="00142441">
            <w:pPr>
              <w:rPr>
                <w:rFonts w:ascii="Arial" w:eastAsiaTheme="majorEastAsia" w:hAnsi="Arial" w:cs="Arial"/>
              </w:rPr>
            </w:pPr>
            <w:r w:rsidRPr="007F30D6">
              <w:rPr>
                <w:rFonts w:ascii="Arial" w:eastAsiaTheme="majorEastAsia" w:hAnsi="Arial" w:cs="Arial"/>
                <w:i/>
                <w:iCs/>
              </w:rPr>
              <w:t>“ministers like cutting ribbons to services… in a highly urbanised context like this, a lot of what we could do is make a difference around systems and processes and referral pathways; but ministers don't like that as much. They like ‘here's the service’ with the doctor standing there with their stethoscope.” (Senior Executive, Metro North)</w:t>
            </w:r>
          </w:p>
        </w:tc>
        <w:tc>
          <w:tcPr>
            <w:tcW w:w="4252" w:type="dxa"/>
          </w:tcPr>
          <w:p w14:paraId="233E4F57" w14:textId="1D1D2331" w:rsidR="002675D9" w:rsidRPr="007F30D6" w:rsidRDefault="002675D9" w:rsidP="00A17F3D">
            <w:pPr>
              <w:rPr>
                <w:rFonts w:ascii="Arial" w:hAnsi="Arial" w:cs="Arial"/>
              </w:rPr>
            </w:pPr>
            <w:r w:rsidRPr="007F30D6">
              <w:rPr>
                <w:rFonts w:ascii="Arial" w:hAnsi="Arial" w:cs="Arial"/>
              </w:rPr>
              <w:t>Influence PHN priorities and planning, or circumvent planning processes (also indicative of ideological influence of politicians, with bio-medical focus)</w:t>
            </w:r>
          </w:p>
        </w:tc>
      </w:tr>
      <w:tr w:rsidR="002675D9" w:rsidRPr="007F30D6" w14:paraId="6A233126" w14:textId="77777777" w:rsidTr="00FA5CA5">
        <w:trPr>
          <w:jc w:val="center"/>
        </w:trPr>
        <w:tc>
          <w:tcPr>
            <w:tcW w:w="2122" w:type="dxa"/>
          </w:tcPr>
          <w:p w14:paraId="1717A844" w14:textId="75271FE6" w:rsidR="002675D9" w:rsidRPr="007F30D6" w:rsidRDefault="002675D9" w:rsidP="00A17F3D">
            <w:pPr>
              <w:rPr>
                <w:rFonts w:ascii="Arial" w:hAnsi="Arial" w:cs="Arial"/>
              </w:rPr>
            </w:pPr>
            <w:r w:rsidRPr="007F30D6">
              <w:rPr>
                <w:rFonts w:ascii="Arial" w:hAnsi="Arial" w:cs="Arial"/>
              </w:rPr>
              <w:lastRenderedPageBreak/>
              <w:t>Broader policy settings and federalism</w:t>
            </w:r>
          </w:p>
        </w:tc>
        <w:tc>
          <w:tcPr>
            <w:tcW w:w="2126" w:type="dxa"/>
          </w:tcPr>
          <w:p w14:paraId="4FFC34FD" w14:textId="57A52DC9" w:rsidR="002675D9" w:rsidRPr="007F30D6" w:rsidRDefault="002675D9" w:rsidP="00A17F3D">
            <w:pPr>
              <w:rPr>
                <w:rFonts w:ascii="Arial" w:hAnsi="Arial" w:cs="Arial"/>
              </w:rPr>
            </w:pPr>
            <w:r w:rsidRPr="007F30D6">
              <w:rPr>
                <w:rFonts w:ascii="Arial" w:hAnsi="Arial" w:cs="Arial"/>
              </w:rPr>
              <w:t>Factors in the national</w:t>
            </w:r>
            <w:r w:rsidRPr="007F30D6" w:rsidDel="002675D9">
              <w:rPr>
                <w:rFonts w:ascii="Arial" w:hAnsi="Arial" w:cs="Arial"/>
              </w:rPr>
              <w:t xml:space="preserve"> </w:t>
            </w:r>
            <w:r w:rsidRPr="007F30D6">
              <w:rPr>
                <w:rFonts w:ascii="Arial" w:hAnsi="Arial" w:cs="Arial"/>
              </w:rPr>
              <w:t>external context.</w:t>
            </w:r>
          </w:p>
          <w:p w14:paraId="516B1D1E" w14:textId="77777777" w:rsidR="002675D9" w:rsidRPr="007F30D6" w:rsidRDefault="002675D9" w:rsidP="00A17F3D">
            <w:pPr>
              <w:rPr>
                <w:rFonts w:ascii="Arial" w:hAnsi="Arial" w:cs="Arial"/>
              </w:rPr>
            </w:pPr>
          </w:p>
          <w:p w14:paraId="2B645AAA" w14:textId="77777777" w:rsidR="002675D9" w:rsidRPr="007F30D6" w:rsidRDefault="002675D9" w:rsidP="00A17F3D">
            <w:pPr>
              <w:rPr>
                <w:rFonts w:ascii="Arial" w:hAnsi="Arial" w:cs="Arial"/>
              </w:rPr>
            </w:pPr>
          </w:p>
          <w:p w14:paraId="5CE84AD7" w14:textId="77777777" w:rsidR="002675D9" w:rsidRPr="007F30D6" w:rsidRDefault="002675D9" w:rsidP="00A17F3D">
            <w:pPr>
              <w:rPr>
                <w:rFonts w:ascii="Arial" w:hAnsi="Arial" w:cs="Arial"/>
              </w:rPr>
            </w:pPr>
          </w:p>
          <w:p w14:paraId="563C2CFE" w14:textId="77777777" w:rsidR="002675D9" w:rsidRPr="007F30D6" w:rsidRDefault="002675D9" w:rsidP="00A17F3D">
            <w:pPr>
              <w:rPr>
                <w:rFonts w:ascii="Arial" w:hAnsi="Arial" w:cs="Arial"/>
              </w:rPr>
            </w:pPr>
          </w:p>
          <w:p w14:paraId="03A759F3" w14:textId="77777777" w:rsidR="002675D9" w:rsidRPr="007F30D6" w:rsidRDefault="002675D9" w:rsidP="00A17F3D">
            <w:pPr>
              <w:rPr>
                <w:rFonts w:ascii="Arial" w:hAnsi="Arial" w:cs="Arial"/>
              </w:rPr>
            </w:pPr>
          </w:p>
          <w:p w14:paraId="178EB19E" w14:textId="77777777" w:rsidR="002675D9" w:rsidRPr="007F30D6" w:rsidRDefault="002675D9" w:rsidP="00A17F3D">
            <w:pPr>
              <w:rPr>
                <w:rFonts w:ascii="Arial" w:hAnsi="Arial" w:cs="Arial"/>
              </w:rPr>
            </w:pPr>
          </w:p>
          <w:p w14:paraId="515C8C15" w14:textId="77777777" w:rsidR="002675D9" w:rsidRPr="007F30D6" w:rsidRDefault="002675D9" w:rsidP="00A17F3D">
            <w:pPr>
              <w:rPr>
                <w:rFonts w:ascii="Arial" w:hAnsi="Arial" w:cs="Arial"/>
              </w:rPr>
            </w:pPr>
          </w:p>
          <w:p w14:paraId="791ED8A4" w14:textId="77777777" w:rsidR="002675D9" w:rsidRPr="007F30D6" w:rsidRDefault="002675D9" w:rsidP="00A17F3D">
            <w:pPr>
              <w:rPr>
                <w:rFonts w:ascii="Arial" w:hAnsi="Arial" w:cs="Arial"/>
              </w:rPr>
            </w:pPr>
          </w:p>
          <w:p w14:paraId="12360AB3" w14:textId="77777777" w:rsidR="002675D9" w:rsidRPr="007F30D6" w:rsidRDefault="002675D9" w:rsidP="00A17F3D">
            <w:pPr>
              <w:rPr>
                <w:rFonts w:ascii="Arial" w:hAnsi="Arial" w:cs="Arial"/>
              </w:rPr>
            </w:pPr>
          </w:p>
          <w:p w14:paraId="7F96FE5E" w14:textId="77777777" w:rsidR="002675D9" w:rsidRPr="007F30D6" w:rsidRDefault="002675D9" w:rsidP="00A17F3D">
            <w:pPr>
              <w:rPr>
                <w:rFonts w:ascii="Arial" w:hAnsi="Arial" w:cs="Arial"/>
              </w:rPr>
            </w:pPr>
          </w:p>
          <w:p w14:paraId="1DA08EEA" w14:textId="77777777" w:rsidR="002675D9" w:rsidRPr="007F30D6" w:rsidRDefault="002675D9" w:rsidP="00A17F3D">
            <w:pPr>
              <w:rPr>
                <w:rFonts w:ascii="Arial" w:hAnsi="Arial" w:cs="Arial"/>
              </w:rPr>
            </w:pPr>
          </w:p>
          <w:p w14:paraId="7BA3092B" w14:textId="77777777" w:rsidR="002675D9" w:rsidRPr="007F30D6" w:rsidRDefault="002675D9" w:rsidP="00A17F3D">
            <w:pPr>
              <w:rPr>
                <w:rFonts w:ascii="Arial" w:hAnsi="Arial" w:cs="Arial"/>
              </w:rPr>
            </w:pPr>
          </w:p>
          <w:p w14:paraId="47CC1E69" w14:textId="3050C037" w:rsidR="002675D9" w:rsidRPr="007F30D6" w:rsidRDefault="002675D9" w:rsidP="00A17F3D">
            <w:pPr>
              <w:rPr>
                <w:rFonts w:ascii="Arial" w:hAnsi="Arial" w:cs="Arial"/>
              </w:rPr>
            </w:pPr>
          </w:p>
        </w:tc>
        <w:tc>
          <w:tcPr>
            <w:tcW w:w="7371" w:type="dxa"/>
          </w:tcPr>
          <w:p w14:paraId="21C6F5FF" w14:textId="738DCB21" w:rsidR="002675D9" w:rsidRPr="007F30D6" w:rsidRDefault="002675D9" w:rsidP="00A17F3D">
            <w:pPr>
              <w:rPr>
                <w:rFonts w:ascii="Arial" w:hAnsi="Arial" w:cs="Arial"/>
              </w:rPr>
            </w:pPr>
            <w:r w:rsidRPr="007F30D6">
              <w:rPr>
                <w:rFonts w:ascii="Arial" w:hAnsi="Arial" w:cs="Arial"/>
              </w:rPr>
              <w:t xml:space="preserve">The federated, dual funding of health system(s) in Australia was frequently noted as an factor influencing PHC planning (see </w:t>
            </w:r>
            <w:r w:rsidR="005F4D89" w:rsidRPr="007F30D6">
              <w:rPr>
                <w:rFonts w:ascii="Arial" w:hAnsi="Arial" w:cs="Arial"/>
                <w:noProof/>
              </w:rPr>
              <w:t>(1)</w:t>
            </w:r>
            <w:r w:rsidR="00487783" w:rsidRPr="007F30D6">
              <w:rPr>
                <w:rFonts w:ascii="Arial" w:hAnsi="Arial" w:cs="Arial"/>
                <w:noProof/>
              </w:rPr>
              <w:t xml:space="preserve"> also)</w:t>
            </w:r>
          </w:p>
          <w:p w14:paraId="75DDF8EA" w14:textId="77777777" w:rsidR="002675D9" w:rsidRPr="007F30D6" w:rsidRDefault="002675D9" w:rsidP="00A17F3D">
            <w:pPr>
              <w:rPr>
                <w:rFonts w:ascii="Arial" w:hAnsi="Arial" w:cs="Arial"/>
              </w:rPr>
            </w:pPr>
          </w:p>
          <w:p w14:paraId="54A27BFD" w14:textId="07AFDDF5" w:rsidR="002675D9" w:rsidRPr="007F30D6" w:rsidRDefault="00CF7775" w:rsidP="00A17F3D">
            <w:pPr>
              <w:rPr>
                <w:rFonts w:ascii="Arial" w:hAnsi="Arial" w:cs="Arial"/>
              </w:rPr>
            </w:pPr>
            <w:r w:rsidRPr="007F30D6">
              <w:rPr>
                <w:rFonts w:ascii="Arial" w:hAnsi="Arial" w:cs="Arial"/>
              </w:rPr>
              <w:t>T</w:t>
            </w:r>
            <w:r w:rsidR="002675D9" w:rsidRPr="007F30D6">
              <w:rPr>
                <w:rFonts w:ascii="Arial" w:hAnsi="Arial" w:cs="Arial"/>
              </w:rPr>
              <w:t xml:space="preserve">he </w:t>
            </w:r>
            <w:r w:rsidRPr="007F30D6">
              <w:rPr>
                <w:rFonts w:ascii="Arial" w:hAnsi="Arial" w:cs="Arial"/>
              </w:rPr>
              <w:t xml:space="preserve">(Medicare) </w:t>
            </w:r>
            <w:r w:rsidR="002675D9" w:rsidRPr="007F30D6">
              <w:rPr>
                <w:rFonts w:ascii="Arial" w:hAnsi="Arial" w:cs="Arial"/>
              </w:rPr>
              <w:t xml:space="preserve">fee-for-service based model of primary care funding was recognised as an immutable contextual challenge. </w:t>
            </w:r>
          </w:p>
          <w:p w14:paraId="15B96CF9" w14:textId="31E60238" w:rsidR="002675D9" w:rsidRPr="007F30D6" w:rsidRDefault="002675D9" w:rsidP="004B0450">
            <w:pPr>
              <w:rPr>
                <w:rFonts w:ascii="Arial" w:hAnsi="Arial" w:cs="Arial"/>
                <w:i/>
                <w:iCs/>
              </w:rPr>
            </w:pPr>
            <w:r w:rsidRPr="007F30D6">
              <w:rPr>
                <w:rFonts w:ascii="Arial" w:hAnsi="Arial" w:cs="Arial"/>
                <w:i/>
                <w:iCs/>
              </w:rPr>
              <w:t>“I don’t think fee-for-service really encourages the primary care then to take the time that is necessary for these [chronic disease] patients, and the most developed countries have gone for a hybrid model away from fee-for-service.” (Clinical Council, Remote, 2016)</w:t>
            </w:r>
          </w:p>
          <w:p w14:paraId="11712D64" w14:textId="52231246" w:rsidR="002675D9" w:rsidRPr="007F30D6" w:rsidRDefault="002675D9" w:rsidP="00A17F3D">
            <w:pPr>
              <w:rPr>
                <w:rFonts w:ascii="Arial" w:hAnsi="Arial" w:cs="Arial"/>
              </w:rPr>
            </w:pPr>
          </w:p>
          <w:p w14:paraId="51536AAA" w14:textId="15135D99" w:rsidR="002675D9" w:rsidRPr="007F30D6" w:rsidRDefault="002675D9" w:rsidP="00A17F3D">
            <w:pPr>
              <w:rPr>
                <w:rFonts w:ascii="Arial" w:hAnsi="Arial" w:cs="Arial"/>
              </w:rPr>
            </w:pPr>
            <w:r w:rsidRPr="007F30D6">
              <w:rPr>
                <w:rFonts w:ascii="Arial" w:hAnsi="Arial" w:cs="Arial"/>
              </w:rPr>
              <w:t xml:space="preserve">Interviewees identified the ‘freeze’ on Medicare rebates </w:t>
            </w:r>
            <w:r w:rsidR="00C10CC2" w:rsidRPr="007F30D6">
              <w:rPr>
                <w:rFonts w:ascii="Arial" w:hAnsi="Arial" w:cs="Arial"/>
              </w:rPr>
              <w:t>a</w:t>
            </w:r>
            <w:r w:rsidRPr="007F30D6">
              <w:rPr>
                <w:rFonts w:ascii="Arial" w:hAnsi="Arial" w:cs="Arial"/>
              </w:rPr>
              <w:t>s a contextual factor influencing planning. It</w:t>
            </w:r>
            <w:r w:rsidR="00BE209B" w:rsidRPr="007F30D6">
              <w:rPr>
                <w:rFonts w:ascii="Arial" w:hAnsi="Arial" w:cs="Arial"/>
              </w:rPr>
              <w:t xml:space="preserve"> has</w:t>
            </w:r>
            <w:r w:rsidRPr="007F30D6">
              <w:rPr>
                <w:rFonts w:ascii="Arial" w:hAnsi="Arial" w:cs="Arial"/>
              </w:rPr>
              <w:t xml:space="preserve"> impact</w:t>
            </w:r>
            <w:r w:rsidR="00BE209B" w:rsidRPr="007F30D6">
              <w:rPr>
                <w:rFonts w:ascii="Arial" w:hAnsi="Arial" w:cs="Arial"/>
              </w:rPr>
              <w:t>ed</w:t>
            </w:r>
            <w:r w:rsidRPr="007F30D6">
              <w:rPr>
                <w:rFonts w:ascii="Arial" w:hAnsi="Arial" w:cs="Arial"/>
              </w:rPr>
              <w:t xml:space="preserve"> GP finances and viability, and drive</w:t>
            </w:r>
            <w:r w:rsidR="00BE209B" w:rsidRPr="007F30D6">
              <w:rPr>
                <w:rFonts w:ascii="Arial" w:hAnsi="Arial" w:cs="Arial"/>
              </w:rPr>
              <w:t>n</w:t>
            </w:r>
            <w:r w:rsidRPr="007F30D6">
              <w:rPr>
                <w:rFonts w:ascii="Arial" w:hAnsi="Arial" w:cs="Arial"/>
              </w:rPr>
              <w:t xml:space="preserve"> increases in patient co-contribution for GP services.</w:t>
            </w:r>
          </w:p>
          <w:p w14:paraId="7CB77B28" w14:textId="10629CD1" w:rsidR="002675D9" w:rsidRPr="007F30D6" w:rsidRDefault="002675D9" w:rsidP="00142441">
            <w:pPr>
              <w:rPr>
                <w:rFonts w:ascii="Arial" w:hAnsi="Arial" w:cs="Arial"/>
              </w:rPr>
            </w:pPr>
            <w:r w:rsidRPr="007F30D6">
              <w:rPr>
                <w:rFonts w:ascii="Arial" w:hAnsi="Arial" w:cs="Arial"/>
                <w:i/>
                <w:iCs/>
              </w:rPr>
              <w:t>“because of the intensity of the issues such as the MBS freeze … it is difficult for GPs to be able to step up above their current challenges to their practices and to their profession and really to take that population health approach.” (Clinical Council, Rural South 2016</w:t>
            </w:r>
            <w:r w:rsidRPr="007F30D6">
              <w:rPr>
                <w:rFonts w:ascii="Arial" w:hAnsi="Arial" w:cs="Arial"/>
              </w:rPr>
              <w:t>)</w:t>
            </w:r>
          </w:p>
        </w:tc>
        <w:tc>
          <w:tcPr>
            <w:tcW w:w="4252" w:type="dxa"/>
          </w:tcPr>
          <w:p w14:paraId="48D49A01" w14:textId="0BF42598" w:rsidR="002675D9" w:rsidRPr="007F30D6" w:rsidRDefault="002675D9" w:rsidP="00A17F3D">
            <w:pPr>
              <w:rPr>
                <w:rFonts w:ascii="Arial" w:hAnsi="Arial" w:cs="Arial"/>
              </w:rPr>
            </w:pPr>
            <w:r w:rsidRPr="007F30D6">
              <w:rPr>
                <w:rFonts w:ascii="Arial" w:hAnsi="Arial" w:cs="Arial"/>
              </w:rPr>
              <w:t>Adds to complexity of planning. Potential for cost and responsibility shifting</w:t>
            </w:r>
          </w:p>
          <w:p w14:paraId="683B7D40" w14:textId="77777777" w:rsidR="002675D9" w:rsidRPr="007F30D6" w:rsidRDefault="002675D9" w:rsidP="00A17F3D">
            <w:pPr>
              <w:rPr>
                <w:rFonts w:ascii="Arial" w:hAnsi="Arial" w:cs="Arial"/>
              </w:rPr>
            </w:pPr>
          </w:p>
          <w:p w14:paraId="7B705B86" w14:textId="023730D1" w:rsidR="002675D9" w:rsidRPr="007F30D6" w:rsidRDefault="002675D9" w:rsidP="00A17F3D">
            <w:pPr>
              <w:rPr>
                <w:rFonts w:ascii="Arial" w:hAnsi="Arial" w:cs="Arial"/>
              </w:rPr>
            </w:pPr>
            <w:r w:rsidRPr="007F30D6">
              <w:rPr>
                <w:rFonts w:ascii="Arial" w:hAnsi="Arial" w:cs="Arial"/>
              </w:rPr>
              <w:t>Planned interventions need to work within the scope of Medicare or have enough funding to be sustainable without Medicare. Also drives and reinforces bio-medical ideas/conceptions of health</w:t>
            </w:r>
          </w:p>
          <w:p w14:paraId="2420F4F3" w14:textId="77777777" w:rsidR="002675D9" w:rsidRPr="007F30D6" w:rsidRDefault="002675D9" w:rsidP="00A17F3D">
            <w:pPr>
              <w:rPr>
                <w:rFonts w:ascii="Arial" w:hAnsi="Arial" w:cs="Arial"/>
              </w:rPr>
            </w:pPr>
          </w:p>
          <w:p w14:paraId="6C0C5E66" w14:textId="77777777" w:rsidR="00B23ABB" w:rsidRPr="007F30D6" w:rsidRDefault="00B23ABB" w:rsidP="00A17F3D">
            <w:pPr>
              <w:rPr>
                <w:rFonts w:ascii="Arial" w:hAnsi="Arial" w:cs="Arial"/>
              </w:rPr>
            </w:pPr>
          </w:p>
          <w:p w14:paraId="25FCB11B" w14:textId="4E4299A0" w:rsidR="002675D9" w:rsidRPr="007F30D6" w:rsidRDefault="002675D9" w:rsidP="00A17F3D">
            <w:pPr>
              <w:rPr>
                <w:rFonts w:ascii="Arial" w:hAnsi="Arial" w:cs="Arial"/>
              </w:rPr>
            </w:pPr>
            <w:r w:rsidRPr="007F30D6">
              <w:rPr>
                <w:rFonts w:ascii="Arial" w:hAnsi="Arial" w:cs="Arial"/>
              </w:rPr>
              <w:t>Environment of constrained finances hinders capacity for change and innovation in primary care sector</w:t>
            </w:r>
          </w:p>
        </w:tc>
      </w:tr>
      <w:tr w:rsidR="002675D9" w:rsidRPr="007F30D6" w14:paraId="488C26E3" w14:textId="77777777" w:rsidTr="00FA5CA5">
        <w:trPr>
          <w:jc w:val="center"/>
        </w:trPr>
        <w:tc>
          <w:tcPr>
            <w:tcW w:w="2122" w:type="dxa"/>
          </w:tcPr>
          <w:p w14:paraId="1D08D75F" w14:textId="23D74A69" w:rsidR="002675D9" w:rsidRPr="007F30D6" w:rsidRDefault="002675D9" w:rsidP="00A17F3D">
            <w:pPr>
              <w:rPr>
                <w:rFonts w:ascii="Arial" w:hAnsi="Arial" w:cs="Arial"/>
              </w:rPr>
            </w:pPr>
            <w:r w:rsidRPr="007F30D6">
              <w:rPr>
                <w:rFonts w:ascii="Arial" w:hAnsi="Arial" w:cs="Arial"/>
              </w:rPr>
              <w:t xml:space="preserve">Other sectors’ major policy reforms </w:t>
            </w:r>
          </w:p>
        </w:tc>
        <w:tc>
          <w:tcPr>
            <w:tcW w:w="2126" w:type="dxa"/>
          </w:tcPr>
          <w:p w14:paraId="3D2F2E5E" w14:textId="3BABF7C1" w:rsidR="002675D9" w:rsidRPr="007F30D6" w:rsidRDefault="002675D9" w:rsidP="00A17F3D">
            <w:pPr>
              <w:rPr>
                <w:rFonts w:ascii="Arial" w:hAnsi="Arial" w:cs="Arial"/>
              </w:rPr>
            </w:pPr>
            <w:r w:rsidRPr="007F30D6">
              <w:rPr>
                <w:rFonts w:ascii="Arial" w:hAnsi="Arial" w:cs="Arial"/>
              </w:rPr>
              <w:t>Factors in the national</w:t>
            </w:r>
            <w:r w:rsidRPr="007F30D6" w:rsidDel="002675D9">
              <w:rPr>
                <w:rFonts w:ascii="Arial" w:hAnsi="Arial" w:cs="Arial"/>
              </w:rPr>
              <w:t xml:space="preserve"> </w:t>
            </w:r>
            <w:r w:rsidRPr="007F30D6">
              <w:rPr>
                <w:rFonts w:ascii="Arial" w:hAnsi="Arial" w:cs="Arial"/>
              </w:rPr>
              <w:t>external context</w:t>
            </w:r>
          </w:p>
          <w:p w14:paraId="2F5DBADE" w14:textId="6B01C1DF" w:rsidR="002675D9" w:rsidRPr="007F30D6" w:rsidRDefault="002675D9" w:rsidP="00A17F3D">
            <w:pPr>
              <w:rPr>
                <w:rFonts w:ascii="Arial" w:hAnsi="Arial" w:cs="Arial"/>
              </w:rPr>
            </w:pPr>
          </w:p>
        </w:tc>
        <w:tc>
          <w:tcPr>
            <w:tcW w:w="7371" w:type="dxa"/>
          </w:tcPr>
          <w:p w14:paraId="63436B3F" w14:textId="4E2818F2" w:rsidR="002675D9" w:rsidRPr="007F30D6" w:rsidRDefault="002675D9" w:rsidP="0083069B">
            <w:pPr>
              <w:rPr>
                <w:rFonts w:ascii="Arial" w:hAnsi="Arial" w:cs="Arial"/>
              </w:rPr>
            </w:pPr>
            <w:r w:rsidRPr="007F30D6">
              <w:rPr>
                <w:rFonts w:ascii="Arial" w:hAnsi="Arial" w:cs="Arial"/>
              </w:rPr>
              <w:t>Significant changes in other related sectors such as disability and aged care were noted as contributing to a dynamic environment</w:t>
            </w:r>
            <w:r w:rsidR="00203FCB" w:rsidRPr="007F30D6">
              <w:rPr>
                <w:rFonts w:ascii="Arial" w:hAnsi="Arial" w:cs="Arial"/>
              </w:rPr>
              <w:t>.</w:t>
            </w:r>
          </w:p>
          <w:p w14:paraId="39D6A64C" w14:textId="5BF2FAC6" w:rsidR="002675D9" w:rsidRPr="007F30D6" w:rsidRDefault="002675D9" w:rsidP="00142441">
            <w:pPr>
              <w:rPr>
                <w:rFonts w:ascii="Arial" w:hAnsi="Arial" w:cs="Arial"/>
              </w:rPr>
            </w:pPr>
            <w:r w:rsidRPr="007F30D6">
              <w:rPr>
                <w:rFonts w:ascii="Arial" w:hAnsi="Arial" w:cs="Arial"/>
              </w:rPr>
              <w:t>“</w:t>
            </w:r>
            <w:r w:rsidRPr="007F30D6">
              <w:rPr>
                <w:rFonts w:ascii="Arial" w:hAnsi="Arial" w:cs="Arial"/>
                <w:i/>
                <w:iCs/>
              </w:rPr>
              <w:t>I do think that there has been so much reform and so much change, and it’s happening across sectors, like NDIS [National Disability Insurance Scheme], aged care, within health, within general practice, that it’s about how you get your voice heard within such a dynamic environment. I think that’s also challenging.” (Manager, Rural South</w:t>
            </w:r>
            <w:r w:rsidRPr="007F30D6">
              <w:rPr>
                <w:rFonts w:ascii="Arial" w:hAnsi="Arial" w:cs="Arial"/>
              </w:rPr>
              <w:t>)</w:t>
            </w:r>
          </w:p>
        </w:tc>
        <w:tc>
          <w:tcPr>
            <w:tcW w:w="4252" w:type="dxa"/>
          </w:tcPr>
          <w:p w14:paraId="7AB68EAB" w14:textId="58051983" w:rsidR="002675D9" w:rsidRPr="007F30D6" w:rsidRDefault="002675D9" w:rsidP="00A17F3D">
            <w:pPr>
              <w:rPr>
                <w:rFonts w:ascii="Arial" w:hAnsi="Arial" w:cs="Arial"/>
              </w:rPr>
            </w:pPr>
            <w:r w:rsidRPr="007F30D6">
              <w:rPr>
                <w:rFonts w:ascii="Arial" w:hAnsi="Arial" w:cs="Arial"/>
              </w:rPr>
              <w:t>Dynamic policy environment. Change fatigue among PHN and external stakeholders</w:t>
            </w:r>
          </w:p>
        </w:tc>
      </w:tr>
      <w:tr w:rsidR="002675D9" w:rsidRPr="007F30D6" w14:paraId="19B501A6" w14:textId="77777777" w:rsidTr="00FA5CA5">
        <w:trPr>
          <w:jc w:val="center"/>
        </w:trPr>
        <w:tc>
          <w:tcPr>
            <w:tcW w:w="2122" w:type="dxa"/>
          </w:tcPr>
          <w:p w14:paraId="17DA3BF4" w14:textId="527094BE" w:rsidR="002675D9" w:rsidRPr="007F30D6" w:rsidRDefault="002675D9" w:rsidP="00251BE9">
            <w:pPr>
              <w:rPr>
                <w:rFonts w:ascii="Arial" w:hAnsi="Arial" w:cs="Arial"/>
              </w:rPr>
            </w:pPr>
            <w:r w:rsidRPr="007F30D6">
              <w:rPr>
                <w:rFonts w:ascii="Arial" w:hAnsi="Arial" w:cs="Arial"/>
              </w:rPr>
              <w:t>Defunding of major national PHC research institutions</w:t>
            </w:r>
          </w:p>
        </w:tc>
        <w:tc>
          <w:tcPr>
            <w:tcW w:w="2126" w:type="dxa"/>
          </w:tcPr>
          <w:p w14:paraId="3FE68344" w14:textId="18A280C8" w:rsidR="002675D9" w:rsidRPr="007F30D6" w:rsidRDefault="00C9199A" w:rsidP="00251BE9">
            <w:pPr>
              <w:rPr>
                <w:rFonts w:ascii="Arial" w:hAnsi="Arial" w:cs="Arial"/>
              </w:rPr>
            </w:pPr>
            <w:r w:rsidRPr="007F30D6">
              <w:rPr>
                <w:rFonts w:ascii="Arial" w:hAnsi="Arial" w:cs="Arial"/>
              </w:rPr>
              <w:t>Capacity f</w:t>
            </w:r>
            <w:r w:rsidR="002675D9" w:rsidRPr="007F30D6">
              <w:rPr>
                <w:rFonts w:ascii="Arial" w:hAnsi="Arial" w:cs="Arial"/>
              </w:rPr>
              <w:t>actor in the national external context</w:t>
            </w:r>
          </w:p>
          <w:p w14:paraId="28949BF8" w14:textId="2D334622" w:rsidR="002675D9" w:rsidRPr="007F30D6" w:rsidRDefault="002675D9" w:rsidP="00251BE9">
            <w:pPr>
              <w:rPr>
                <w:rFonts w:ascii="Arial" w:hAnsi="Arial" w:cs="Arial"/>
              </w:rPr>
            </w:pPr>
          </w:p>
        </w:tc>
        <w:tc>
          <w:tcPr>
            <w:tcW w:w="7371" w:type="dxa"/>
          </w:tcPr>
          <w:p w14:paraId="68304525" w14:textId="451F9FC5" w:rsidR="002675D9" w:rsidRPr="007F30D6" w:rsidRDefault="002675D9" w:rsidP="00251BE9">
            <w:pPr>
              <w:rPr>
                <w:rFonts w:ascii="Arial" w:hAnsi="Arial" w:cs="Arial"/>
              </w:rPr>
            </w:pPr>
            <w:r w:rsidRPr="007F30D6">
              <w:rPr>
                <w:rFonts w:ascii="Arial" w:hAnsi="Arial" w:cs="Arial"/>
              </w:rPr>
              <w:t>The Primary Health Care Research and Information Service (PHCRIS), and Australian Primary Health Care Research Institute (APHCRI) were recently discontinued. Federal government funding was withdrawn.</w:t>
            </w:r>
          </w:p>
        </w:tc>
        <w:tc>
          <w:tcPr>
            <w:tcW w:w="4252" w:type="dxa"/>
          </w:tcPr>
          <w:p w14:paraId="1ED9844B" w14:textId="76A10E75" w:rsidR="002675D9" w:rsidRPr="007F30D6" w:rsidRDefault="002675D9" w:rsidP="00251BE9">
            <w:pPr>
              <w:rPr>
                <w:rFonts w:ascii="Arial" w:hAnsi="Arial" w:cs="Arial"/>
              </w:rPr>
            </w:pPr>
            <w:r w:rsidRPr="007F30D6">
              <w:rPr>
                <w:rFonts w:ascii="Arial" w:hAnsi="Arial" w:cs="Arial"/>
              </w:rPr>
              <w:t>Curtailed national capacity for generating evidence to inform PHC planning. Hinders availability of quality Australian PHC evidence.</w:t>
            </w:r>
          </w:p>
        </w:tc>
      </w:tr>
      <w:tr w:rsidR="004D2299" w:rsidRPr="007F30D6" w14:paraId="6502EFDD" w14:textId="77777777" w:rsidTr="00FA5CA5">
        <w:trPr>
          <w:jc w:val="center"/>
        </w:trPr>
        <w:tc>
          <w:tcPr>
            <w:tcW w:w="2122" w:type="dxa"/>
          </w:tcPr>
          <w:p w14:paraId="487A6970" w14:textId="5CEE385C" w:rsidR="004D2299" w:rsidRPr="007F30D6" w:rsidRDefault="004D2299" w:rsidP="00A17F3D">
            <w:pPr>
              <w:rPr>
                <w:rFonts w:ascii="Arial" w:hAnsi="Arial" w:cs="Arial"/>
              </w:rPr>
            </w:pPr>
            <w:r w:rsidRPr="007F30D6">
              <w:rPr>
                <w:rFonts w:ascii="Arial" w:hAnsi="Arial" w:cs="Arial"/>
              </w:rPr>
              <w:t xml:space="preserve">History of frequent reorganisation of PHCOs prior to PHNs. </w:t>
            </w:r>
          </w:p>
        </w:tc>
        <w:tc>
          <w:tcPr>
            <w:tcW w:w="2126" w:type="dxa"/>
          </w:tcPr>
          <w:p w14:paraId="338D66C6" w14:textId="1B00AE84" w:rsidR="004D2299" w:rsidRPr="007F30D6" w:rsidRDefault="004D2299" w:rsidP="00A17F3D">
            <w:pPr>
              <w:rPr>
                <w:rFonts w:ascii="Arial" w:hAnsi="Arial" w:cs="Arial"/>
              </w:rPr>
            </w:pPr>
            <w:r w:rsidRPr="007F30D6">
              <w:rPr>
                <w:rFonts w:ascii="Arial" w:hAnsi="Arial" w:cs="Arial"/>
              </w:rPr>
              <w:t>Factor in the national external context</w:t>
            </w:r>
          </w:p>
          <w:p w14:paraId="7C38B931" w14:textId="0433B1A8" w:rsidR="004D2299" w:rsidRPr="007F30D6" w:rsidRDefault="004D2299" w:rsidP="00A17F3D">
            <w:pPr>
              <w:rPr>
                <w:rFonts w:ascii="Arial" w:hAnsi="Arial" w:cs="Arial"/>
              </w:rPr>
            </w:pPr>
          </w:p>
        </w:tc>
        <w:tc>
          <w:tcPr>
            <w:tcW w:w="7371" w:type="dxa"/>
          </w:tcPr>
          <w:p w14:paraId="69D2BBDD" w14:textId="6BC8B60B" w:rsidR="004D2299" w:rsidRPr="007F30D6" w:rsidRDefault="004D2299" w:rsidP="00A17F3D">
            <w:pPr>
              <w:rPr>
                <w:rFonts w:ascii="Arial" w:hAnsi="Arial" w:cs="Arial"/>
              </w:rPr>
            </w:pPr>
            <w:r w:rsidRPr="007F30D6">
              <w:rPr>
                <w:rFonts w:ascii="Arial" w:hAnsi="Arial" w:cs="Arial"/>
              </w:rPr>
              <w:t>Sixty-one M</w:t>
            </w:r>
            <w:r w:rsidR="00CC09AA" w:rsidRPr="007F30D6">
              <w:rPr>
                <w:rFonts w:ascii="Arial" w:hAnsi="Arial" w:cs="Arial"/>
              </w:rPr>
              <w:t>edicare Locals</w:t>
            </w:r>
            <w:r w:rsidRPr="007F30D6">
              <w:rPr>
                <w:rFonts w:ascii="Arial" w:hAnsi="Arial" w:cs="Arial"/>
              </w:rPr>
              <w:t xml:space="preserve"> were established to replace </w:t>
            </w:r>
            <w:r w:rsidR="00CC09AA" w:rsidRPr="007F30D6">
              <w:rPr>
                <w:rFonts w:ascii="Arial" w:hAnsi="Arial" w:cs="Arial"/>
              </w:rPr>
              <w:t>Divisions of General Practice</w:t>
            </w:r>
            <w:r w:rsidRPr="007F30D6">
              <w:rPr>
                <w:rFonts w:ascii="Arial" w:hAnsi="Arial" w:cs="Arial"/>
              </w:rPr>
              <w:t xml:space="preserve"> between 2011 and 2013, yet the incoming federal government disestablished them in 2015, and replaced them with 31 PHNs. PHNs were selected via a competitive tender process, which was widely criticised for its timing and lack of transparency (</w:t>
            </w:r>
            <w:r w:rsidR="006E4C71" w:rsidRPr="007F30D6">
              <w:rPr>
                <w:rFonts w:ascii="Arial" w:hAnsi="Arial" w:cs="Arial"/>
              </w:rPr>
              <w:t>2</w:t>
            </w:r>
            <w:r w:rsidRPr="007F30D6">
              <w:rPr>
                <w:rFonts w:ascii="Arial" w:hAnsi="Arial" w:cs="Arial"/>
              </w:rPr>
              <w:t>).</w:t>
            </w:r>
          </w:p>
          <w:p w14:paraId="39659ACF" w14:textId="77777777" w:rsidR="004D2299" w:rsidRPr="007F30D6" w:rsidRDefault="004D2299" w:rsidP="00A17F3D">
            <w:pPr>
              <w:rPr>
                <w:rFonts w:ascii="Arial" w:hAnsi="Arial" w:cs="Arial"/>
              </w:rPr>
            </w:pPr>
          </w:p>
          <w:p w14:paraId="3D6BD31D" w14:textId="33D8172C" w:rsidR="004D2299" w:rsidRPr="007F30D6" w:rsidRDefault="004D2299" w:rsidP="00A17F3D">
            <w:pPr>
              <w:rPr>
                <w:rFonts w:ascii="Arial" w:hAnsi="Arial" w:cs="Arial"/>
              </w:rPr>
            </w:pPr>
            <w:r w:rsidRPr="007F30D6">
              <w:rPr>
                <w:rFonts w:ascii="Arial" w:hAnsi="Arial" w:cs="Arial"/>
              </w:rPr>
              <w:t>Perceived vulnerability of PHNs to political whim, and concerns about longevity following the highly political demise of MLs:</w:t>
            </w:r>
          </w:p>
          <w:p w14:paraId="27257F11" w14:textId="7D8CD6D2" w:rsidR="004D2299" w:rsidRPr="007F30D6" w:rsidRDefault="004D2299" w:rsidP="00A17F3D">
            <w:pPr>
              <w:rPr>
                <w:rFonts w:ascii="Arial" w:hAnsi="Arial" w:cs="Arial"/>
                <w:i/>
                <w:iCs/>
              </w:rPr>
            </w:pPr>
            <w:r w:rsidRPr="007F30D6">
              <w:rPr>
                <w:rFonts w:ascii="Arial" w:hAnsi="Arial" w:cs="Arial"/>
                <w:i/>
                <w:iCs/>
              </w:rPr>
              <w:lastRenderedPageBreak/>
              <w:t>“the concern I’ve got is how many iterations [of commissioning cycles] are we going to get?” (Board, Metro South).</w:t>
            </w:r>
          </w:p>
        </w:tc>
        <w:tc>
          <w:tcPr>
            <w:tcW w:w="4252" w:type="dxa"/>
          </w:tcPr>
          <w:p w14:paraId="3A96DF81" w14:textId="2C4BF773" w:rsidR="004D2299" w:rsidRPr="007F30D6" w:rsidRDefault="004D2299" w:rsidP="00A17F3D">
            <w:pPr>
              <w:rPr>
                <w:rFonts w:ascii="Arial" w:hAnsi="Arial" w:cs="Arial"/>
              </w:rPr>
            </w:pPr>
            <w:r w:rsidRPr="007F30D6">
              <w:rPr>
                <w:rFonts w:ascii="Arial" w:hAnsi="Arial" w:cs="Arial"/>
              </w:rPr>
              <w:lastRenderedPageBreak/>
              <w:t xml:space="preserve">Change fatigue among PHN and external stakeholders. </w:t>
            </w:r>
            <w:r w:rsidR="000A2CB8" w:rsidRPr="007F30D6">
              <w:rPr>
                <w:rFonts w:ascii="Arial" w:hAnsi="Arial" w:cs="Arial"/>
              </w:rPr>
              <w:t>R</w:t>
            </w:r>
            <w:r w:rsidRPr="007F30D6">
              <w:rPr>
                <w:rFonts w:ascii="Arial" w:hAnsi="Arial" w:cs="Arial"/>
              </w:rPr>
              <w:t>eorganisation and mergers in some PHNs hindered establishment of planning processes</w:t>
            </w:r>
            <w:r w:rsidR="00A265CA" w:rsidRPr="007F30D6">
              <w:rPr>
                <w:rFonts w:ascii="Arial" w:hAnsi="Arial" w:cs="Arial"/>
              </w:rPr>
              <w:t xml:space="preserve"> and </w:t>
            </w:r>
            <w:r w:rsidR="000A2CB8" w:rsidRPr="007F30D6">
              <w:rPr>
                <w:rFonts w:ascii="Arial" w:hAnsi="Arial" w:cs="Arial"/>
              </w:rPr>
              <w:t>disrupted stakeholder relationships</w:t>
            </w:r>
            <w:r w:rsidR="00220385" w:rsidRPr="007F30D6">
              <w:rPr>
                <w:rFonts w:ascii="Arial" w:hAnsi="Arial" w:cs="Arial"/>
              </w:rPr>
              <w:t>.</w:t>
            </w:r>
          </w:p>
          <w:p w14:paraId="00E436A5" w14:textId="77777777" w:rsidR="004D2299" w:rsidRPr="007F30D6" w:rsidRDefault="004D2299" w:rsidP="00A17F3D">
            <w:pPr>
              <w:rPr>
                <w:rFonts w:ascii="Arial" w:hAnsi="Arial" w:cs="Arial"/>
              </w:rPr>
            </w:pPr>
          </w:p>
          <w:p w14:paraId="6488892A" w14:textId="1A9269A5" w:rsidR="004D2299" w:rsidRPr="007F30D6" w:rsidRDefault="004D2299" w:rsidP="00A17F3D">
            <w:pPr>
              <w:rPr>
                <w:rFonts w:ascii="Arial" w:hAnsi="Arial" w:cs="Arial"/>
              </w:rPr>
            </w:pPr>
            <w:r w:rsidRPr="007F30D6">
              <w:rPr>
                <w:rFonts w:ascii="Arial" w:hAnsi="Arial" w:cs="Arial"/>
              </w:rPr>
              <w:t xml:space="preserve">Uncertainty about organisational longevity has implications for stakeholder </w:t>
            </w:r>
            <w:r w:rsidRPr="007F30D6">
              <w:rPr>
                <w:rFonts w:ascii="Arial" w:hAnsi="Arial" w:cs="Arial"/>
              </w:rPr>
              <w:lastRenderedPageBreak/>
              <w:t>engagement, job security and staff retention, which can impact on capacity for evidence-informed planning</w:t>
            </w:r>
          </w:p>
        </w:tc>
      </w:tr>
      <w:tr w:rsidR="00514B66" w:rsidRPr="007F30D6" w14:paraId="4EF7F999" w14:textId="77777777" w:rsidTr="00FA5CA5">
        <w:trPr>
          <w:jc w:val="center"/>
        </w:trPr>
        <w:tc>
          <w:tcPr>
            <w:tcW w:w="2122" w:type="dxa"/>
          </w:tcPr>
          <w:p w14:paraId="778B0094" w14:textId="7713C099" w:rsidR="00514B66" w:rsidRPr="007F30D6" w:rsidRDefault="00514B66" w:rsidP="00251BE9">
            <w:pPr>
              <w:rPr>
                <w:rFonts w:ascii="Arial" w:hAnsi="Arial" w:cs="Arial"/>
              </w:rPr>
            </w:pPr>
            <w:r w:rsidRPr="007F30D6">
              <w:rPr>
                <w:rFonts w:ascii="Arial" w:hAnsi="Arial" w:cs="Arial"/>
              </w:rPr>
              <w:lastRenderedPageBreak/>
              <w:t>Transition history</w:t>
            </w:r>
          </w:p>
        </w:tc>
        <w:tc>
          <w:tcPr>
            <w:tcW w:w="2126" w:type="dxa"/>
          </w:tcPr>
          <w:p w14:paraId="48D63B44" w14:textId="75B5BCC4" w:rsidR="00514B66" w:rsidRPr="007F30D6" w:rsidRDefault="00514B66" w:rsidP="00251BE9">
            <w:pPr>
              <w:rPr>
                <w:rFonts w:ascii="Arial" w:hAnsi="Arial" w:cs="Arial"/>
              </w:rPr>
            </w:pPr>
            <w:r w:rsidRPr="007F30D6">
              <w:rPr>
                <w:rFonts w:ascii="Arial" w:hAnsi="Arial" w:cs="Arial"/>
              </w:rPr>
              <w:t>A factor in the internal and local context</w:t>
            </w:r>
          </w:p>
          <w:p w14:paraId="280734A8" w14:textId="27BE5DFB" w:rsidR="00514B66" w:rsidRPr="007F30D6" w:rsidRDefault="00514B66" w:rsidP="00251BE9">
            <w:pPr>
              <w:rPr>
                <w:rFonts w:ascii="Arial" w:hAnsi="Arial" w:cs="Arial"/>
              </w:rPr>
            </w:pPr>
          </w:p>
        </w:tc>
        <w:tc>
          <w:tcPr>
            <w:tcW w:w="7371" w:type="dxa"/>
          </w:tcPr>
          <w:p w14:paraId="66611934" w14:textId="7212274F" w:rsidR="00514B66" w:rsidRPr="007F30D6" w:rsidRDefault="00514B66" w:rsidP="00251BE9">
            <w:pPr>
              <w:rPr>
                <w:rFonts w:ascii="Arial" w:hAnsi="Arial" w:cs="Arial"/>
              </w:rPr>
            </w:pPr>
            <w:r w:rsidRPr="007F30D6">
              <w:rPr>
                <w:rFonts w:ascii="Arial" w:hAnsi="Arial" w:cs="Arial"/>
              </w:rPr>
              <w:t>There were varying experiences and outcomes of the transition from MLs to PHNs. Some PHNs enjoyed a relatively simple and smooth transition from one ML to one PHN:</w:t>
            </w:r>
          </w:p>
          <w:p w14:paraId="2EFFB945" w14:textId="77777777" w:rsidR="00514B66" w:rsidRPr="007F30D6" w:rsidRDefault="00514B66" w:rsidP="009C66C3">
            <w:pPr>
              <w:rPr>
                <w:rFonts w:ascii="Arial" w:hAnsi="Arial" w:cs="Arial"/>
                <w:i/>
                <w:iCs/>
              </w:rPr>
            </w:pPr>
            <w:r w:rsidRPr="007F30D6">
              <w:rPr>
                <w:rFonts w:ascii="Arial" w:hAnsi="Arial" w:cs="Arial"/>
                <w:i/>
                <w:iCs/>
              </w:rPr>
              <w:t>“I think we’ve had a very stable organisation and I think capacity and experience was maintained” (Manager, Metro North 2016)</w:t>
            </w:r>
          </w:p>
          <w:p w14:paraId="3B7E236D" w14:textId="77777777" w:rsidR="00514B66" w:rsidRPr="007F30D6" w:rsidRDefault="00514B66" w:rsidP="00251BE9">
            <w:pPr>
              <w:rPr>
                <w:rFonts w:ascii="Arial" w:hAnsi="Arial" w:cs="Arial"/>
              </w:rPr>
            </w:pPr>
          </w:p>
          <w:p w14:paraId="1A6566BC" w14:textId="199846DE" w:rsidR="00514B66" w:rsidRPr="007F30D6" w:rsidRDefault="00514B66" w:rsidP="00251BE9">
            <w:pPr>
              <w:rPr>
                <w:rFonts w:ascii="Arial" w:hAnsi="Arial" w:cs="Arial"/>
              </w:rPr>
            </w:pPr>
            <w:r w:rsidRPr="007F30D6">
              <w:rPr>
                <w:rFonts w:ascii="Arial" w:hAnsi="Arial" w:cs="Arial"/>
              </w:rPr>
              <w:t xml:space="preserve">For others the transition was very disruptive, with mergers or takeovers of 2-3 organisations, and significant changes to leadership, staffing, funding and activity. </w:t>
            </w:r>
          </w:p>
          <w:p w14:paraId="3D10B3AF" w14:textId="67DB5DA7" w:rsidR="00514B66" w:rsidRPr="007F30D6" w:rsidRDefault="00514B66" w:rsidP="00251BE9">
            <w:pPr>
              <w:rPr>
                <w:rFonts w:ascii="Arial" w:hAnsi="Arial" w:cs="Arial"/>
                <w:i/>
                <w:iCs/>
              </w:rPr>
            </w:pPr>
            <w:r w:rsidRPr="007F30D6">
              <w:rPr>
                <w:rFonts w:ascii="Arial" w:hAnsi="Arial" w:cs="Arial"/>
                <w:i/>
                <w:iCs/>
              </w:rPr>
              <w:t>“We were starting pretty much from scratch in terms of setting up policies, procedures, systems, all that kind of thing” (Board, Metro South)</w:t>
            </w:r>
          </w:p>
          <w:p w14:paraId="08A9AECA" w14:textId="01E3756A" w:rsidR="00514B66" w:rsidRPr="007F30D6" w:rsidRDefault="00514B66" w:rsidP="00251BE9">
            <w:pPr>
              <w:rPr>
                <w:rFonts w:ascii="Arial" w:hAnsi="Arial" w:cs="Arial"/>
                <w:i/>
                <w:iCs/>
              </w:rPr>
            </w:pPr>
          </w:p>
          <w:p w14:paraId="377BDB5C" w14:textId="15865D8C" w:rsidR="00514B66" w:rsidRPr="007F30D6" w:rsidRDefault="00514B66" w:rsidP="00251BE9">
            <w:pPr>
              <w:rPr>
                <w:rFonts w:ascii="Arial" w:hAnsi="Arial" w:cs="Arial"/>
              </w:rPr>
            </w:pPr>
            <w:r w:rsidRPr="007F30D6">
              <w:rPr>
                <w:rFonts w:ascii="Arial" w:hAnsi="Arial" w:cs="Arial"/>
              </w:rPr>
              <w:t>The rushed transition reported</w:t>
            </w:r>
            <w:r w:rsidR="00473148" w:rsidRPr="007F30D6">
              <w:rPr>
                <w:rFonts w:ascii="Arial" w:hAnsi="Arial" w:cs="Arial"/>
              </w:rPr>
              <w:t>ly</w:t>
            </w:r>
            <w:r w:rsidRPr="007F30D6">
              <w:rPr>
                <w:rFonts w:ascii="Arial" w:hAnsi="Arial" w:cs="Arial"/>
              </w:rPr>
              <w:t xml:space="preserve"> disrupted stakeholder </w:t>
            </w:r>
            <w:r w:rsidR="004E5AEC" w:rsidRPr="007F30D6">
              <w:rPr>
                <w:rFonts w:ascii="Arial" w:hAnsi="Arial" w:cs="Arial"/>
              </w:rPr>
              <w:t>engagement</w:t>
            </w:r>
            <w:r w:rsidRPr="007F30D6">
              <w:rPr>
                <w:rFonts w:ascii="Arial" w:hAnsi="Arial" w:cs="Arial"/>
              </w:rPr>
              <w:t>.</w:t>
            </w:r>
          </w:p>
        </w:tc>
        <w:tc>
          <w:tcPr>
            <w:tcW w:w="4252" w:type="dxa"/>
          </w:tcPr>
          <w:p w14:paraId="125711EC" w14:textId="0441A385" w:rsidR="00514B66" w:rsidRPr="007F30D6" w:rsidRDefault="00803D35" w:rsidP="00251BE9">
            <w:pPr>
              <w:rPr>
                <w:rFonts w:ascii="Arial" w:hAnsi="Arial" w:cs="Arial"/>
              </w:rPr>
            </w:pPr>
            <w:r w:rsidRPr="007F30D6">
              <w:rPr>
                <w:rFonts w:ascii="Arial" w:hAnsi="Arial" w:cs="Arial"/>
              </w:rPr>
              <w:t>PHNs</w:t>
            </w:r>
            <w:r w:rsidR="00514B66" w:rsidRPr="007F30D6">
              <w:rPr>
                <w:rFonts w:ascii="Arial" w:hAnsi="Arial" w:cs="Arial"/>
              </w:rPr>
              <w:t xml:space="preserve"> that had a relatively straightforward transition benefitted from established systems, whereas those who had more complicated transitions were at a disadvantage</w:t>
            </w:r>
            <w:r w:rsidR="00B17ED6" w:rsidRPr="007F30D6">
              <w:rPr>
                <w:rFonts w:ascii="Arial" w:hAnsi="Arial" w:cs="Arial"/>
              </w:rPr>
              <w:t xml:space="preserve"> in having to </w:t>
            </w:r>
            <w:r w:rsidR="009A205D" w:rsidRPr="007F30D6">
              <w:rPr>
                <w:rFonts w:ascii="Arial" w:hAnsi="Arial" w:cs="Arial"/>
              </w:rPr>
              <w:t>re-</w:t>
            </w:r>
            <w:r w:rsidR="00514B66" w:rsidRPr="007F30D6">
              <w:rPr>
                <w:rFonts w:ascii="Arial" w:hAnsi="Arial" w:cs="Arial"/>
              </w:rPr>
              <w:t>establish organisational systems, processes and cultural norms to facilitate robust evidence-informed PHC planning.</w:t>
            </w:r>
          </w:p>
          <w:p w14:paraId="31575417" w14:textId="77777777" w:rsidR="00514B66" w:rsidRPr="007F30D6" w:rsidRDefault="00514B66" w:rsidP="00251BE9">
            <w:pPr>
              <w:rPr>
                <w:rFonts w:ascii="Arial" w:hAnsi="Arial" w:cs="Arial"/>
              </w:rPr>
            </w:pPr>
          </w:p>
          <w:p w14:paraId="44CD8ADF" w14:textId="77777777" w:rsidR="002E0FD9" w:rsidRPr="007F30D6" w:rsidRDefault="002E0FD9" w:rsidP="00251BE9">
            <w:pPr>
              <w:rPr>
                <w:rFonts w:ascii="Arial" w:hAnsi="Arial" w:cs="Arial"/>
              </w:rPr>
            </w:pPr>
          </w:p>
          <w:p w14:paraId="12E76FEA" w14:textId="77777777" w:rsidR="002E0FD9" w:rsidRPr="007F30D6" w:rsidRDefault="002E0FD9" w:rsidP="00251BE9">
            <w:pPr>
              <w:rPr>
                <w:rFonts w:ascii="Arial" w:hAnsi="Arial" w:cs="Arial"/>
              </w:rPr>
            </w:pPr>
          </w:p>
          <w:p w14:paraId="194055F4" w14:textId="77777777" w:rsidR="002E0FD9" w:rsidRPr="007F30D6" w:rsidRDefault="002E0FD9" w:rsidP="00251BE9">
            <w:pPr>
              <w:rPr>
                <w:rFonts w:ascii="Arial" w:hAnsi="Arial" w:cs="Arial"/>
              </w:rPr>
            </w:pPr>
          </w:p>
          <w:p w14:paraId="259B3975" w14:textId="53BD1E4D" w:rsidR="00514B66" w:rsidRPr="007F30D6" w:rsidRDefault="00514B66" w:rsidP="00251BE9">
            <w:pPr>
              <w:rPr>
                <w:rFonts w:ascii="Arial" w:hAnsi="Arial" w:cs="Arial"/>
              </w:rPr>
            </w:pPr>
            <w:r w:rsidRPr="007F30D6">
              <w:rPr>
                <w:rFonts w:ascii="Arial" w:hAnsi="Arial" w:cs="Arial"/>
              </w:rPr>
              <w:t>Stakeholder engagement is critical to locally relevant PHC planning. Without adequate engagement, planned strategies may not be appropriate for the community.</w:t>
            </w:r>
          </w:p>
        </w:tc>
      </w:tr>
      <w:tr w:rsidR="00B022AF" w:rsidRPr="007F30D6" w14:paraId="40624EA9" w14:textId="77777777" w:rsidTr="00FA5CA5">
        <w:trPr>
          <w:jc w:val="center"/>
        </w:trPr>
        <w:tc>
          <w:tcPr>
            <w:tcW w:w="2122" w:type="dxa"/>
          </w:tcPr>
          <w:p w14:paraId="07D5DD57" w14:textId="652B170A" w:rsidR="00B022AF" w:rsidRPr="007F30D6" w:rsidRDefault="00B022AF" w:rsidP="00A17F3D">
            <w:pPr>
              <w:rPr>
                <w:rFonts w:ascii="Arial" w:hAnsi="Arial" w:cs="Arial"/>
              </w:rPr>
            </w:pPr>
            <w:r w:rsidRPr="007F30D6">
              <w:rPr>
                <w:rFonts w:ascii="Arial" w:hAnsi="Arial" w:cs="Arial"/>
              </w:rPr>
              <w:t>Organisational structure</w:t>
            </w:r>
          </w:p>
        </w:tc>
        <w:tc>
          <w:tcPr>
            <w:tcW w:w="2126" w:type="dxa"/>
          </w:tcPr>
          <w:p w14:paraId="355724CB" w14:textId="25E07CD4" w:rsidR="00B022AF" w:rsidRPr="007F30D6" w:rsidRDefault="00B022AF" w:rsidP="00A17F3D">
            <w:pPr>
              <w:rPr>
                <w:rFonts w:ascii="Arial" w:hAnsi="Arial" w:cs="Arial"/>
              </w:rPr>
            </w:pPr>
            <w:r w:rsidRPr="007F30D6">
              <w:rPr>
                <w:rFonts w:ascii="Arial" w:hAnsi="Arial" w:cs="Arial"/>
              </w:rPr>
              <w:t>A factor in the internal context</w:t>
            </w:r>
          </w:p>
          <w:p w14:paraId="320436E4" w14:textId="1859359B" w:rsidR="00B022AF" w:rsidRPr="007F30D6" w:rsidRDefault="00B022AF" w:rsidP="00A17F3D">
            <w:pPr>
              <w:rPr>
                <w:rFonts w:ascii="Arial" w:hAnsi="Arial" w:cs="Arial"/>
              </w:rPr>
            </w:pPr>
          </w:p>
        </w:tc>
        <w:tc>
          <w:tcPr>
            <w:tcW w:w="7371" w:type="dxa"/>
          </w:tcPr>
          <w:p w14:paraId="66BA933B" w14:textId="20AAAC53" w:rsidR="00B022AF" w:rsidRPr="007F30D6" w:rsidRDefault="00B022AF" w:rsidP="00A17F3D">
            <w:pPr>
              <w:rPr>
                <w:rFonts w:ascii="Arial" w:hAnsi="Arial" w:cs="Arial"/>
              </w:rPr>
            </w:pPr>
            <w:r w:rsidRPr="007F30D6">
              <w:rPr>
                <w:rFonts w:ascii="Arial" w:hAnsi="Arial" w:cs="Arial"/>
              </w:rPr>
              <w:t xml:space="preserve">Organisational structures vary somewhat between PHNs, in terms of organisational hierarchies, and some examples of more than </w:t>
            </w:r>
            <w:r w:rsidR="00D427E6" w:rsidRPr="007F30D6">
              <w:rPr>
                <w:rFonts w:ascii="Arial" w:hAnsi="Arial" w:cs="Arial"/>
              </w:rPr>
              <w:t>one</w:t>
            </w:r>
            <w:r w:rsidRPr="007F30D6">
              <w:rPr>
                <w:rFonts w:ascii="Arial" w:hAnsi="Arial" w:cs="Arial"/>
              </w:rPr>
              <w:t xml:space="preserve"> Clinical Council or Community Advisory Committee, plus other bodies.</w:t>
            </w:r>
          </w:p>
        </w:tc>
        <w:tc>
          <w:tcPr>
            <w:tcW w:w="4252" w:type="dxa"/>
          </w:tcPr>
          <w:p w14:paraId="1EAF2670" w14:textId="1247CED4" w:rsidR="00B022AF" w:rsidRPr="007F30D6" w:rsidRDefault="00B022AF" w:rsidP="00A17F3D">
            <w:pPr>
              <w:rPr>
                <w:rFonts w:ascii="Arial" w:hAnsi="Arial" w:cs="Arial"/>
              </w:rPr>
            </w:pPr>
            <w:r w:rsidRPr="007F30D6">
              <w:rPr>
                <w:rFonts w:ascii="Arial" w:hAnsi="Arial" w:cs="Arial"/>
              </w:rPr>
              <w:t>Differing arrangements had implications for evidence-informed planning processes and stakeholder influence.</w:t>
            </w:r>
          </w:p>
        </w:tc>
      </w:tr>
      <w:tr w:rsidR="003C2760" w:rsidRPr="007F30D6" w14:paraId="6E1B601A" w14:textId="77777777" w:rsidTr="00FA5CA5">
        <w:trPr>
          <w:jc w:val="center"/>
        </w:trPr>
        <w:tc>
          <w:tcPr>
            <w:tcW w:w="2122" w:type="dxa"/>
          </w:tcPr>
          <w:p w14:paraId="0622EE6F" w14:textId="77777777" w:rsidR="003C2760" w:rsidRPr="007F30D6" w:rsidRDefault="003C2760" w:rsidP="00A17F3D">
            <w:pPr>
              <w:rPr>
                <w:rFonts w:ascii="Arial" w:hAnsi="Arial" w:cs="Arial"/>
              </w:rPr>
            </w:pPr>
            <w:r w:rsidRPr="007F30D6">
              <w:rPr>
                <w:rFonts w:ascii="Arial" w:hAnsi="Arial" w:cs="Arial"/>
              </w:rPr>
              <w:t>Capacity for evidence-informed planning</w:t>
            </w:r>
          </w:p>
          <w:p w14:paraId="2ECFC9DD" w14:textId="1AAB8F0E" w:rsidR="007A699E" w:rsidRPr="007F30D6" w:rsidRDefault="007A699E" w:rsidP="00A17F3D">
            <w:pPr>
              <w:rPr>
                <w:rFonts w:ascii="Arial" w:hAnsi="Arial" w:cs="Arial"/>
              </w:rPr>
            </w:pPr>
            <w:r w:rsidRPr="007F30D6">
              <w:rPr>
                <w:rFonts w:ascii="Arial" w:hAnsi="Arial" w:cs="Arial"/>
              </w:rPr>
              <w:t>(</w:t>
            </w:r>
            <w:r w:rsidR="00863DF2" w:rsidRPr="007F30D6">
              <w:rPr>
                <w:rFonts w:ascii="Arial" w:hAnsi="Arial" w:cs="Arial"/>
              </w:rPr>
              <w:t>PHC research and evaluation capacity, evidence resources, process governance, talent pool, relationships, leadership, staff skills)</w:t>
            </w:r>
          </w:p>
        </w:tc>
        <w:tc>
          <w:tcPr>
            <w:tcW w:w="2126" w:type="dxa"/>
          </w:tcPr>
          <w:p w14:paraId="723B64D9" w14:textId="25A1DBC6" w:rsidR="003C2760" w:rsidRPr="007F30D6" w:rsidRDefault="003C2760" w:rsidP="00A17F3D">
            <w:pPr>
              <w:rPr>
                <w:rFonts w:ascii="Arial" w:hAnsi="Arial" w:cs="Arial"/>
              </w:rPr>
            </w:pPr>
            <w:r w:rsidRPr="007F30D6">
              <w:rPr>
                <w:rFonts w:ascii="Arial" w:hAnsi="Arial" w:cs="Arial"/>
              </w:rPr>
              <w:t>Various factors in the internal, regional and national contexts</w:t>
            </w:r>
          </w:p>
          <w:p w14:paraId="6B021E9C" w14:textId="36641AAA" w:rsidR="003C2760" w:rsidRPr="007F30D6" w:rsidRDefault="003C2760" w:rsidP="00A17F3D">
            <w:pPr>
              <w:rPr>
                <w:rFonts w:ascii="Arial" w:hAnsi="Arial" w:cs="Arial"/>
              </w:rPr>
            </w:pPr>
          </w:p>
        </w:tc>
        <w:tc>
          <w:tcPr>
            <w:tcW w:w="7371" w:type="dxa"/>
          </w:tcPr>
          <w:p w14:paraId="1510A439" w14:textId="65D5C8CF" w:rsidR="003C2760" w:rsidRPr="007F30D6" w:rsidRDefault="003C2760" w:rsidP="00A17F3D">
            <w:pPr>
              <w:rPr>
                <w:rFonts w:ascii="Arial" w:hAnsi="Arial" w:cs="Arial"/>
              </w:rPr>
            </w:pPr>
            <w:r w:rsidRPr="007F30D6">
              <w:rPr>
                <w:rFonts w:ascii="Arial" w:hAnsi="Arial" w:cs="Arial"/>
              </w:rPr>
              <w:t>Organisational capacity for evidence-informed planning was relatively strong overall, however varied across different ‘domains’ of capacity, and between organisations. (</w:t>
            </w:r>
            <w:r w:rsidR="00731C06" w:rsidRPr="007F30D6">
              <w:rPr>
                <w:rFonts w:ascii="Arial" w:hAnsi="Arial" w:cs="Arial"/>
              </w:rPr>
              <w:t xml:space="preserve">see </w:t>
            </w:r>
            <w:r w:rsidR="005405EC" w:rsidRPr="007F30D6">
              <w:rPr>
                <w:rFonts w:ascii="Arial" w:hAnsi="Arial" w:cs="Arial"/>
              </w:rPr>
              <w:t>3)</w:t>
            </w:r>
          </w:p>
          <w:p w14:paraId="06404166" w14:textId="74A0E224" w:rsidR="003C2760" w:rsidRPr="007F30D6" w:rsidRDefault="003C2760" w:rsidP="00A17F3D">
            <w:pPr>
              <w:rPr>
                <w:rFonts w:ascii="Arial" w:hAnsi="Arial" w:cs="Arial"/>
              </w:rPr>
            </w:pPr>
            <w:r w:rsidRPr="007F30D6">
              <w:rPr>
                <w:rFonts w:ascii="Arial" w:hAnsi="Arial" w:cs="Arial"/>
              </w:rPr>
              <w:t>In summary, PHNs had strong capacity for generating evidence and in relationships with researchers. There was weak capacity regarding evaluation processes, staff training, evidence resources and guiding tools to support evidence-informed planning. Leadership capacity to drive evidence-informed planning varied.</w:t>
            </w:r>
          </w:p>
          <w:p w14:paraId="5B106D4C" w14:textId="77777777" w:rsidR="003C2760" w:rsidRPr="007F30D6" w:rsidRDefault="003C2760" w:rsidP="00A17F3D">
            <w:pPr>
              <w:rPr>
                <w:rFonts w:ascii="Arial" w:hAnsi="Arial" w:cs="Arial"/>
              </w:rPr>
            </w:pPr>
          </w:p>
          <w:p w14:paraId="747028A2" w14:textId="512E6713" w:rsidR="003C2760" w:rsidRPr="007F30D6" w:rsidRDefault="003C2760" w:rsidP="00A17F3D">
            <w:pPr>
              <w:rPr>
                <w:rFonts w:ascii="Arial" w:hAnsi="Arial" w:cs="Arial"/>
              </w:rPr>
            </w:pPr>
            <w:r w:rsidRPr="007F30D6">
              <w:rPr>
                <w:rFonts w:ascii="Arial" w:hAnsi="Arial" w:cs="Arial"/>
              </w:rPr>
              <w:t>We also identified individual factors, such as analysis skills, ability to source and appraise evidence, and established relationships that contribute to the capacity for evidence-informed planning within an organisation.</w:t>
            </w:r>
          </w:p>
          <w:p w14:paraId="4B5D27B4" w14:textId="0365AAD0" w:rsidR="003C2760" w:rsidRPr="007F30D6" w:rsidRDefault="003C2760" w:rsidP="00A17F3D">
            <w:pPr>
              <w:rPr>
                <w:rFonts w:ascii="Arial" w:hAnsi="Arial" w:cs="Arial"/>
              </w:rPr>
            </w:pPr>
            <w:r w:rsidRPr="007F30D6">
              <w:rPr>
                <w:rFonts w:ascii="Arial" w:hAnsi="Arial" w:cs="Arial"/>
              </w:rPr>
              <w:lastRenderedPageBreak/>
              <w:t>Rural PHNs reported difficulty recruiting appropriately skilled and experienced planning staff.</w:t>
            </w:r>
          </w:p>
        </w:tc>
        <w:tc>
          <w:tcPr>
            <w:tcW w:w="4252" w:type="dxa"/>
          </w:tcPr>
          <w:p w14:paraId="08F37264" w14:textId="22662A21" w:rsidR="003C2760" w:rsidRPr="007F30D6" w:rsidRDefault="003C2760" w:rsidP="00A17F3D">
            <w:pPr>
              <w:rPr>
                <w:rFonts w:ascii="Arial" w:hAnsi="Arial" w:cs="Arial"/>
              </w:rPr>
            </w:pPr>
            <w:r w:rsidRPr="007F30D6">
              <w:rPr>
                <w:rFonts w:ascii="Arial" w:hAnsi="Arial" w:cs="Arial"/>
              </w:rPr>
              <w:lastRenderedPageBreak/>
              <w:t>Weak capacity hinders evidence-informed planning, and strong capacity enables it.</w:t>
            </w:r>
          </w:p>
          <w:p w14:paraId="628B0E19" w14:textId="77777777" w:rsidR="003C2760" w:rsidRPr="007F30D6" w:rsidRDefault="003C2760" w:rsidP="00A17F3D">
            <w:pPr>
              <w:rPr>
                <w:rFonts w:ascii="Arial" w:hAnsi="Arial" w:cs="Arial"/>
              </w:rPr>
            </w:pPr>
          </w:p>
          <w:p w14:paraId="64704131" w14:textId="77777777" w:rsidR="003C2760" w:rsidRPr="007F30D6" w:rsidRDefault="003C2760" w:rsidP="00A17F3D">
            <w:pPr>
              <w:rPr>
                <w:rFonts w:ascii="Arial" w:hAnsi="Arial" w:cs="Arial"/>
              </w:rPr>
            </w:pPr>
          </w:p>
          <w:p w14:paraId="311CBEFC" w14:textId="77777777" w:rsidR="003C2760" w:rsidRPr="007F30D6" w:rsidRDefault="003C2760" w:rsidP="00A17F3D">
            <w:pPr>
              <w:rPr>
                <w:rFonts w:ascii="Arial" w:hAnsi="Arial" w:cs="Arial"/>
              </w:rPr>
            </w:pPr>
          </w:p>
          <w:p w14:paraId="093C634C" w14:textId="77777777" w:rsidR="003C2760" w:rsidRPr="007F30D6" w:rsidRDefault="003C2760" w:rsidP="00A17F3D">
            <w:pPr>
              <w:rPr>
                <w:rFonts w:ascii="Arial" w:hAnsi="Arial" w:cs="Arial"/>
              </w:rPr>
            </w:pPr>
          </w:p>
          <w:p w14:paraId="37E67D3C" w14:textId="77777777" w:rsidR="003C2760" w:rsidRPr="007F30D6" w:rsidRDefault="003C2760" w:rsidP="00A17F3D">
            <w:pPr>
              <w:rPr>
                <w:rFonts w:ascii="Arial" w:hAnsi="Arial" w:cs="Arial"/>
              </w:rPr>
            </w:pPr>
          </w:p>
          <w:p w14:paraId="00E38307" w14:textId="77777777" w:rsidR="003C2760" w:rsidRPr="007F30D6" w:rsidRDefault="003C2760" w:rsidP="00A17F3D">
            <w:pPr>
              <w:rPr>
                <w:rFonts w:ascii="Arial" w:hAnsi="Arial" w:cs="Arial"/>
              </w:rPr>
            </w:pPr>
          </w:p>
          <w:p w14:paraId="086AA6E1" w14:textId="20F9CAAA" w:rsidR="003C2760" w:rsidRPr="007F30D6" w:rsidRDefault="003C2760" w:rsidP="00A17F3D">
            <w:pPr>
              <w:rPr>
                <w:rFonts w:ascii="Arial" w:hAnsi="Arial" w:cs="Arial"/>
              </w:rPr>
            </w:pPr>
            <w:r w:rsidRPr="007F30D6">
              <w:rPr>
                <w:rFonts w:ascii="Arial" w:hAnsi="Arial" w:cs="Arial"/>
              </w:rPr>
              <w:t>The capacity of individuals within an organisation can greatly influence evidence-informed planning.</w:t>
            </w:r>
          </w:p>
          <w:p w14:paraId="12157989" w14:textId="77777777" w:rsidR="003C2760" w:rsidRPr="007F30D6" w:rsidRDefault="003C2760" w:rsidP="00A17F3D">
            <w:pPr>
              <w:rPr>
                <w:rFonts w:ascii="Arial" w:hAnsi="Arial" w:cs="Arial"/>
              </w:rPr>
            </w:pPr>
          </w:p>
          <w:p w14:paraId="4FC906EC" w14:textId="45ECADF3" w:rsidR="003C2760" w:rsidRPr="007F30D6" w:rsidRDefault="003C2760" w:rsidP="00A17F3D">
            <w:pPr>
              <w:rPr>
                <w:rFonts w:ascii="Arial" w:hAnsi="Arial" w:cs="Arial"/>
              </w:rPr>
            </w:pPr>
            <w:r w:rsidRPr="007F30D6">
              <w:rPr>
                <w:rFonts w:ascii="Arial" w:hAnsi="Arial" w:cs="Arial"/>
              </w:rPr>
              <w:lastRenderedPageBreak/>
              <w:t>A smaller pool of ‘talent’ within the region indirectly constrains PHNs’ planning capacity</w:t>
            </w:r>
          </w:p>
        </w:tc>
      </w:tr>
      <w:tr w:rsidR="0058019D" w:rsidRPr="007F30D6" w14:paraId="168A56A8" w14:textId="77777777" w:rsidTr="00FA5CA5">
        <w:trPr>
          <w:jc w:val="center"/>
        </w:trPr>
        <w:tc>
          <w:tcPr>
            <w:tcW w:w="2122" w:type="dxa"/>
          </w:tcPr>
          <w:p w14:paraId="061C6FB3" w14:textId="586AF9A7" w:rsidR="0058019D" w:rsidRPr="007F30D6" w:rsidRDefault="0058019D" w:rsidP="00A17F3D">
            <w:pPr>
              <w:rPr>
                <w:rFonts w:ascii="Arial" w:hAnsi="Arial" w:cs="Arial"/>
              </w:rPr>
            </w:pPr>
            <w:r w:rsidRPr="007F30D6">
              <w:rPr>
                <w:rFonts w:ascii="Arial" w:hAnsi="Arial" w:cs="Arial"/>
              </w:rPr>
              <w:lastRenderedPageBreak/>
              <w:t>Planning processes</w:t>
            </w:r>
          </w:p>
        </w:tc>
        <w:tc>
          <w:tcPr>
            <w:tcW w:w="2126" w:type="dxa"/>
          </w:tcPr>
          <w:p w14:paraId="20260F75" w14:textId="0D8B148D" w:rsidR="0058019D" w:rsidRPr="007F30D6" w:rsidRDefault="0058019D" w:rsidP="00A17F3D">
            <w:pPr>
              <w:rPr>
                <w:rFonts w:ascii="Arial" w:hAnsi="Arial" w:cs="Arial"/>
              </w:rPr>
            </w:pPr>
            <w:r w:rsidRPr="007F30D6">
              <w:rPr>
                <w:rFonts w:ascii="Arial" w:hAnsi="Arial" w:cs="Arial"/>
              </w:rPr>
              <w:t>A factor in the internal context, with some external influence by the Department of Health</w:t>
            </w:r>
          </w:p>
          <w:p w14:paraId="70ABE6C9" w14:textId="59D7BEEB" w:rsidR="0058019D" w:rsidRPr="007F30D6" w:rsidRDefault="0058019D" w:rsidP="00A17F3D">
            <w:pPr>
              <w:rPr>
                <w:rFonts w:ascii="Arial" w:hAnsi="Arial" w:cs="Arial"/>
              </w:rPr>
            </w:pPr>
          </w:p>
        </w:tc>
        <w:tc>
          <w:tcPr>
            <w:tcW w:w="7371" w:type="dxa"/>
          </w:tcPr>
          <w:p w14:paraId="0D4D6F3D" w14:textId="458A59EA" w:rsidR="0058019D" w:rsidRPr="007F30D6" w:rsidRDefault="0058019D" w:rsidP="00A17F3D">
            <w:pPr>
              <w:rPr>
                <w:rFonts w:ascii="Arial" w:hAnsi="Arial" w:cs="Arial"/>
              </w:rPr>
            </w:pPr>
            <w:r w:rsidRPr="007F30D6">
              <w:rPr>
                <w:rFonts w:ascii="Arial" w:hAnsi="Arial" w:cs="Arial"/>
              </w:rPr>
              <w:t>Interview data regarding planning processes tended to lack clarity and detail, suggesting that relevant organisational norms were not yet firmly established.</w:t>
            </w:r>
          </w:p>
          <w:p w14:paraId="0B483786" w14:textId="6FE23FF1" w:rsidR="0058019D" w:rsidRPr="007F30D6" w:rsidRDefault="0058019D" w:rsidP="00A17F3D">
            <w:pPr>
              <w:rPr>
                <w:rFonts w:ascii="Arial" w:hAnsi="Arial" w:cs="Arial"/>
              </w:rPr>
            </w:pPr>
            <w:r w:rsidRPr="007F30D6">
              <w:rPr>
                <w:rFonts w:ascii="Arial" w:hAnsi="Arial" w:cs="Arial"/>
              </w:rPr>
              <w:t>The</w:t>
            </w:r>
            <w:r w:rsidR="0073053D" w:rsidRPr="007F30D6">
              <w:rPr>
                <w:rFonts w:ascii="Arial" w:hAnsi="Arial" w:cs="Arial"/>
              </w:rPr>
              <w:t xml:space="preserve">re were mixed views about </w:t>
            </w:r>
            <w:r w:rsidRPr="007F30D6">
              <w:rPr>
                <w:rFonts w:ascii="Arial" w:hAnsi="Arial" w:cs="Arial"/>
              </w:rPr>
              <w:t xml:space="preserve">rigour in </w:t>
            </w:r>
            <w:r w:rsidR="00052829" w:rsidRPr="007F30D6">
              <w:rPr>
                <w:rFonts w:ascii="Arial" w:hAnsi="Arial" w:cs="Arial"/>
              </w:rPr>
              <w:t xml:space="preserve">PHN </w:t>
            </w:r>
            <w:r w:rsidRPr="007F30D6">
              <w:rPr>
                <w:rFonts w:ascii="Arial" w:hAnsi="Arial" w:cs="Arial"/>
              </w:rPr>
              <w:t>planning processes</w:t>
            </w:r>
            <w:r w:rsidR="006A6A49" w:rsidRPr="007F30D6">
              <w:rPr>
                <w:rFonts w:ascii="Arial" w:hAnsi="Arial" w:cs="Arial"/>
              </w:rPr>
              <w:t xml:space="preserve"> and where they sat on a spectrum of ‘disorganised’ to </w:t>
            </w:r>
            <w:r w:rsidR="0088543A" w:rsidRPr="007F30D6">
              <w:rPr>
                <w:rFonts w:ascii="Arial" w:hAnsi="Arial" w:cs="Arial"/>
              </w:rPr>
              <w:t>‘</w:t>
            </w:r>
            <w:r w:rsidR="006A6A49" w:rsidRPr="007F30D6">
              <w:rPr>
                <w:rFonts w:ascii="Arial" w:hAnsi="Arial" w:cs="Arial"/>
              </w:rPr>
              <w:t>systematic</w:t>
            </w:r>
            <w:r w:rsidR="0088543A" w:rsidRPr="007F30D6">
              <w:rPr>
                <w:rFonts w:ascii="Arial" w:hAnsi="Arial" w:cs="Arial"/>
              </w:rPr>
              <w:t>’</w:t>
            </w:r>
            <w:r w:rsidRPr="007F30D6">
              <w:rPr>
                <w:rFonts w:ascii="Arial" w:hAnsi="Arial" w:cs="Arial"/>
              </w:rPr>
              <w:t>. While some were confident in their PHNs’ planning processes, others recognised that there was room for improvement, particularly in the more systematic, direct sourcing and use of evidence for specific planning purposes, rather than sporadic and indirect use.</w:t>
            </w:r>
          </w:p>
          <w:p w14:paraId="0DC193AD" w14:textId="72081B22" w:rsidR="0058019D" w:rsidRPr="007F30D6" w:rsidRDefault="0058019D" w:rsidP="0088543A">
            <w:pPr>
              <w:rPr>
                <w:rFonts w:ascii="Arial" w:hAnsi="Arial" w:cs="Arial"/>
              </w:rPr>
            </w:pPr>
            <w:r w:rsidRPr="007F30D6">
              <w:rPr>
                <w:rFonts w:ascii="Arial" w:hAnsi="Arial" w:cs="Arial"/>
              </w:rPr>
              <w:t>As reported elsewhere (</w:t>
            </w:r>
            <w:r w:rsidR="005405EC" w:rsidRPr="007F30D6">
              <w:rPr>
                <w:rFonts w:ascii="Arial" w:hAnsi="Arial" w:cs="Arial"/>
              </w:rPr>
              <w:t>3</w:t>
            </w:r>
            <w:r w:rsidRPr="007F30D6">
              <w:rPr>
                <w:rFonts w:ascii="Arial" w:hAnsi="Arial" w:cs="Arial"/>
              </w:rPr>
              <w:t>), we identified some shortcomings in PHNs’ capacity regarding governance of the planning process, with limited mechanisms for promoting the appropriateness, transparency, accountability and contestability of evidence use.</w:t>
            </w:r>
          </w:p>
        </w:tc>
        <w:tc>
          <w:tcPr>
            <w:tcW w:w="4252" w:type="dxa"/>
          </w:tcPr>
          <w:p w14:paraId="564B01A1" w14:textId="0266ED63" w:rsidR="0058019D" w:rsidRPr="007F30D6" w:rsidRDefault="0058019D" w:rsidP="00A17F3D">
            <w:pPr>
              <w:rPr>
                <w:rFonts w:ascii="Arial" w:hAnsi="Arial" w:cs="Arial"/>
              </w:rPr>
            </w:pPr>
            <w:r w:rsidRPr="007F30D6">
              <w:rPr>
                <w:rFonts w:ascii="Arial" w:hAnsi="Arial" w:cs="Arial"/>
              </w:rPr>
              <w:t>Evidence-informed decision-making can be hindered by a lack of systematic planning processes with mechanisms to promote the use of evidence.</w:t>
            </w:r>
          </w:p>
        </w:tc>
      </w:tr>
      <w:tr w:rsidR="00CD64B3" w:rsidRPr="007F30D6" w14:paraId="4D1D69A1" w14:textId="77777777" w:rsidTr="00FA5CA5">
        <w:trPr>
          <w:jc w:val="center"/>
        </w:trPr>
        <w:tc>
          <w:tcPr>
            <w:tcW w:w="2122" w:type="dxa"/>
          </w:tcPr>
          <w:p w14:paraId="41330E0F" w14:textId="00B525C8" w:rsidR="00CD64B3" w:rsidRPr="007F30D6" w:rsidRDefault="00CD64B3" w:rsidP="00A17F3D">
            <w:pPr>
              <w:rPr>
                <w:rFonts w:ascii="Arial" w:hAnsi="Arial" w:cs="Arial"/>
              </w:rPr>
            </w:pPr>
            <w:r w:rsidRPr="007F30D6">
              <w:rPr>
                <w:rFonts w:ascii="Arial" w:hAnsi="Arial" w:cs="Arial"/>
              </w:rPr>
              <w:t>Unexpected priority changes, shifting ‘goal posts’</w:t>
            </w:r>
          </w:p>
        </w:tc>
        <w:tc>
          <w:tcPr>
            <w:tcW w:w="2126" w:type="dxa"/>
          </w:tcPr>
          <w:p w14:paraId="232D9A14" w14:textId="32EF8457" w:rsidR="00CD64B3" w:rsidRPr="007F30D6" w:rsidRDefault="00CD64B3" w:rsidP="00A17F3D">
            <w:pPr>
              <w:rPr>
                <w:rFonts w:ascii="Arial" w:hAnsi="Arial" w:cs="Arial"/>
              </w:rPr>
            </w:pPr>
            <w:r w:rsidRPr="007F30D6">
              <w:rPr>
                <w:rFonts w:ascii="Arial" w:hAnsi="Arial" w:cs="Arial"/>
              </w:rPr>
              <w:t>A factor in the external context</w:t>
            </w:r>
          </w:p>
          <w:p w14:paraId="01AA7C13" w14:textId="29B4C790" w:rsidR="00CD64B3" w:rsidRPr="007F30D6" w:rsidRDefault="00CD64B3" w:rsidP="00A17F3D">
            <w:pPr>
              <w:rPr>
                <w:rFonts w:ascii="Arial" w:hAnsi="Arial" w:cs="Arial"/>
              </w:rPr>
            </w:pPr>
          </w:p>
        </w:tc>
        <w:tc>
          <w:tcPr>
            <w:tcW w:w="7371" w:type="dxa"/>
          </w:tcPr>
          <w:p w14:paraId="58FEB366" w14:textId="38396698" w:rsidR="00CD64B3" w:rsidRPr="007F30D6" w:rsidRDefault="00CD64B3" w:rsidP="00A17F3D">
            <w:pPr>
              <w:rPr>
                <w:rFonts w:ascii="Arial" w:hAnsi="Arial" w:cs="Arial"/>
              </w:rPr>
            </w:pPr>
            <w:r w:rsidRPr="007F30D6">
              <w:rPr>
                <w:rFonts w:ascii="Arial" w:hAnsi="Arial" w:cs="Arial"/>
              </w:rPr>
              <w:t xml:space="preserve">Many interviewees noted that </w:t>
            </w:r>
            <w:r w:rsidR="00595575" w:rsidRPr="007F30D6">
              <w:rPr>
                <w:rFonts w:ascii="Arial" w:hAnsi="Arial" w:cs="Arial"/>
              </w:rPr>
              <w:t>PHNs required</w:t>
            </w:r>
            <w:r w:rsidRPr="007F30D6">
              <w:rPr>
                <w:rFonts w:ascii="Arial" w:hAnsi="Arial" w:cs="Arial"/>
              </w:rPr>
              <w:t xml:space="preserve"> flexibility and responsiveness</w:t>
            </w:r>
            <w:r w:rsidR="00AC7071" w:rsidRPr="007F30D6">
              <w:rPr>
                <w:rFonts w:ascii="Arial" w:hAnsi="Arial" w:cs="Arial"/>
              </w:rPr>
              <w:t xml:space="preserve"> </w:t>
            </w:r>
            <w:r w:rsidR="00BC5E46" w:rsidRPr="007F30D6">
              <w:rPr>
                <w:rFonts w:ascii="Arial" w:hAnsi="Arial" w:cs="Arial"/>
              </w:rPr>
              <w:t>to shifting “goal posts” (Community Advisory Committee, Remote, 2016)</w:t>
            </w:r>
            <w:r w:rsidRPr="007F30D6">
              <w:rPr>
                <w:rFonts w:ascii="Arial" w:hAnsi="Arial" w:cs="Arial"/>
              </w:rPr>
              <w:t>, particularly for responding to political influences.</w:t>
            </w:r>
          </w:p>
          <w:p w14:paraId="6D160AB1" w14:textId="6C415981" w:rsidR="00CD64B3" w:rsidRPr="007F30D6" w:rsidRDefault="00CD64B3" w:rsidP="00A17F3D">
            <w:pPr>
              <w:rPr>
                <w:rFonts w:ascii="Arial" w:hAnsi="Arial" w:cs="Arial"/>
                <w:i/>
                <w:iCs/>
              </w:rPr>
            </w:pPr>
            <w:r w:rsidRPr="007F30D6">
              <w:rPr>
                <w:rFonts w:ascii="Arial" w:hAnsi="Arial" w:cs="Arial"/>
                <w:i/>
                <w:iCs/>
              </w:rPr>
              <w:t>“I think in this field you have to be, especially in [region], flexible with your planning because much can change on a whim, especially within the political environment.” (Community Advisory Committee, Remote)</w:t>
            </w:r>
          </w:p>
          <w:p w14:paraId="0466A86B" w14:textId="3868400D" w:rsidR="00CD64B3" w:rsidRPr="007F30D6" w:rsidRDefault="00CD64B3" w:rsidP="00BF0ADC">
            <w:pPr>
              <w:rPr>
                <w:rFonts w:ascii="Arial" w:hAnsi="Arial" w:cs="Arial"/>
                <w:i/>
                <w:iCs/>
              </w:rPr>
            </w:pPr>
          </w:p>
        </w:tc>
        <w:tc>
          <w:tcPr>
            <w:tcW w:w="4252" w:type="dxa"/>
          </w:tcPr>
          <w:p w14:paraId="7157B73C" w14:textId="5BB6E495" w:rsidR="00CD64B3" w:rsidRPr="007F30D6" w:rsidRDefault="00CD64B3" w:rsidP="00A17F3D">
            <w:pPr>
              <w:rPr>
                <w:rFonts w:ascii="Arial" w:hAnsi="Arial" w:cs="Arial"/>
              </w:rPr>
            </w:pPr>
            <w:r w:rsidRPr="007F30D6">
              <w:rPr>
                <w:rFonts w:ascii="Arial" w:hAnsi="Arial" w:cs="Arial"/>
              </w:rPr>
              <w:t>The need to respond to sudden changes can divert PHNs’ focus, compromise the strategy of planning processes, and impact their capacity, performance and outcomes.</w:t>
            </w:r>
          </w:p>
        </w:tc>
      </w:tr>
      <w:tr w:rsidR="009A2BD2" w:rsidRPr="007F30D6" w14:paraId="7EF2BF48" w14:textId="77777777" w:rsidTr="00FA5CA5">
        <w:trPr>
          <w:jc w:val="center"/>
        </w:trPr>
        <w:tc>
          <w:tcPr>
            <w:tcW w:w="2122" w:type="dxa"/>
            <w:vMerge w:val="restart"/>
          </w:tcPr>
          <w:p w14:paraId="40422EC4" w14:textId="6E9E95F6" w:rsidR="009A2BD2" w:rsidRPr="007F30D6" w:rsidRDefault="009A2BD2" w:rsidP="00A17F3D">
            <w:pPr>
              <w:rPr>
                <w:rFonts w:ascii="Arial" w:hAnsi="Arial" w:cs="Arial"/>
              </w:rPr>
            </w:pPr>
            <w:r w:rsidRPr="007F30D6">
              <w:rPr>
                <w:rFonts w:ascii="Arial" w:hAnsi="Arial" w:cs="Arial"/>
              </w:rPr>
              <w:t>Culture, values, ideology</w:t>
            </w:r>
          </w:p>
        </w:tc>
        <w:tc>
          <w:tcPr>
            <w:tcW w:w="2126" w:type="dxa"/>
          </w:tcPr>
          <w:p w14:paraId="0ADDC2DF" w14:textId="5F6074A2" w:rsidR="009A2BD2" w:rsidRPr="007F30D6" w:rsidRDefault="009A2BD2" w:rsidP="00A17F3D">
            <w:pPr>
              <w:rPr>
                <w:rFonts w:ascii="Arial" w:hAnsi="Arial" w:cs="Arial"/>
              </w:rPr>
            </w:pPr>
            <w:r w:rsidRPr="007F30D6">
              <w:rPr>
                <w:rFonts w:ascii="Arial" w:hAnsi="Arial" w:cs="Arial"/>
              </w:rPr>
              <w:t>Factors in the internal PHN context</w:t>
            </w:r>
          </w:p>
          <w:p w14:paraId="6048A4D9" w14:textId="176230E2" w:rsidR="009A2BD2" w:rsidRPr="007F30D6" w:rsidRDefault="009A2BD2" w:rsidP="00A17F3D">
            <w:pPr>
              <w:rPr>
                <w:rFonts w:ascii="Arial" w:hAnsi="Arial" w:cs="Arial"/>
              </w:rPr>
            </w:pPr>
          </w:p>
        </w:tc>
        <w:tc>
          <w:tcPr>
            <w:tcW w:w="7371" w:type="dxa"/>
          </w:tcPr>
          <w:p w14:paraId="3EE1FA81" w14:textId="77777777" w:rsidR="009A2BD2" w:rsidRPr="007F30D6" w:rsidRDefault="009A2BD2" w:rsidP="00A17F3D">
            <w:pPr>
              <w:rPr>
                <w:rFonts w:ascii="Arial" w:hAnsi="Arial" w:cs="Arial"/>
              </w:rPr>
            </w:pPr>
            <w:r w:rsidRPr="007F30D6">
              <w:rPr>
                <w:rFonts w:ascii="Arial" w:hAnsi="Arial" w:cs="Arial"/>
              </w:rPr>
              <w:t>Our interviewees indicated that the culture and values within PHNs broadly favour evidence-informed decision-making, although some noted the contest between good intentions and time constraints.</w:t>
            </w:r>
          </w:p>
          <w:p w14:paraId="5DE8F897" w14:textId="39F45E51" w:rsidR="009A2BD2" w:rsidRPr="007F30D6" w:rsidRDefault="009A2BD2" w:rsidP="00A17F3D">
            <w:pPr>
              <w:rPr>
                <w:rFonts w:ascii="Arial" w:hAnsi="Arial" w:cs="Arial"/>
              </w:rPr>
            </w:pPr>
            <w:r w:rsidRPr="007F30D6">
              <w:rPr>
                <w:rFonts w:ascii="Arial" w:hAnsi="Arial" w:cs="Arial"/>
              </w:rPr>
              <w:t xml:space="preserve">Our analysis of the organisational values that PHNs’ stated in their public documents found that ‘evidence’ was rare, with only 3 of 29 PHN organisations stating this as a value. The most frequently stated values were respect (n=18), collaboration (n=18) and innovation (n=16). </w:t>
            </w:r>
          </w:p>
        </w:tc>
        <w:tc>
          <w:tcPr>
            <w:tcW w:w="4252" w:type="dxa"/>
          </w:tcPr>
          <w:p w14:paraId="4D9597F0" w14:textId="1063B551" w:rsidR="009A2BD2" w:rsidRPr="007F30D6" w:rsidRDefault="009A2BD2" w:rsidP="00A17F3D">
            <w:pPr>
              <w:rPr>
                <w:rFonts w:ascii="Arial" w:hAnsi="Arial" w:cs="Arial"/>
              </w:rPr>
            </w:pPr>
            <w:r w:rsidRPr="007F30D6">
              <w:rPr>
                <w:rFonts w:ascii="Arial" w:hAnsi="Arial" w:cs="Arial"/>
              </w:rPr>
              <w:t>Where evidence is valued and its use is a cultural ‘norm’, this enables evidence-informed planning</w:t>
            </w:r>
          </w:p>
        </w:tc>
      </w:tr>
      <w:tr w:rsidR="00AA1760" w:rsidRPr="007F30D6" w14:paraId="3C41E32C" w14:textId="77777777" w:rsidTr="00FA5CA5">
        <w:trPr>
          <w:jc w:val="center"/>
        </w:trPr>
        <w:tc>
          <w:tcPr>
            <w:tcW w:w="2122" w:type="dxa"/>
            <w:vMerge/>
          </w:tcPr>
          <w:p w14:paraId="476443FE" w14:textId="77777777" w:rsidR="00AA1760" w:rsidRPr="007F30D6" w:rsidRDefault="00AA1760" w:rsidP="00A17F3D">
            <w:pPr>
              <w:rPr>
                <w:rFonts w:ascii="Arial" w:hAnsi="Arial" w:cs="Arial"/>
              </w:rPr>
            </w:pPr>
          </w:p>
        </w:tc>
        <w:tc>
          <w:tcPr>
            <w:tcW w:w="2126" w:type="dxa"/>
          </w:tcPr>
          <w:p w14:paraId="7A29015B" w14:textId="77777777" w:rsidR="00AA1760" w:rsidRPr="007F30D6" w:rsidRDefault="00AA1760" w:rsidP="00A17F3D">
            <w:pPr>
              <w:rPr>
                <w:rFonts w:ascii="Arial" w:hAnsi="Arial" w:cs="Arial"/>
              </w:rPr>
            </w:pPr>
            <w:r w:rsidRPr="007F30D6">
              <w:rPr>
                <w:rFonts w:ascii="Arial" w:hAnsi="Arial" w:cs="Arial"/>
              </w:rPr>
              <w:t>Tension between internal and external values and ideology</w:t>
            </w:r>
          </w:p>
          <w:p w14:paraId="1D955CAA" w14:textId="342AE2D1" w:rsidR="00AA1760" w:rsidRPr="007F30D6" w:rsidRDefault="00AA1760" w:rsidP="00A17F3D">
            <w:pPr>
              <w:rPr>
                <w:rFonts w:ascii="Arial" w:hAnsi="Arial" w:cs="Arial"/>
              </w:rPr>
            </w:pPr>
          </w:p>
        </w:tc>
        <w:tc>
          <w:tcPr>
            <w:tcW w:w="7371" w:type="dxa"/>
          </w:tcPr>
          <w:p w14:paraId="668659C5" w14:textId="6C4C3F52" w:rsidR="00AA1760" w:rsidRPr="007F30D6" w:rsidRDefault="00AA1760" w:rsidP="00A17F3D">
            <w:pPr>
              <w:rPr>
                <w:rFonts w:ascii="Arial" w:hAnsi="Arial" w:cs="Arial"/>
              </w:rPr>
            </w:pPr>
            <w:r w:rsidRPr="007F30D6">
              <w:rPr>
                <w:rFonts w:ascii="Arial" w:hAnsi="Arial" w:cs="Arial"/>
              </w:rPr>
              <w:t>Some interviewees expressed ideas consistent with a social model of health, valued action on the social determinants of health, and were frustrated that the federal government limited their activities to individualistic approaches centred on clinical services and behaviour change strategies, consistent with neoliberal ideology.</w:t>
            </w:r>
          </w:p>
          <w:p w14:paraId="061097BD" w14:textId="6370F3D9" w:rsidR="00AA1760" w:rsidRPr="007F30D6" w:rsidRDefault="00AA1760" w:rsidP="00A17F3D">
            <w:pPr>
              <w:rPr>
                <w:rFonts w:ascii="Arial" w:hAnsi="Arial" w:cs="Arial"/>
                <w:i/>
                <w:iCs/>
              </w:rPr>
            </w:pPr>
            <w:r w:rsidRPr="007F30D6">
              <w:rPr>
                <w:rFonts w:ascii="Arial" w:hAnsi="Arial" w:cs="Arial"/>
                <w:i/>
                <w:iCs/>
              </w:rPr>
              <w:lastRenderedPageBreak/>
              <w:t>“It was an obvious shift in the political landscape with the change of government, where Medicare Locals and AMLA [MLs’ peak body] were talking a lot about issues about equity and inequality and social disadvantage and social determinants of health. A lot of that discussions seemed to have been shut down quite abruptly by the change of government. It came back to the equal distribution of the technical aspects of health care rather than the broader discussion about the determinants of health.” (Board, Remote, 2016)</w:t>
            </w:r>
          </w:p>
        </w:tc>
        <w:tc>
          <w:tcPr>
            <w:tcW w:w="4252" w:type="dxa"/>
          </w:tcPr>
          <w:p w14:paraId="003C2E95" w14:textId="77777777" w:rsidR="00AA1760" w:rsidRPr="007F30D6" w:rsidRDefault="00AA1760" w:rsidP="00A17F3D">
            <w:pPr>
              <w:rPr>
                <w:rFonts w:ascii="Arial" w:hAnsi="Arial" w:cs="Arial"/>
              </w:rPr>
            </w:pPr>
            <w:r w:rsidRPr="007F30D6">
              <w:rPr>
                <w:rFonts w:ascii="Arial" w:hAnsi="Arial" w:cs="Arial"/>
              </w:rPr>
              <w:lastRenderedPageBreak/>
              <w:t xml:space="preserve">This reflects a tension between strong regulatory forces driving the ideology of federal government influences, and weaker internal PHN ideological and cultural influences. </w:t>
            </w:r>
          </w:p>
          <w:p w14:paraId="3F3CF9C4" w14:textId="44260CFF" w:rsidR="00AA1760" w:rsidRPr="007F30D6" w:rsidRDefault="00AA1760" w:rsidP="00D06D29">
            <w:pPr>
              <w:rPr>
                <w:rFonts w:ascii="Arial" w:hAnsi="Arial" w:cs="Arial"/>
              </w:rPr>
            </w:pPr>
            <w:r w:rsidRPr="007F30D6">
              <w:rPr>
                <w:rFonts w:ascii="Arial" w:hAnsi="Arial" w:cs="Arial"/>
              </w:rPr>
              <w:lastRenderedPageBreak/>
              <w:t>As outlined above, ideologically constrained scope limits options for effectively and equitably addressing the root causes of health needs and gaps.</w:t>
            </w:r>
          </w:p>
          <w:p w14:paraId="4599E70E" w14:textId="2146A7D3" w:rsidR="00AA1760" w:rsidRPr="007F30D6" w:rsidRDefault="00AA1760" w:rsidP="00A17F3D">
            <w:pPr>
              <w:rPr>
                <w:rFonts w:ascii="Arial" w:hAnsi="Arial" w:cs="Arial"/>
              </w:rPr>
            </w:pPr>
          </w:p>
        </w:tc>
      </w:tr>
      <w:tr w:rsidR="00AC51DD" w:rsidRPr="007F30D6" w14:paraId="1BF969D1" w14:textId="77777777" w:rsidTr="00FA5CA5">
        <w:trPr>
          <w:jc w:val="center"/>
        </w:trPr>
        <w:tc>
          <w:tcPr>
            <w:tcW w:w="2122" w:type="dxa"/>
          </w:tcPr>
          <w:p w14:paraId="625FCF33" w14:textId="50B8BEDC" w:rsidR="00AC51DD" w:rsidRPr="007F30D6" w:rsidRDefault="00AC51DD" w:rsidP="00A17F3D">
            <w:pPr>
              <w:rPr>
                <w:rFonts w:ascii="Arial" w:hAnsi="Arial" w:cs="Arial"/>
              </w:rPr>
            </w:pPr>
            <w:r w:rsidRPr="007F30D6">
              <w:rPr>
                <w:rFonts w:ascii="Arial" w:hAnsi="Arial" w:cs="Arial"/>
              </w:rPr>
              <w:lastRenderedPageBreak/>
              <w:t>Personal and professional experience</w:t>
            </w:r>
          </w:p>
        </w:tc>
        <w:tc>
          <w:tcPr>
            <w:tcW w:w="2126" w:type="dxa"/>
          </w:tcPr>
          <w:p w14:paraId="426262E0" w14:textId="159977DB" w:rsidR="00AC51DD" w:rsidRPr="007F30D6" w:rsidRDefault="00AC51DD" w:rsidP="00A17F3D">
            <w:pPr>
              <w:rPr>
                <w:rFonts w:ascii="Arial" w:hAnsi="Arial" w:cs="Arial"/>
              </w:rPr>
            </w:pPr>
            <w:r w:rsidRPr="007F30D6">
              <w:rPr>
                <w:rFonts w:ascii="Arial" w:hAnsi="Arial" w:cs="Arial"/>
              </w:rPr>
              <w:t xml:space="preserve">Factor in the </w:t>
            </w:r>
            <w:r w:rsidR="0054067D" w:rsidRPr="007F30D6">
              <w:rPr>
                <w:rFonts w:ascii="Arial" w:hAnsi="Arial" w:cs="Arial"/>
              </w:rPr>
              <w:t xml:space="preserve">regional external and </w:t>
            </w:r>
            <w:r w:rsidRPr="007F30D6">
              <w:rPr>
                <w:rFonts w:ascii="Arial" w:hAnsi="Arial" w:cs="Arial"/>
              </w:rPr>
              <w:t>internal PHN context</w:t>
            </w:r>
          </w:p>
          <w:p w14:paraId="6A832452" w14:textId="3B97D371" w:rsidR="00AC51DD" w:rsidRPr="007F30D6" w:rsidRDefault="00AC51DD" w:rsidP="00A17F3D">
            <w:pPr>
              <w:rPr>
                <w:rFonts w:ascii="Arial" w:hAnsi="Arial" w:cs="Arial"/>
              </w:rPr>
            </w:pPr>
          </w:p>
        </w:tc>
        <w:tc>
          <w:tcPr>
            <w:tcW w:w="7371" w:type="dxa"/>
          </w:tcPr>
          <w:p w14:paraId="6A5208C4" w14:textId="729F9FB8" w:rsidR="00AC51DD" w:rsidRPr="007F30D6" w:rsidRDefault="00AC51DD" w:rsidP="00A17F3D">
            <w:pPr>
              <w:rPr>
                <w:rFonts w:ascii="Arial" w:hAnsi="Arial" w:cs="Arial"/>
              </w:rPr>
            </w:pPr>
            <w:r w:rsidRPr="007F30D6">
              <w:rPr>
                <w:rFonts w:ascii="Arial" w:hAnsi="Arial" w:cs="Arial"/>
              </w:rPr>
              <w:t xml:space="preserve">Influential experience from </w:t>
            </w:r>
            <w:r w:rsidR="00DF3042" w:rsidRPr="007F30D6">
              <w:rPr>
                <w:rFonts w:ascii="Arial" w:hAnsi="Arial" w:cs="Arial"/>
              </w:rPr>
              <w:t>actors</w:t>
            </w:r>
            <w:r w:rsidRPr="007F30D6">
              <w:rPr>
                <w:rFonts w:ascii="Arial" w:hAnsi="Arial" w:cs="Arial"/>
              </w:rPr>
              <w:t xml:space="preserve"> included: </w:t>
            </w:r>
            <w:r w:rsidR="00A55768" w:rsidRPr="007F30D6">
              <w:rPr>
                <w:rFonts w:ascii="Arial" w:hAnsi="Arial" w:cs="Arial"/>
              </w:rPr>
              <w:t>‘</w:t>
            </w:r>
            <w:r w:rsidRPr="007F30D6">
              <w:rPr>
                <w:rFonts w:ascii="Arial" w:hAnsi="Arial" w:cs="Arial"/>
              </w:rPr>
              <w:t>on the ground</w:t>
            </w:r>
            <w:r w:rsidR="00A55768" w:rsidRPr="007F30D6">
              <w:rPr>
                <w:rFonts w:ascii="Arial" w:hAnsi="Arial" w:cs="Arial"/>
              </w:rPr>
              <w:t>’</w:t>
            </w:r>
            <w:r w:rsidRPr="007F30D6">
              <w:rPr>
                <w:rFonts w:ascii="Arial" w:hAnsi="Arial" w:cs="Arial"/>
              </w:rPr>
              <w:t xml:space="preserve"> experience of local clinicians; lived experience of service users and the wider community; staff and other actors’ previous experience with in MLs and DGPs; research and academic expertise among staff and advisory groups; and population health experience.</w:t>
            </w:r>
          </w:p>
          <w:p w14:paraId="01AC829B" w14:textId="32B94EE9" w:rsidR="00AC51DD" w:rsidRPr="007F30D6" w:rsidRDefault="00AC51DD" w:rsidP="00A17F3D">
            <w:pPr>
              <w:rPr>
                <w:rFonts w:ascii="Arial" w:hAnsi="Arial" w:cs="Arial"/>
              </w:rPr>
            </w:pPr>
            <w:r w:rsidRPr="007F30D6">
              <w:rPr>
                <w:rFonts w:ascii="Arial" w:hAnsi="Arial" w:cs="Arial"/>
              </w:rPr>
              <w:t>Some were concerned that the predominance of clinical experience narrowed ideas of health. Others recognised the importance of balancing clinical and population health experience and ideas to help broaden the scope of PHN actions:</w:t>
            </w:r>
          </w:p>
          <w:p w14:paraId="441552AD" w14:textId="521B29E2" w:rsidR="00AC51DD" w:rsidRPr="007F30D6" w:rsidRDefault="00AC51DD" w:rsidP="00A17F3D">
            <w:pPr>
              <w:rPr>
                <w:rFonts w:ascii="Arial" w:hAnsi="Arial" w:cs="Arial"/>
                <w:i/>
                <w:iCs/>
              </w:rPr>
            </w:pPr>
            <w:r w:rsidRPr="007F30D6">
              <w:rPr>
                <w:rFonts w:ascii="Arial" w:hAnsi="Arial" w:cs="Arial"/>
                <w:i/>
                <w:iCs/>
              </w:rPr>
              <w:t>“bringing together a composition of clinical as well as community representatives and population health - I think that’s a good thing. I think it increases the scope of what we can do, it increases our ability to implement wider and broader strategies that are a bit more inclusive of things like the social determinants of health. Rather than just looking at primarily downstream and reductionist models of health.” (Staff, Metro South, 2016)</w:t>
            </w:r>
          </w:p>
        </w:tc>
        <w:tc>
          <w:tcPr>
            <w:tcW w:w="4252" w:type="dxa"/>
          </w:tcPr>
          <w:p w14:paraId="01119E7A" w14:textId="2119A5DC" w:rsidR="00AC51DD" w:rsidRPr="007F30D6" w:rsidRDefault="00AC51DD" w:rsidP="00A17F3D">
            <w:pPr>
              <w:rPr>
                <w:rFonts w:ascii="Arial" w:hAnsi="Arial" w:cs="Arial"/>
              </w:rPr>
            </w:pPr>
            <w:r w:rsidRPr="007F30D6">
              <w:rPr>
                <w:rFonts w:ascii="Arial" w:hAnsi="Arial" w:cs="Arial"/>
              </w:rPr>
              <w:t>Experience can help to contextualise evidence for the local setting, and ensure that planned activities are appropriate and acceptable.</w:t>
            </w:r>
          </w:p>
        </w:tc>
      </w:tr>
    </w:tbl>
    <w:p w14:paraId="2417CAC9" w14:textId="77777777" w:rsidR="00750C59" w:rsidRPr="007F30D6" w:rsidRDefault="00750C59">
      <w:pPr>
        <w:rPr>
          <w:rFonts w:ascii="Arial" w:hAnsi="Arial" w:cs="Arial"/>
        </w:rPr>
      </w:pPr>
    </w:p>
    <w:p w14:paraId="1F727649" w14:textId="1D3870FE" w:rsidR="00290080" w:rsidRPr="007F30D6" w:rsidRDefault="00290080" w:rsidP="00BA2CA0">
      <w:pPr>
        <w:pStyle w:val="EndNoteBibliography"/>
        <w:numPr>
          <w:ilvl w:val="0"/>
          <w:numId w:val="1"/>
        </w:numPr>
        <w:rPr>
          <w:rFonts w:ascii="Arial" w:hAnsi="Arial" w:cs="Arial"/>
        </w:rPr>
      </w:pPr>
      <w:r w:rsidRPr="007F30D6">
        <w:rPr>
          <w:rFonts w:ascii="Arial" w:hAnsi="Arial" w:cs="Arial"/>
        </w:rPr>
        <w:t>Freeman T, Baum F, Javanparast S, Ziersch A, Mackean T, Windle A. Challenges facing primary health care in federated government systems: Implementation of Primary Health Networks in Australian states and territories. Health Policy. 2021;125:495-503.</w:t>
      </w:r>
    </w:p>
    <w:p w14:paraId="55A7B0DA" w14:textId="1B0FE35F" w:rsidR="00BA2CA0" w:rsidRPr="007F30D6" w:rsidRDefault="00BA2CA0" w:rsidP="00BA2CA0">
      <w:pPr>
        <w:pStyle w:val="EndNoteBibliography"/>
        <w:numPr>
          <w:ilvl w:val="0"/>
          <w:numId w:val="1"/>
        </w:numPr>
        <w:rPr>
          <w:rFonts w:ascii="Arial" w:hAnsi="Arial" w:cs="Arial"/>
        </w:rPr>
      </w:pPr>
      <w:r w:rsidRPr="007F30D6">
        <w:rPr>
          <w:rFonts w:ascii="Arial" w:hAnsi="Arial" w:cs="Arial"/>
        </w:rPr>
        <w:t xml:space="preserve">Thompson, J. The costly abolition of Medicare Locals. </w:t>
      </w:r>
      <w:r w:rsidR="00455DFE" w:rsidRPr="007F30D6">
        <w:rPr>
          <w:rFonts w:ascii="Arial" w:hAnsi="Arial" w:cs="Arial"/>
        </w:rPr>
        <w:t xml:space="preserve">Australian Policy Online. 2015. </w:t>
      </w:r>
      <w:hyperlink r:id="rId8" w:history="1">
        <w:r w:rsidR="00311D27" w:rsidRPr="007F30D6">
          <w:rPr>
            <w:rStyle w:val="Hyperlink"/>
            <w:rFonts w:ascii="Arial" w:hAnsi="Arial" w:cs="Arial"/>
          </w:rPr>
          <w:t>https://apo.org.au/node/58917</w:t>
        </w:r>
      </w:hyperlink>
      <w:r w:rsidR="00CC6042" w:rsidRPr="007F30D6">
        <w:rPr>
          <w:rStyle w:val="Hyperlink"/>
          <w:rFonts w:ascii="Arial" w:hAnsi="Arial" w:cs="Arial"/>
        </w:rPr>
        <w:t xml:space="preserve"> </w:t>
      </w:r>
      <w:r w:rsidR="00CC6042" w:rsidRPr="007F30D6">
        <w:rPr>
          <w:rStyle w:val="Hyperlink"/>
          <w:rFonts w:ascii="Arial" w:hAnsi="Arial" w:cs="Arial"/>
          <w:color w:val="auto"/>
          <w:u w:val="none"/>
        </w:rPr>
        <w:t xml:space="preserve">(Accessed </w:t>
      </w:r>
      <w:r w:rsidR="00A44103" w:rsidRPr="007F30D6">
        <w:rPr>
          <w:rStyle w:val="Hyperlink"/>
          <w:rFonts w:ascii="Arial" w:hAnsi="Arial" w:cs="Arial"/>
          <w:color w:val="auto"/>
          <w:u w:val="none"/>
        </w:rPr>
        <w:t>12 May 2017)</w:t>
      </w:r>
    </w:p>
    <w:p w14:paraId="4949113D" w14:textId="707397CC" w:rsidR="004B64CD" w:rsidRPr="007F30D6" w:rsidRDefault="00B05D90" w:rsidP="001C4708">
      <w:pPr>
        <w:pStyle w:val="EndNoteBibliography"/>
        <w:numPr>
          <w:ilvl w:val="0"/>
          <w:numId w:val="1"/>
        </w:numPr>
        <w:rPr>
          <w:rFonts w:ascii="Arial" w:hAnsi="Arial" w:cs="Arial"/>
        </w:rPr>
      </w:pPr>
      <w:r w:rsidRPr="007F30D6">
        <w:rPr>
          <w:rFonts w:ascii="Arial" w:hAnsi="Arial" w:cs="Arial"/>
        </w:rPr>
        <w:t>Windle, A, Javanparast, S</w:t>
      </w:r>
      <w:r w:rsidR="001C4708" w:rsidRPr="007F30D6">
        <w:rPr>
          <w:rFonts w:ascii="Arial" w:hAnsi="Arial" w:cs="Arial"/>
        </w:rPr>
        <w:t xml:space="preserve">, </w:t>
      </w:r>
      <w:r w:rsidRPr="007F30D6">
        <w:rPr>
          <w:rFonts w:ascii="Arial" w:hAnsi="Arial" w:cs="Arial"/>
        </w:rPr>
        <w:t>Freeman, T</w:t>
      </w:r>
      <w:r w:rsidR="001C4708" w:rsidRPr="007F30D6">
        <w:rPr>
          <w:rFonts w:ascii="Arial" w:hAnsi="Arial" w:cs="Arial"/>
        </w:rPr>
        <w:t xml:space="preserve">, </w:t>
      </w:r>
      <w:r w:rsidRPr="007F30D6">
        <w:rPr>
          <w:rFonts w:ascii="Arial" w:hAnsi="Arial" w:cs="Arial"/>
        </w:rPr>
        <w:t>Baum, F</w:t>
      </w:r>
      <w:r w:rsidR="001C4708" w:rsidRPr="007F30D6">
        <w:rPr>
          <w:rFonts w:ascii="Arial" w:hAnsi="Arial" w:cs="Arial"/>
        </w:rPr>
        <w:t xml:space="preserve">. </w:t>
      </w:r>
      <w:r w:rsidR="00ED26A2" w:rsidRPr="007F30D6">
        <w:rPr>
          <w:rFonts w:ascii="Arial" w:hAnsi="Arial" w:cs="Arial"/>
        </w:rPr>
        <w:t>Assessing organisational capacity for evidence-informed health policy and planning: an adaptation of the ORACLe tool for Australian primary health care organizations. Health Research Policy and Systems. 19(1):1-11</w:t>
      </w:r>
    </w:p>
    <w:sectPr w:rsidR="004B64CD" w:rsidRPr="007F30D6" w:rsidSect="004D34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D9EB6" w14:textId="77777777" w:rsidR="002C74CE" w:rsidRDefault="002C74CE" w:rsidP="000871A8">
      <w:pPr>
        <w:spacing w:after="0" w:line="240" w:lineRule="auto"/>
      </w:pPr>
      <w:r>
        <w:separator/>
      </w:r>
    </w:p>
  </w:endnote>
  <w:endnote w:type="continuationSeparator" w:id="0">
    <w:p w14:paraId="3FCD4477" w14:textId="77777777" w:rsidR="002C74CE" w:rsidRDefault="002C74CE" w:rsidP="00087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20319" w14:textId="77777777" w:rsidR="002C74CE" w:rsidRDefault="002C74CE" w:rsidP="000871A8">
      <w:pPr>
        <w:spacing w:after="0" w:line="240" w:lineRule="auto"/>
      </w:pPr>
      <w:r>
        <w:separator/>
      </w:r>
    </w:p>
  </w:footnote>
  <w:footnote w:type="continuationSeparator" w:id="0">
    <w:p w14:paraId="30ACE18F" w14:textId="77777777" w:rsidR="002C74CE" w:rsidRDefault="002C74CE" w:rsidP="000871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3316C"/>
    <w:multiLevelType w:val="hybridMultilevel"/>
    <w:tmpl w:val="4A703564"/>
    <w:lvl w:ilvl="0" w:tplc="97C029A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8097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ef0swvpsd25derpdtvfzehtvrt50005zfs&quot;&gt;Alices EndNote Library Copy-Converted&lt;record-ids&gt;&lt;item&gt;1182&lt;/item&gt;&lt;/record-ids&gt;&lt;/item&gt;&lt;/Libraries&gt;"/>
  </w:docVars>
  <w:rsids>
    <w:rsidRoot w:val="004B64CD"/>
    <w:rsid w:val="00002DA2"/>
    <w:rsid w:val="00006302"/>
    <w:rsid w:val="00010CA5"/>
    <w:rsid w:val="0002209F"/>
    <w:rsid w:val="00032D1B"/>
    <w:rsid w:val="000421C6"/>
    <w:rsid w:val="00045EE0"/>
    <w:rsid w:val="000519B6"/>
    <w:rsid w:val="00052829"/>
    <w:rsid w:val="00063B30"/>
    <w:rsid w:val="000672A6"/>
    <w:rsid w:val="00074F54"/>
    <w:rsid w:val="000764EA"/>
    <w:rsid w:val="000871A8"/>
    <w:rsid w:val="00097C0F"/>
    <w:rsid w:val="000A0B29"/>
    <w:rsid w:val="000A2CB8"/>
    <w:rsid w:val="000A365A"/>
    <w:rsid w:val="000A40DE"/>
    <w:rsid w:val="000A4604"/>
    <w:rsid w:val="000A4A29"/>
    <w:rsid w:val="000A4C1D"/>
    <w:rsid w:val="000A679E"/>
    <w:rsid w:val="000B0202"/>
    <w:rsid w:val="000B5343"/>
    <w:rsid w:val="000C3EB6"/>
    <w:rsid w:val="000C585C"/>
    <w:rsid w:val="000C5AAD"/>
    <w:rsid w:val="000C7968"/>
    <w:rsid w:val="000E062C"/>
    <w:rsid w:val="000E071E"/>
    <w:rsid w:val="000E14A8"/>
    <w:rsid w:val="000E35E6"/>
    <w:rsid w:val="000E58B5"/>
    <w:rsid w:val="000E687D"/>
    <w:rsid w:val="000F212F"/>
    <w:rsid w:val="000F2A94"/>
    <w:rsid w:val="000F7407"/>
    <w:rsid w:val="001000D5"/>
    <w:rsid w:val="00101073"/>
    <w:rsid w:val="00101CE1"/>
    <w:rsid w:val="00101D2B"/>
    <w:rsid w:val="0010690D"/>
    <w:rsid w:val="001072B5"/>
    <w:rsid w:val="0011577F"/>
    <w:rsid w:val="00116019"/>
    <w:rsid w:val="001208E4"/>
    <w:rsid w:val="001229D5"/>
    <w:rsid w:val="001236B8"/>
    <w:rsid w:val="00124760"/>
    <w:rsid w:val="00137417"/>
    <w:rsid w:val="00142441"/>
    <w:rsid w:val="0015219E"/>
    <w:rsid w:val="00153111"/>
    <w:rsid w:val="0015488F"/>
    <w:rsid w:val="00154B67"/>
    <w:rsid w:val="001618D9"/>
    <w:rsid w:val="00162F13"/>
    <w:rsid w:val="0016581C"/>
    <w:rsid w:val="00165FD4"/>
    <w:rsid w:val="00166A11"/>
    <w:rsid w:val="0017793A"/>
    <w:rsid w:val="00181F15"/>
    <w:rsid w:val="00187D7D"/>
    <w:rsid w:val="001905C0"/>
    <w:rsid w:val="001926CF"/>
    <w:rsid w:val="0019683D"/>
    <w:rsid w:val="001A1F54"/>
    <w:rsid w:val="001A42E5"/>
    <w:rsid w:val="001A4C9F"/>
    <w:rsid w:val="001B4789"/>
    <w:rsid w:val="001C022E"/>
    <w:rsid w:val="001C4708"/>
    <w:rsid w:val="001C5486"/>
    <w:rsid w:val="001D02DA"/>
    <w:rsid w:val="001D253B"/>
    <w:rsid w:val="001D2E39"/>
    <w:rsid w:val="001D5A9F"/>
    <w:rsid w:val="001E2A30"/>
    <w:rsid w:val="001E7A1B"/>
    <w:rsid w:val="001F2283"/>
    <w:rsid w:val="001F7698"/>
    <w:rsid w:val="00201DDF"/>
    <w:rsid w:val="00203FCB"/>
    <w:rsid w:val="00206441"/>
    <w:rsid w:val="00214DEB"/>
    <w:rsid w:val="00220385"/>
    <w:rsid w:val="00220AFB"/>
    <w:rsid w:val="00240E41"/>
    <w:rsid w:val="00243DD3"/>
    <w:rsid w:val="00245CCC"/>
    <w:rsid w:val="00246F7D"/>
    <w:rsid w:val="00251339"/>
    <w:rsid w:val="00251BE9"/>
    <w:rsid w:val="00253993"/>
    <w:rsid w:val="00257598"/>
    <w:rsid w:val="002675D9"/>
    <w:rsid w:val="00270EFC"/>
    <w:rsid w:val="00273C27"/>
    <w:rsid w:val="00276949"/>
    <w:rsid w:val="00290080"/>
    <w:rsid w:val="00290AC1"/>
    <w:rsid w:val="0029327F"/>
    <w:rsid w:val="00293B1D"/>
    <w:rsid w:val="00294508"/>
    <w:rsid w:val="00296601"/>
    <w:rsid w:val="002A1030"/>
    <w:rsid w:val="002A1F62"/>
    <w:rsid w:val="002A3109"/>
    <w:rsid w:val="002A4381"/>
    <w:rsid w:val="002B17D5"/>
    <w:rsid w:val="002B3C5D"/>
    <w:rsid w:val="002C2C19"/>
    <w:rsid w:val="002C74CE"/>
    <w:rsid w:val="002D29E7"/>
    <w:rsid w:val="002D6731"/>
    <w:rsid w:val="002E0FD9"/>
    <w:rsid w:val="002E1112"/>
    <w:rsid w:val="002E2B90"/>
    <w:rsid w:val="002E3EBE"/>
    <w:rsid w:val="002F1BD8"/>
    <w:rsid w:val="00304303"/>
    <w:rsid w:val="003078A3"/>
    <w:rsid w:val="00311D27"/>
    <w:rsid w:val="003149C8"/>
    <w:rsid w:val="0032348B"/>
    <w:rsid w:val="00330D31"/>
    <w:rsid w:val="00336AFF"/>
    <w:rsid w:val="003374C4"/>
    <w:rsid w:val="00342E4F"/>
    <w:rsid w:val="003432F4"/>
    <w:rsid w:val="00355B68"/>
    <w:rsid w:val="00355B88"/>
    <w:rsid w:val="00363A16"/>
    <w:rsid w:val="00365BAE"/>
    <w:rsid w:val="00365D85"/>
    <w:rsid w:val="00366CE1"/>
    <w:rsid w:val="00372E96"/>
    <w:rsid w:val="00374A2F"/>
    <w:rsid w:val="003764C5"/>
    <w:rsid w:val="0038133C"/>
    <w:rsid w:val="00382C3A"/>
    <w:rsid w:val="00384081"/>
    <w:rsid w:val="003851ED"/>
    <w:rsid w:val="003933A6"/>
    <w:rsid w:val="003A2BB9"/>
    <w:rsid w:val="003A6026"/>
    <w:rsid w:val="003A701E"/>
    <w:rsid w:val="003B3D02"/>
    <w:rsid w:val="003B60EC"/>
    <w:rsid w:val="003C080E"/>
    <w:rsid w:val="003C16B1"/>
    <w:rsid w:val="003C2760"/>
    <w:rsid w:val="003C285B"/>
    <w:rsid w:val="003C741F"/>
    <w:rsid w:val="003D54C0"/>
    <w:rsid w:val="003E1ACB"/>
    <w:rsid w:val="003E2B88"/>
    <w:rsid w:val="003F0CC8"/>
    <w:rsid w:val="003F6648"/>
    <w:rsid w:val="004020A6"/>
    <w:rsid w:val="004020E9"/>
    <w:rsid w:val="00402DCF"/>
    <w:rsid w:val="00404497"/>
    <w:rsid w:val="0041512F"/>
    <w:rsid w:val="00416F3C"/>
    <w:rsid w:val="00417EEC"/>
    <w:rsid w:val="004205E5"/>
    <w:rsid w:val="00420EEB"/>
    <w:rsid w:val="00436FE4"/>
    <w:rsid w:val="0043743A"/>
    <w:rsid w:val="004413DB"/>
    <w:rsid w:val="00441412"/>
    <w:rsid w:val="00443DD9"/>
    <w:rsid w:val="004460D5"/>
    <w:rsid w:val="00453798"/>
    <w:rsid w:val="00455DFE"/>
    <w:rsid w:val="00456880"/>
    <w:rsid w:val="00473148"/>
    <w:rsid w:val="00473C31"/>
    <w:rsid w:val="0047492A"/>
    <w:rsid w:val="00474EAF"/>
    <w:rsid w:val="00476E04"/>
    <w:rsid w:val="00476E3D"/>
    <w:rsid w:val="00480B16"/>
    <w:rsid w:val="004850FD"/>
    <w:rsid w:val="00487783"/>
    <w:rsid w:val="0049612E"/>
    <w:rsid w:val="004A02D4"/>
    <w:rsid w:val="004A10D0"/>
    <w:rsid w:val="004A74FB"/>
    <w:rsid w:val="004A7936"/>
    <w:rsid w:val="004B0450"/>
    <w:rsid w:val="004B0FD3"/>
    <w:rsid w:val="004B4894"/>
    <w:rsid w:val="004B64CD"/>
    <w:rsid w:val="004D0310"/>
    <w:rsid w:val="004D2299"/>
    <w:rsid w:val="004D3429"/>
    <w:rsid w:val="004D7127"/>
    <w:rsid w:val="004D7B13"/>
    <w:rsid w:val="004D7F9E"/>
    <w:rsid w:val="004E1B19"/>
    <w:rsid w:val="004E3087"/>
    <w:rsid w:val="004E4CAF"/>
    <w:rsid w:val="004E5AEC"/>
    <w:rsid w:val="004F7A55"/>
    <w:rsid w:val="00500F03"/>
    <w:rsid w:val="005029B2"/>
    <w:rsid w:val="00504D13"/>
    <w:rsid w:val="0050624F"/>
    <w:rsid w:val="00514B66"/>
    <w:rsid w:val="00520049"/>
    <w:rsid w:val="00532B96"/>
    <w:rsid w:val="005379E8"/>
    <w:rsid w:val="005405EC"/>
    <w:rsid w:val="0054067D"/>
    <w:rsid w:val="0055176A"/>
    <w:rsid w:val="00553E3D"/>
    <w:rsid w:val="00555CD2"/>
    <w:rsid w:val="00555D0D"/>
    <w:rsid w:val="00565465"/>
    <w:rsid w:val="0056698B"/>
    <w:rsid w:val="005741E4"/>
    <w:rsid w:val="0058019D"/>
    <w:rsid w:val="00584727"/>
    <w:rsid w:val="00584872"/>
    <w:rsid w:val="00584B0F"/>
    <w:rsid w:val="00595575"/>
    <w:rsid w:val="00595FC8"/>
    <w:rsid w:val="005A251D"/>
    <w:rsid w:val="005A414D"/>
    <w:rsid w:val="005A5BA3"/>
    <w:rsid w:val="005B435E"/>
    <w:rsid w:val="005B56F8"/>
    <w:rsid w:val="005C079E"/>
    <w:rsid w:val="005C259C"/>
    <w:rsid w:val="005C6476"/>
    <w:rsid w:val="005C6A85"/>
    <w:rsid w:val="005C769D"/>
    <w:rsid w:val="005D1A72"/>
    <w:rsid w:val="005D2549"/>
    <w:rsid w:val="005E0D81"/>
    <w:rsid w:val="005E137B"/>
    <w:rsid w:val="005F2FB8"/>
    <w:rsid w:val="005F331B"/>
    <w:rsid w:val="005F43A8"/>
    <w:rsid w:val="005F4D89"/>
    <w:rsid w:val="005F5705"/>
    <w:rsid w:val="005F57BF"/>
    <w:rsid w:val="006014E1"/>
    <w:rsid w:val="00607173"/>
    <w:rsid w:val="00610D07"/>
    <w:rsid w:val="00621EE5"/>
    <w:rsid w:val="006236B7"/>
    <w:rsid w:val="0063226D"/>
    <w:rsid w:val="00635777"/>
    <w:rsid w:val="00637506"/>
    <w:rsid w:val="006402E4"/>
    <w:rsid w:val="00644B4D"/>
    <w:rsid w:val="00644FBB"/>
    <w:rsid w:val="00645134"/>
    <w:rsid w:val="00645327"/>
    <w:rsid w:val="0065404C"/>
    <w:rsid w:val="00656CAB"/>
    <w:rsid w:val="00667BE2"/>
    <w:rsid w:val="00670A05"/>
    <w:rsid w:val="0067186C"/>
    <w:rsid w:val="00671C7B"/>
    <w:rsid w:val="00672B87"/>
    <w:rsid w:val="006753BF"/>
    <w:rsid w:val="00677A5B"/>
    <w:rsid w:val="0068015A"/>
    <w:rsid w:val="006821AE"/>
    <w:rsid w:val="0068378D"/>
    <w:rsid w:val="00685E0D"/>
    <w:rsid w:val="00690B34"/>
    <w:rsid w:val="00693450"/>
    <w:rsid w:val="00697173"/>
    <w:rsid w:val="00697441"/>
    <w:rsid w:val="00697C05"/>
    <w:rsid w:val="006A52DB"/>
    <w:rsid w:val="006A6A49"/>
    <w:rsid w:val="006B32E6"/>
    <w:rsid w:val="006B4C64"/>
    <w:rsid w:val="006B624F"/>
    <w:rsid w:val="006C05A0"/>
    <w:rsid w:val="006C2094"/>
    <w:rsid w:val="006D414C"/>
    <w:rsid w:val="006D51AD"/>
    <w:rsid w:val="006D6D6A"/>
    <w:rsid w:val="006E4C71"/>
    <w:rsid w:val="006E6E13"/>
    <w:rsid w:val="006F11F0"/>
    <w:rsid w:val="006F3737"/>
    <w:rsid w:val="006F39E7"/>
    <w:rsid w:val="00701DE5"/>
    <w:rsid w:val="00703E01"/>
    <w:rsid w:val="00713BBC"/>
    <w:rsid w:val="0071611A"/>
    <w:rsid w:val="00717E88"/>
    <w:rsid w:val="00720F6A"/>
    <w:rsid w:val="00722A55"/>
    <w:rsid w:val="00724C2F"/>
    <w:rsid w:val="00726624"/>
    <w:rsid w:val="00726A76"/>
    <w:rsid w:val="0073053D"/>
    <w:rsid w:val="007309E2"/>
    <w:rsid w:val="00731C06"/>
    <w:rsid w:val="00750C59"/>
    <w:rsid w:val="007519B8"/>
    <w:rsid w:val="0076463C"/>
    <w:rsid w:val="007718DB"/>
    <w:rsid w:val="0077533D"/>
    <w:rsid w:val="007837D9"/>
    <w:rsid w:val="007852E6"/>
    <w:rsid w:val="007901D2"/>
    <w:rsid w:val="00791371"/>
    <w:rsid w:val="0079190B"/>
    <w:rsid w:val="0079484C"/>
    <w:rsid w:val="007A2045"/>
    <w:rsid w:val="007A217B"/>
    <w:rsid w:val="007A262F"/>
    <w:rsid w:val="007A2D66"/>
    <w:rsid w:val="007A47B2"/>
    <w:rsid w:val="007A6113"/>
    <w:rsid w:val="007A699E"/>
    <w:rsid w:val="007B1A4D"/>
    <w:rsid w:val="007B2DD7"/>
    <w:rsid w:val="007C0EC3"/>
    <w:rsid w:val="007C0FA3"/>
    <w:rsid w:val="007C20D2"/>
    <w:rsid w:val="007C2502"/>
    <w:rsid w:val="007D0A2D"/>
    <w:rsid w:val="007D21BB"/>
    <w:rsid w:val="007E5822"/>
    <w:rsid w:val="007E6669"/>
    <w:rsid w:val="007F0D7B"/>
    <w:rsid w:val="007F11E1"/>
    <w:rsid w:val="007F30D6"/>
    <w:rsid w:val="008037BD"/>
    <w:rsid w:val="00803D35"/>
    <w:rsid w:val="00804364"/>
    <w:rsid w:val="008044AE"/>
    <w:rsid w:val="00806CA5"/>
    <w:rsid w:val="00807715"/>
    <w:rsid w:val="00810A7C"/>
    <w:rsid w:val="008173F9"/>
    <w:rsid w:val="00817EF9"/>
    <w:rsid w:val="00820F93"/>
    <w:rsid w:val="00822BB6"/>
    <w:rsid w:val="00824592"/>
    <w:rsid w:val="00825B33"/>
    <w:rsid w:val="0083069B"/>
    <w:rsid w:val="0084171C"/>
    <w:rsid w:val="00842052"/>
    <w:rsid w:val="00842287"/>
    <w:rsid w:val="0084627D"/>
    <w:rsid w:val="00850C96"/>
    <w:rsid w:val="008519CE"/>
    <w:rsid w:val="00853E90"/>
    <w:rsid w:val="00863DF2"/>
    <w:rsid w:val="00871510"/>
    <w:rsid w:val="00883695"/>
    <w:rsid w:val="0088543A"/>
    <w:rsid w:val="008867B6"/>
    <w:rsid w:val="00886CC2"/>
    <w:rsid w:val="0088763C"/>
    <w:rsid w:val="008936C8"/>
    <w:rsid w:val="0089684C"/>
    <w:rsid w:val="00897D6A"/>
    <w:rsid w:val="008A0294"/>
    <w:rsid w:val="008A0576"/>
    <w:rsid w:val="008B1A3E"/>
    <w:rsid w:val="008C5708"/>
    <w:rsid w:val="008D1BFA"/>
    <w:rsid w:val="008D3716"/>
    <w:rsid w:val="008D6883"/>
    <w:rsid w:val="008E0B60"/>
    <w:rsid w:val="008E5587"/>
    <w:rsid w:val="008F0C7F"/>
    <w:rsid w:val="009207DD"/>
    <w:rsid w:val="00920C8C"/>
    <w:rsid w:val="009342C5"/>
    <w:rsid w:val="00942389"/>
    <w:rsid w:val="00943D7E"/>
    <w:rsid w:val="009450B4"/>
    <w:rsid w:val="00946D4D"/>
    <w:rsid w:val="009537C1"/>
    <w:rsid w:val="009541C8"/>
    <w:rsid w:val="009625E8"/>
    <w:rsid w:val="00962871"/>
    <w:rsid w:val="00965147"/>
    <w:rsid w:val="009772BB"/>
    <w:rsid w:val="009773C6"/>
    <w:rsid w:val="0098385B"/>
    <w:rsid w:val="00990FFE"/>
    <w:rsid w:val="009A205D"/>
    <w:rsid w:val="009A2BD2"/>
    <w:rsid w:val="009A661B"/>
    <w:rsid w:val="009B1D5E"/>
    <w:rsid w:val="009B721C"/>
    <w:rsid w:val="009B726C"/>
    <w:rsid w:val="009C15EF"/>
    <w:rsid w:val="009C4F8A"/>
    <w:rsid w:val="009C66C3"/>
    <w:rsid w:val="009D46C9"/>
    <w:rsid w:val="009D5155"/>
    <w:rsid w:val="009E0462"/>
    <w:rsid w:val="009E4478"/>
    <w:rsid w:val="009E71AA"/>
    <w:rsid w:val="009F07D7"/>
    <w:rsid w:val="009F431E"/>
    <w:rsid w:val="009F6612"/>
    <w:rsid w:val="009F6676"/>
    <w:rsid w:val="009F6E6B"/>
    <w:rsid w:val="00A1652D"/>
    <w:rsid w:val="00A17F3D"/>
    <w:rsid w:val="00A265CA"/>
    <w:rsid w:val="00A434FB"/>
    <w:rsid w:val="00A44103"/>
    <w:rsid w:val="00A44D67"/>
    <w:rsid w:val="00A54D9A"/>
    <w:rsid w:val="00A55768"/>
    <w:rsid w:val="00A573FB"/>
    <w:rsid w:val="00A57F4F"/>
    <w:rsid w:val="00A615D8"/>
    <w:rsid w:val="00A62E3F"/>
    <w:rsid w:val="00A63DE4"/>
    <w:rsid w:val="00A65E1F"/>
    <w:rsid w:val="00A73A2F"/>
    <w:rsid w:val="00A7638E"/>
    <w:rsid w:val="00A8444D"/>
    <w:rsid w:val="00A84588"/>
    <w:rsid w:val="00A9027A"/>
    <w:rsid w:val="00A90819"/>
    <w:rsid w:val="00A9614C"/>
    <w:rsid w:val="00AA0405"/>
    <w:rsid w:val="00AA1760"/>
    <w:rsid w:val="00AA198B"/>
    <w:rsid w:val="00AA3056"/>
    <w:rsid w:val="00AA3100"/>
    <w:rsid w:val="00AA325D"/>
    <w:rsid w:val="00AA6322"/>
    <w:rsid w:val="00AB3AAD"/>
    <w:rsid w:val="00AB5103"/>
    <w:rsid w:val="00AB5811"/>
    <w:rsid w:val="00AB5B2D"/>
    <w:rsid w:val="00AB69ED"/>
    <w:rsid w:val="00AC0574"/>
    <w:rsid w:val="00AC1DFF"/>
    <w:rsid w:val="00AC480D"/>
    <w:rsid w:val="00AC51DD"/>
    <w:rsid w:val="00AC7071"/>
    <w:rsid w:val="00AD0489"/>
    <w:rsid w:val="00AD7B10"/>
    <w:rsid w:val="00AE48D6"/>
    <w:rsid w:val="00AF30CF"/>
    <w:rsid w:val="00B022AF"/>
    <w:rsid w:val="00B03A9C"/>
    <w:rsid w:val="00B051ED"/>
    <w:rsid w:val="00B05D90"/>
    <w:rsid w:val="00B06F30"/>
    <w:rsid w:val="00B1070E"/>
    <w:rsid w:val="00B120EF"/>
    <w:rsid w:val="00B158CD"/>
    <w:rsid w:val="00B1737F"/>
    <w:rsid w:val="00B17DFA"/>
    <w:rsid w:val="00B17ED6"/>
    <w:rsid w:val="00B23ABB"/>
    <w:rsid w:val="00B25ED5"/>
    <w:rsid w:val="00B307F3"/>
    <w:rsid w:val="00B4721E"/>
    <w:rsid w:val="00B5203A"/>
    <w:rsid w:val="00B55718"/>
    <w:rsid w:val="00B56C9F"/>
    <w:rsid w:val="00B63885"/>
    <w:rsid w:val="00B64034"/>
    <w:rsid w:val="00B65883"/>
    <w:rsid w:val="00B6603D"/>
    <w:rsid w:val="00B71C85"/>
    <w:rsid w:val="00B75017"/>
    <w:rsid w:val="00B81476"/>
    <w:rsid w:val="00B83275"/>
    <w:rsid w:val="00B913F5"/>
    <w:rsid w:val="00B924B8"/>
    <w:rsid w:val="00B93037"/>
    <w:rsid w:val="00B93477"/>
    <w:rsid w:val="00B93C01"/>
    <w:rsid w:val="00BA1C4F"/>
    <w:rsid w:val="00BA2514"/>
    <w:rsid w:val="00BA2CA0"/>
    <w:rsid w:val="00BA72F5"/>
    <w:rsid w:val="00BB7D8C"/>
    <w:rsid w:val="00BC1FE4"/>
    <w:rsid w:val="00BC5E46"/>
    <w:rsid w:val="00BD5FAF"/>
    <w:rsid w:val="00BE209B"/>
    <w:rsid w:val="00BE6E5A"/>
    <w:rsid w:val="00BE7DC6"/>
    <w:rsid w:val="00BF0ADC"/>
    <w:rsid w:val="00C002D2"/>
    <w:rsid w:val="00C03434"/>
    <w:rsid w:val="00C04ED9"/>
    <w:rsid w:val="00C07AC4"/>
    <w:rsid w:val="00C10CC2"/>
    <w:rsid w:val="00C114ED"/>
    <w:rsid w:val="00C13637"/>
    <w:rsid w:val="00C15237"/>
    <w:rsid w:val="00C15333"/>
    <w:rsid w:val="00C164E3"/>
    <w:rsid w:val="00C20752"/>
    <w:rsid w:val="00C22390"/>
    <w:rsid w:val="00C23539"/>
    <w:rsid w:val="00C25E09"/>
    <w:rsid w:val="00C26CA6"/>
    <w:rsid w:val="00C27ABE"/>
    <w:rsid w:val="00C3731C"/>
    <w:rsid w:val="00C4162C"/>
    <w:rsid w:val="00C41DCE"/>
    <w:rsid w:val="00C429E2"/>
    <w:rsid w:val="00C43097"/>
    <w:rsid w:val="00C437A5"/>
    <w:rsid w:val="00C541C9"/>
    <w:rsid w:val="00C60C81"/>
    <w:rsid w:val="00C61B35"/>
    <w:rsid w:val="00C6445F"/>
    <w:rsid w:val="00C81931"/>
    <w:rsid w:val="00C85DCF"/>
    <w:rsid w:val="00C9199A"/>
    <w:rsid w:val="00CA0AAB"/>
    <w:rsid w:val="00CA580F"/>
    <w:rsid w:val="00CA69B2"/>
    <w:rsid w:val="00CB30A7"/>
    <w:rsid w:val="00CB4459"/>
    <w:rsid w:val="00CB576B"/>
    <w:rsid w:val="00CB7740"/>
    <w:rsid w:val="00CB7C22"/>
    <w:rsid w:val="00CC09AA"/>
    <w:rsid w:val="00CC5EEC"/>
    <w:rsid w:val="00CC6042"/>
    <w:rsid w:val="00CD0A7E"/>
    <w:rsid w:val="00CD50CA"/>
    <w:rsid w:val="00CD64B3"/>
    <w:rsid w:val="00CD6C7E"/>
    <w:rsid w:val="00CE4426"/>
    <w:rsid w:val="00CF4C89"/>
    <w:rsid w:val="00CF5AF4"/>
    <w:rsid w:val="00CF679B"/>
    <w:rsid w:val="00CF7176"/>
    <w:rsid w:val="00CF7775"/>
    <w:rsid w:val="00D01E35"/>
    <w:rsid w:val="00D0314D"/>
    <w:rsid w:val="00D056C3"/>
    <w:rsid w:val="00D06368"/>
    <w:rsid w:val="00D06D29"/>
    <w:rsid w:val="00D10DE8"/>
    <w:rsid w:val="00D12042"/>
    <w:rsid w:val="00D1287B"/>
    <w:rsid w:val="00D32F37"/>
    <w:rsid w:val="00D427E6"/>
    <w:rsid w:val="00D51C1B"/>
    <w:rsid w:val="00D52FCB"/>
    <w:rsid w:val="00D55C03"/>
    <w:rsid w:val="00D57523"/>
    <w:rsid w:val="00D6064F"/>
    <w:rsid w:val="00D72166"/>
    <w:rsid w:val="00D72901"/>
    <w:rsid w:val="00D73E1B"/>
    <w:rsid w:val="00D74BAC"/>
    <w:rsid w:val="00D75CD4"/>
    <w:rsid w:val="00D761B2"/>
    <w:rsid w:val="00D83514"/>
    <w:rsid w:val="00D8371B"/>
    <w:rsid w:val="00D86418"/>
    <w:rsid w:val="00D94673"/>
    <w:rsid w:val="00D95A8A"/>
    <w:rsid w:val="00D9622D"/>
    <w:rsid w:val="00DA5F5E"/>
    <w:rsid w:val="00DB20B3"/>
    <w:rsid w:val="00DC2E35"/>
    <w:rsid w:val="00DC584F"/>
    <w:rsid w:val="00DD06E5"/>
    <w:rsid w:val="00DE2156"/>
    <w:rsid w:val="00DE38C2"/>
    <w:rsid w:val="00DE6327"/>
    <w:rsid w:val="00DF3042"/>
    <w:rsid w:val="00E0173C"/>
    <w:rsid w:val="00E04B59"/>
    <w:rsid w:val="00E10D64"/>
    <w:rsid w:val="00E16A3E"/>
    <w:rsid w:val="00E2067C"/>
    <w:rsid w:val="00E23BE9"/>
    <w:rsid w:val="00E25081"/>
    <w:rsid w:val="00E26E8C"/>
    <w:rsid w:val="00E279F1"/>
    <w:rsid w:val="00E31816"/>
    <w:rsid w:val="00E34A48"/>
    <w:rsid w:val="00E36FE2"/>
    <w:rsid w:val="00E4045D"/>
    <w:rsid w:val="00E52A3C"/>
    <w:rsid w:val="00E5484C"/>
    <w:rsid w:val="00E67343"/>
    <w:rsid w:val="00E67AA4"/>
    <w:rsid w:val="00E67E5F"/>
    <w:rsid w:val="00E709B4"/>
    <w:rsid w:val="00E815E1"/>
    <w:rsid w:val="00E8259B"/>
    <w:rsid w:val="00E920C2"/>
    <w:rsid w:val="00E927B6"/>
    <w:rsid w:val="00E93E4B"/>
    <w:rsid w:val="00EA1357"/>
    <w:rsid w:val="00EA3CC2"/>
    <w:rsid w:val="00EA579C"/>
    <w:rsid w:val="00EB3874"/>
    <w:rsid w:val="00EB61F2"/>
    <w:rsid w:val="00EC1308"/>
    <w:rsid w:val="00ED026B"/>
    <w:rsid w:val="00ED0929"/>
    <w:rsid w:val="00ED26A2"/>
    <w:rsid w:val="00ED29E4"/>
    <w:rsid w:val="00ED2AB4"/>
    <w:rsid w:val="00EE3236"/>
    <w:rsid w:val="00EE4654"/>
    <w:rsid w:val="00EE4723"/>
    <w:rsid w:val="00EE7D46"/>
    <w:rsid w:val="00EF12AF"/>
    <w:rsid w:val="00EF6FB6"/>
    <w:rsid w:val="00EF7B0E"/>
    <w:rsid w:val="00F033F0"/>
    <w:rsid w:val="00F0680D"/>
    <w:rsid w:val="00F103E7"/>
    <w:rsid w:val="00F10F64"/>
    <w:rsid w:val="00F115AA"/>
    <w:rsid w:val="00F12863"/>
    <w:rsid w:val="00F17E80"/>
    <w:rsid w:val="00F30026"/>
    <w:rsid w:val="00F37CC5"/>
    <w:rsid w:val="00F43BE6"/>
    <w:rsid w:val="00F47EC7"/>
    <w:rsid w:val="00F55037"/>
    <w:rsid w:val="00F555B8"/>
    <w:rsid w:val="00F70B81"/>
    <w:rsid w:val="00F728E2"/>
    <w:rsid w:val="00F74B26"/>
    <w:rsid w:val="00F76282"/>
    <w:rsid w:val="00F77923"/>
    <w:rsid w:val="00F833A6"/>
    <w:rsid w:val="00F851BC"/>
    <w:rsid w:val="00F855F2"/>
    <w:rsid w:val="00F8675F"/>
    <w:rsid w:val="00F9339A"/>
    <w:rsid w:val="00F952E5"/>
    <w:rsid w:val="00FA0A2A"/>
    <w:rsid w:val="00FA158B"/>
    <w:rsid w:val="00FA19E9"/>
    <w:rsid w:val="00FA5CA5"/>
    <w:rsid w:val="00FA6E5A"/>
    <w:rsid w:val="00FB0DB2"/>
    <w:rsid w:val="00FB4BF6"/>
    <w:rsid w:val="00FB55E0"/>
    <w:rsid w:val="00FB7E27"/>
    <w:rsid w:val="00FC2E7A"/>
    <w:rsid w:val="00FC4788"/>
    <w:rsid w:val="00FC4E69"/>
    <w:rsid w:val="00FC7634"/>
    <w:rsid w:val="00FD0535"/>
    <w:rsid w:val="00FD21B7"/>
    <w:rsid w:val="00FD75D2"/>
    <w:rsid w:val="00FE0896"/>
    <w:rsid w:val="00FF293F"/>
    <w:rsid w:val="00FF5AD6"/>
    <w:rsid w:val="00FF64D7"/>
    <w:rsid w:val="00FF78B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073F"/>
  <w15:chartTrackingRefBased/>
  <w15:docId w15:val="{D0395809-95E1-4459-9435-FE7D2C717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6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aliases w:val="Thesis Quote"/>
    <w:basedOn w:val="Normal"/>
    <w:next w:val="Normal"/>
    <w:link w:val="QuoteChar"/>
    <w:autoRedefine/>
    <w:uiPriority w:val="29"/>
    <w:qFormat/>
    <w:rsid w:val="007F11E1"/>
    <w:pPr>
      <w:spacing w:after="0" w:line="252" w:lineRule="auto"/>
      <w:ind w:right="31"/>
    </w:pPr>
    <w:rPr>
      <w:rFonts w:eastAsiaTheme="majorEastAsia" w:cstheme="minorHAnsi"/>
      <w:i/>
      <w:iCs/>
      <w:szCs w:val="24"/>
    </w:rPr>
  </w:style>
  <w:style w:type="character" w:customStyle="1" w:styleId="QuoteChar">
    <w:name w:val="Quote Char"/>
    <w:aliases w:val="Thesis Quote Char"/>
    <w:basedOn w:val="DefaultParagraphFont"/>
    <w:link w:val="Quote"/>
    <w:uiPriority w:val="29"/>
    <w:rsid w:val="007F11E1"/>
    <w:rPr>
      <w:rFonts w:eastAsiaTheme="majorEastAsia" w:cstheme="minorHAnsi"/>
      <w:i/>
      <w:iCs/>
      <w:szCs w:val="24"/>
    </w:rPr>
  </w:style>
  <w:style w:type="character" w:styleId="CommentReference">
    <w:name w:val="annotation reference"/>
    <w:basedOn w:val="DefaultParagraphFont"/>
    <w:uiPriority w:val="99"/>
    <w:semiHidden/>
    <w:unhideWhenUsed/>
    <w:rsid w:val="0043743A"/>
    <w:rPr>
      <w:sz w:val="16"/>
      <w:szCs w:val="16"/>
    </w:rPr>
  </w:style>
  <w:style w:type="paragraph" w:styleId="CommentText">
    <w:name w:val="annotation text"/>
    <w:basedOn w:val="Normal"/>
    <w:link w:val="CommentTextChar"/>
    <w:uiPriority w:val="99"/>
    <w:unhideWhenUsed/>
    <w:rsid w:val="0043743A"/>
    <w:pPr>
      <w:spacing w:line="240" w:lineRule="auto"/>
    </w:pPr>
    <w:rPr>
      <w:sz w:val="20"/>
      <w:szCs w:val="20"/>
    </w:rPr>
  </w:style>
  <w:style w:type="character" w:customStyle="1" w:styleId="CommentTextChar">
    <w:name w:val="Comment Text Char"/>
    <w:basedOn w:val="DefaultParagraphFont"/>
    <w:link w:val="CommentText"/>
    <w:uiPriority w:val="99"/>
    <w:rsid w:val="0043743A"/>
    <w:rPr>
      <w:sz w:val="20"/>
      <w:szCs w:val="20"/>
    </w:rPr>
  </w:style>
  <w:style w:type="paragraph" w:styleId="CommentSubject">
    <w:name w:val="annotation subject"/>
    <w:basedOn w:val="CommentText"/>
    <w:next w:val="CommentText"/>
    <w:link w:val="CommentSubjectChar"/>
    <w:uiPriority w:val="99"/>
    <w:semiHidden/>
    <w:unhideWhenUsed/>
    <w:rsid w:val="0043743A"/>
    <w:rPr>
      <w:b/>
      <w:bCs/>
    </w:rPr>
  </w:style>
  <w:style w:type="character" w:customStyle="1" w:styleId="CommentSubjectChar">
    <w:name w:val="Comment Subject Char"/>
    <w:basedOn w:val="CommentTextChar"/>
    <w:link w:val="CommentSubject"/>
    <w:uiPriority w:val="99"/>
    <w:semiHidden/>
    <w:rsid w:val="0043743A"/>
    <w:rPr>
      <w:b/>
      <w:bCs/>
      <w:sz w:val="20"/>
      <w:szCs w:val="20"/>
    </w:rPr>
  </w:style>
  <w:style w:type="paragraph" w:styleId="Revision">
    <w:name w:val="Revision"/>
    <w:hidden/>
    <w:uiPriority w:val="99"/>
    <w:semiHidden/>
    <w:rsid w:val="005D1A72"/>
    <w:pPr>
      <w:spacing w:after="0" w:line="240" w:lineRule="auto"/>
    </w:pPr>
  </w:style>
  <w:style w:type="paragraph" w:styleId="Header">
    <w:name w:val="header"/>
    <w:basedOn w:val="Normal"/>
    <w:link w:val="HeaderChar"/>
    <w:uiPriority w:val="99"/>
    <w:unhideWhenUsed/>
    <w:rsid w:val="00087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71A8"/>
  </w:style>
  <w:style w:type="paragraph" w:styleId="Footer">
    <w:name w:val="footer"/>
    <w:basedOn w:val="Normal"/>
    <w:link w:val="FooterChar"/>
    <w:uiPriority w:val="99"/>
    <w:unhideWhenUsed/>
    <w:rsid w:val="00087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71A8"/>
  </w:style>
  <w:style w:type="paragraph" w:customStyle="1" w:styleId="EndNoteBibliographyTitle">
    <w:name w:val="EndNote Bibliography Title"/>
    <w:basedOn w:val="Normal"/>
    <w:link w:val="EndNoteBibliographyTitleChar"/>
    <w:rsid w:val="00750C5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50C59"/>
    <w:rPr>
      <w:rFonts w:ascii="Calibri" w:hAnsi="Calibri" w:cs="Calibri"/>
      <w:noProof/>
      <w:lang w:val="en-US"/>
    </w:rPr>
  </w:style>
  <w:style w:type="paragraph" w:customStyle="1" w:styleId="EndNoteBibliography">
    <w:name w:val="EndNote Bibliography"/>
    <w:basedOn w:val="Normal"/>
    <w:link w:val="EndNoteBibliographyChar"/>
    <w:rsid w:val="00750C5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50C59"/>
    <w:rPr>
      <w:rFonts w:ascii="Calibri" w:hAnsi="Calibri" w:cs="Calibri"/>
      <w:noProof/>
      <w:lang w:val="en-US"/>
    </w:rPr>
  </w:style>
  <w:style w:type="paragraph" w:styleId="FootnoteText">
    <w:name w:val="footnote text"/>
    <w:basedOn w:val="Normal"/>
    <w:link w:val="FootnoteTextChar"/>
    <w:uiPriority w:val="99"/>
    <w:semiHidden/>
    <w:unhideWhenUsed/>
    <w:rsid w:val="004E4C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4CAF"/>
    <w:rPr>
      <w:sz w:val="20"/>
      <w:szCs w:val="20"/>
    </w:rPr>
  </w:style>
  <w:style w:type="character" w:styleId="FootnoteReference">
    <w:name w:val="footnote reference"/>
    <w:basedOn w:val="DefaultParagraphFont"/>
    <w:uiPriority w:val="99"/>
    <w:semiHidden/>
    <w:unhideWhenUsed/>
    <w:rsid w:val="004E4CAF"/>
    <w:rPr>
      <w:vertAlign w:val="superscript"/>
    </w:rPr>
  </w:style>
  <w:style w:type="character" w:styleId="Hyperlink">
    <w:name w:val="Hyperlink"/>
    <w:basedOn w:val="DefaultParagraphFont"/>
    <w:uiPriority w:val="99"/>
    <w:unhideWhenUsed/>
    <w:rsid w:val="00311D27"/>
    <w:rPr>
      <w:color w:val="0563C1" w:themeColor="hyperlink"/>
      <w:u w:val="single"/>
    </w:rPr>
  </w:style>
  <w:style w:type="character" w:styleId="UnresolvedMention">
    <w:name w:val="Unresolved Mention"/>
    <w:basedOn w:val="DefaultParagraphFont"/>
    <w:uiPriority w:val="99"/>
    <w:semiHidden/>
    <w:unhideWhenUsed/>
    <w:rsid w:val="00311D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o.org.au/node/589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EA0E7-64EB-46CA-BA5F-98DDBFBD2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2515</Words>
  <Characters>15067</Characters>
  <Application>Microsoft Office Word</Application>
  <DocSecurity>0</DocSecurity>
  <Lines>235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Windle</dc:creator>
  <cp:keywords/>
  <dc:description/>
  <cp:lastModifiedBy>Alice Windle</cp:lastModifiedBy>
  <cp:revision>17</cp:revision>
  <dcterms:created xsi:type="dcterms:W3CDTF">2022-12-16T04:36:00Z</dcterms:created>
  <dcterms:modified xsi:type="dcterms:W3CDTF">2022-12-19T00:22:00Z</dcterms:modified>
</cp:coreProperties>
</file>