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DAF33" w14:textId="33948A93" w:rsidR="00DE4AD8" w:rsidRPr="009D2461" w:rsidRDefault="00DE4AD8" w:rsidP="00DE4AD8">
      <w:pPr>
        <w:rPr>
          <w:sz w:val="20"/>
        </w:rPr>
      </w:pPr>
      <w:r w:rsidRPr="009D2461">
        <w:rPr>
          <w:b/>
          <w:bCs/>
          <w:sz w:val="20"/>
        </w:rPr>
        <w:t xml:space="preserve">Appendix </w:t>
      </w:r>
      <w:r w:rsidR="009D2461" w:rsidRPr="009D2461">
        <w:rPr>
          <w:b/>
          <w:bCs/>
          <w:sz w:val="20"/>
        </w:rPr>
        <w:t>3</w:t>
      </w:r>
      <w:r w:rsidRPr="009D2461">
        <w:rPr>
          <w:sz w:val="20"/>
        </w:rPr>
        <w:t xml:space="preserve"> Details of hazard flammability classification for vegetation classes </w:t>
      </w:r>
    </w:p>
    <w:p w14:paraId="6A06FA49" w14:textId="77777777" w:rsidR="00DE4AD8" w:rsidRPr="009D2461" w:rsidRDefault="00DE4AD8" w:rsidP="00DE4AD8">
      <w:pPr>
        <w:ind w:firstLine="720"/>
        <w:rPr>
          <w:sz w:val="20"/>
        </w:rPr>
      </w:pPr>
      <w:r w:rsidRPr="009D2461">
        <w:rPr>
          <w:sz w:val="20"/>
        </w:rPr>
        <w:t xml:space="preserve">Several forest types with an evergreen component </w:t>
      </w:r>
      <w:r w:rsidRPr="009D2461">
        <w:rPr>
          <w:b/>
          <w:bCs/>
          <w:i/>
          <w:iCs/>
          <w:sz w:val="20"/>
        </w:rPr>
        <w:t>(mixed forest, hemlock, subalpine fir</w:t>
      </w:r>
      <w:r w:rsidRPr="009D2461">
        <w:rPr>
          <w:sz w:val="20"/>
        </w:rPr>
        <w:t xml:space="preserve">) provide a significant torching and spotting threat but were assigned a somewhat lower flammability hazard rating (50 to 75, especially for the 500 m focal radius assessment) due to the influence of deciduous trees in the mixed forest and the lesser surface intensity under hemlock and subalpine fir in reducing spotting distance and frequency. </w:t>
      </w:r>
    </w:p>
    <w:p w14:paraId="28BCBCA8" w14:textId="77777777" w:rsidR="00DE4AD8" w:rsidRPr="009D2461" w:rsidRDefault="00DE4AD8" w:rsidP="00DE4AD8">
      <w:pPr>
        <w:ind w:firstLine="720"/>
        <w:rPr>
          <w:sz w:val="20"/>
        </w:rPr>
      </w:pPr>
      <w:r w:rsidRPr="009D2461">
        <w:rPr>
          <w:b/>
          <w:bCs/>
          <w:i/>
          <w:iCs/>
          <w:sz w:val="20"/>
        </w:rPr>
        <w:t>Open shrubs, fen, and tussock tundra</w:t>
      </w:r>
      <w:r w:rsidRPr="009D2461">
        <w:rPr>
          <w:sz w:val="20"/>
        </w:rPr>
        <w:t xml:space="preserve"> potentially produce intermediate fire intensity and some shorter-range spotting potential due to heavy dead fuel loads and sometimes flammable shrubs. In the published method, these produce maximum hazard ratings at both 100- and 30-meter radii. In Table 4, they are recognized as a more intermediate flammability hazard with the modified method. In the 500-meter exposure assessment, the flammability hazard is rated at 20 of 100 (100 m as a proportion of the 500 m focal radius). More subjectively, at 100 m, the flammability hazard is set at 50 to recognize its intermediate potential for flammability and short-range spotting.</w:t>
      </w:r>
    </w:p>
    <w:p w14:paraId="6B9E2F5A" w14:textId="77777777" w:rsidR="00DE4AD8" w:rsidRPr="009D2461" w:rsidRDefault="00DE4AD8" w:rsidP="00DE4AD8">
      <w:pPr>
        <w:ind w:firstLine="720"/>
        <w:rPr>
          <w:b/>
          <w:bCs/>
          <w:sz w:val="20"/>
        </w:rPr>
      </w:pPr>
      <w:r w:rsidRPr="009D2461">
        <w:rPr>
          <w:sz w:val="20"/>
        </w:rPr>
        <w:t xml:space="preserve">The published method incorporated surface fire behavior for vegetation with lower flammability </w:t>
      </w:r>
      <w:r w:rsidRPr="009D2461">
        <w:rPr>
          <w:b/>
          <w:bCs/>
          <w:i/>
          <w:iCs/>
          <w:sz w:val="20"/>
        </w:rPr>
        <w:t xml:space="preserve">(deciduous, </w:t>
      </w:r>
      <w:proofErr w:type="gramStart"/>
      <w:r w:rsidRPr="009D2461">
        <w:rPr>
          <w:b/>
          <w:bCs/>
          <w:i/>
          <w:iCs/>
          <w:sz w:val="20"/>
        </w:rPr>
        <w:t>low</w:t>
      </w:r>
      <w:proofErr w:type="gramEnd"/>
      <w:r w:rsidRPr="009D2461">
        <w:rPr>
          <w:b/>
          <w:bCs/>
          <w:i/>
          <w:iCs/>
          <w:sz w:val="20"/>
        </w:rPr>
        <w:t xml:space="preserve"> and tall shrub, herbaceous)</w:t>
      </w:r>
      <w:r w:rsidRPr="009D2461">
        <w:rPr>
          <w:sz w:val="20"/>
        </w:rPr>
        <w:t xml:space="preserve"> at a 30-meter focal radius but not for the larger neighborhoods (Table 4). To incorporate these other fuels represented at the 30-meter scale into our 100-meter and 500-meter analyses, the values were scaled proportionately based on the focal statistic length. These hazard values, assumed significant at the 30-meter focal radius, were estimated by the 30-meter radius divided by 500 meters (hazard rating of 6) and 100 meters (hazard rating of 30) to provide a proportionate flammability hazard rating for those two results, respectively.</w:t>
      </w:r>
    </w:p>
    <w:p w14:paraId="78872820" w14:textId="77777777" w:rsidR="008C6560" w:rsidRPr="009D2461" w:rsidRDefault="008C6560">
      <w:pPr>
        <w:rPr>
          <w:sz w:val="20"/>
        </w:rPr>
      </w:pPr>
    </w:p>
    <w:sectPr w:rsidR="008C6560" w:rsidRPr="009D2461" w:rsidSect="00DE4AD8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59448Eaa16Arial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AD8"/>
    <w:rsid w:val="001D2514"/>
    <w:rsid w:val="0036344F"/>
    <w:rsid w:val="008C6560"/>
    <w:rsid w:val="009D2461"/>
    <w:rsid w:val="00DE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92A82"/>
  <w15:chartTrackingRefBased/>
  <w15:docId w15:val="{76DE4301-B9D0-4D58-BFC0-C1945E12B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59448Eaa16Arial"/>
        <w:sz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E4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CB478-76F9-4273-86BA-063435F76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Schmidt</dc:creator>
  <cp:keywords/>
  <dc:description/>
  <cp:lastModifiedBy>Jennifer Schmidt</cp:lastModifiedBy>
  <cp:revision>3</cp:revision>
  <dcterms:created xsi:type="dcterms:W3CDTF">2023-05-17T20:45:00Z</dcterms:created>
  <dcterms:modified xsi:type="dcterms:W3CDTF">2023-05-17T20:46:00Z</dcterms:modified>
</cp:coreProperties>
</file>