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581B51" w14:textId="77777777" w:rsidR="00636EA9" w:rsidRDefault="00636EA9" w:rsidP="00636EA9">
      <w:pPr>
        <w:pStyle w:val="Heading1"/>
        <w:spacing w:line="360" w:lineRule="auto"/>
      </w:pPr>
      <w:r w:rsidRPr="00D7061C">
        <w:rPr>
          <w:rFonts w:ascii="Arial" w:hAnsi="Arial" w:cs="Arial"/>
          <w:b/>
          <w:color w:val="auto"/>
          <w:sz w:val="22"/>
          <w:szCs w:val="22"/>
        </w:rPr>
        <w:t>Supplementary material</w:t>
      </w:r>
    </w:p>
    <w:p w14:paraId="621CBB7B" w14:textId="77777777" w:rsidR="00636EA9" w:rsidRPr="00C17A88" w:rsidRDefault="00636EA9" w:rsidP="00636EA9">
      <w:pPr>
        <w:spacing w:line="360" w:lineRule="auto"/>
        <w:jc w:val="center"/>
        <w:rPr>
          <w:rFonts w:ascii="Arial" w:hAnsi="Arial" w:cs="Arial"/>
          <w:sz w:val="18"/>
        </w:rPr>
      </w:pPr>
      <w:r w:rsidRPr="00C17A88">
        <w:rPr>
          <w:rFonts w:ascii="Arial" w:hAnsi="Arial" w:cs="Arial"/>
          <w:noProof/>
          <w:sz w:val="18"/>
        </w:rPr>
        <w:drawing>
          <wp:inline distT="0" distB="0" distL="0" distR="0" wp14:anchorId="137DC45B" wp14:editId="5AE2A535">
            <wp:extent cx="5777865" cy="3420745"/>
            <wp:effectExtent l="0" t="0" r="0"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77865" cy="3420745"/>
                    </a:xfrm>
                    <a:prstGeom prst="rect">
                      <a:avLst/>
                    </a:prstGeom>
                  </pic:spPr>
                </pic:pic>
              </a:graphicData>
            </a:graphic>
          </wp:inline>
        </w:drawing>
      </w:r>
    </w:p>
    <w:p w14:paraId="03513B59" w14:textId="77777777" w:rsidR="00636EA9" w:rsidRPr="00C17A88" w:rsidRDefault="00636EA9" w:rsidP="00636EA9">
      <w:pPr>
        <w:tabs>
          <w:tab w:val="left" w:pos="5953"/>
        </w:tabs>
        <w:spacing w:line="360" w:lineRule="auto"/>
        <w:jc w:val="both"/>
        <w:rPr>
          <w:rFonts w:ascii="Arial" w:hAnsi="Arial" w:cs="Arial"/>
          <w:sz w:val="18"/>
        </w:rPr>
      </w:pPr>
      <w:bookmarkStart w:id="0" w:name="_Hlk134543407"/>
      <w:r w:rsidRPr="00C17A88">
        <w:rPr>
          <w:rFonts w:ascii="Arial" w:hAnsi="Arial" w:cs="Arial"/>
          <w:b/>
          <w:sz w:val="18"/>
        </w:rPr>
        <w:t>Extended data figure 1</w:t>
      </w:r>
      <w:r>
        <w:rPr>
          <w:rFonts w:ascii="Arial" w:hAnsi="Arial" w:cs="Arial"/>
          <w:b/>
          <w:sz w:val="18"/>
        </w:rPr>
        <w:t>.</w:t>
      </w:r>
      <w:r w:rsidRPr="00C17A88">
        <w:rPr>
          <w:rFonts w:ascii="Arial" w:hAnsi="Arial" w:cs="Arial"/>
          <w:b/>
          <w:sz w:val="18"/>
        </w:rPr>
        <w:t xml:space="preserve"> Availability and quality of available Landsat images. a)</w:t>
      </w:r>
      <w:r w:rsidRPr="00C17A88">
        <w:rPr>
          <w:rFonts w:ascii="Arial" w:hAnsi="Arial" w:cs="Arial"/>
          <w:sz w:val="18"/>
        </w:rPr>
        <w:t xml:space="preserve"> Number of images collected between 1982 and 2022. Note that the clear linear boundaries of areas of high data availability visible in North America, Europe</w:t>
      </w:r>
      <w:r>
        <w:rPr>
          <w:rFonts w:ascii="Arial" w:hAnsi="Arial" w:cs="Arial"/>
          <w:sz w:val="18"/>
        </w:rPr>
        <w:t>,</w:t>
      </w:r>
      <w:r w:rsidRPr="00C17A88">
        <w:rPr>
          <w:rFonts w:ascii="Arial" w:hAnsi="Arial" w:cs="Arial"/>
          <w:sz w:val="18"/>
        </w:rPr>
        <w:t xml:space="preserve"> the Middle East, and Eastern Asia reflect the visibility areas of receiving stations established in the early stages of the Landsat program that remained active during most of the program’s lifespan (compare Extended Data Fig. </w:t>
      </w:r>
      <w:r>
        <w:rPr>
          <w:rFonts w:ascii="Arial" w:hAnsi="Arial" w:cs="Arial"/>
          <w:sz w:val="18"/>
        </w:rPr>
        <w:t>2</w:t>
      </w:r>
      <w:r w:rsidRPr="00C17A88">
        <w:rPr>
          <w:rFonts w:ascii="Arial" w:hAnsi="Arial" w:cs="Arial"/>
          <w:sz w:val="18"/>
        </w:rPr>
        <w:t xml:space="preserve">). </w:t>
      </w:r>
      <w:r w:rsidRPr="00C17A88">
        <w:rPr>
          <w:rFonts w:ascii="Arial" w:hAnsi="Arial" w:cs="Arial"/>
          <w:b/>
          <w:sz w:val="18"/>
        </w:rPr>
        <w:t>b)</w:t>
      </w:r>
      <w:r w:rsidRPr="00C17A88">
        <w:rPr>
          <w:rFonts w:ascii="Arial" w:hAnsi="Arial" w:cs="Arial"/>
          <w:sz w:val="18"/>
        </w:rPr>
        <w:t xml:space="preserve"> </w:t>
      </w:r>
      <w:r>
        <w:rPr>
          <w:rFonts w:ascii="Arial" w:hAnsi="Arial" w:cs="Arial"/>
          <w:sz w:val="18"/>
        </w:rPr>
        <w:t>A</w:t>
      </w:r>
      <w:r w:rsidRPr="00C17A88">
        <w:rPr>
          <w:rFonts w:ascii="Arial" w:hAnsi="Arial" w:cs="Arial"/>
          <w:sz w:val="18"/>
        </w:rPr>
        <w:t xml:space="preserve">verage quality of each available image, reflecting the effectiveness of pre-processing and the visibility of the land surface, given cloud cover. </w:t>
      </w:r>
      <w:r w:rsidRPr="00C17A88">
        <w:rPr>
          <w:rFonts w:ascii="Arial" w:hAnsi="Arial" w:cs="Arial"/>
          <w:b/>
          <w:sz w:val="18"/>
        </w:rPr>
        <w:t>c)</w:t>
      </w:r>
      <w:r w:rsidRPr="00C17A88">
        <w:rPr>
          <w:rFonts w:ascii="Arial" w:hAnsi="Arial" w:cs="Arial"/>
          <w:sz w:val="18"/>
        </w:rPr>
        <w:t xml:space="preserve"> Number of collected images, weighted by the quality of each image. </w:t>
      </w:r>
      <w:r w:rsidRPr="00C17A88">
        <w:rPr>
          <w:rFonts w:ascii="Arial" w:hAnsi="Arial" w:cs="Arial"/>
          <w:b/>
          <w:sz w:val="18"/>
        </w:rPr>
        <w:t>d)</w:t>
      </w:r>
      <w:r w:rsidRPr="00C17A88">
        <w:rPr>
          <w:rFonts w:ascii="Arial" w:hAnsi="Arial" w:cs="Arial"/>
          <w:sz w:val="18"/>
        </w:rPr>
        <w:t xml:space="preserve"> Number of images that were lost due to complete cloud cover or lack of image collection/storage.</w:t>
      </w:r>
    </w:p>
    <w:p w14:paraId="5E5E7AC1" w14:textId="77777777" w:rsidR="00636EA9" w:rsidRPr="00C17A88" w:rsidRDefault="00636EA9" w:rsidP="00636EA9">
      <w:pPr>
        <w:spacing w:before="240"/>
        <w:rPr>
          <w:b/>
        </w:rPr>
      </w:pPr>
      <w:r>
        <w:rPr>
          <w:noProof/>
          <w:sz w:val="16"/>
          <w:szCs w:val="16"/>
        </w:rPr>
        <w:lastRenderedPageBreak/>
        <w:drawing>
          <wp:inline distT="0" distB="0" distL="0" distR="0" wp14:anchorId="43E8CD67" wp14:editId="551CB884">
            <wp:extent cx="5777865" cy="5631180"/>
            <wp:effectExtent l="0" t="0" r="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77865" cy="5631180"/>
                    </a:xfrm>
                    <a:prstGeom prst="rect">
                      <a:avLst/>
                    </a:prstGeom>
                  </pic:spPr>
                </pic:pic>
              </a:graphicData>
            </a:graphic>
          </wp:inline>
        </w:drawing>
      </w:r>
    </w:p>
    <w:p w14:paraId="69982B82" w14:textId="77777777" w:rsidR="00636EA9" w:rsidRPr="00C17A88" w:rsidRDefault="00636EA9" w:rsidP="00636EA9">
      <w:pPr>
        <w:spacing w:line="360" w:lineRule="auto"/>
        <w:jc w:val="both"/>
        <w:rPr>
          <w:rFonts w:ascii="Arial" w:hAnsi="Arial" w:cs="Arial"/>
          <w:sz w:val="18"/>
        </w:rPr>
      </w:pPr>
      <w:r w:rsidRPr="00C17A88">
        <w:rPr>
          <w:rFonts w:ascii="Arial" w:hAnsi="Arial" w:cs="Arial"/>
          <w:b/>
          <w:sz w:val="18"/>
        </w:rPr>
        <w:t>Extended data figure 2</w:t>
      </w:r>
      <w:r>
        <w:rPr>
          <w:rFonts w:ascii="Arial" w:hAnsi="Arial" w:cs="Arial"/>
          <w:b/>
          <w:sz w:val="18"/>
        </w:rPr>
        <w:t>.</w:t>
      </w:r>
      <w:r w:rsidRPr="00C17A88">
        <w:rPr>
          <w:rFonts w:ascii="Arial" w:hAnsi="Arial" w:cs="Arial"/>
          <w:b/>
          <w:sz w:val="18"/>
        </w:rPr>
        <w:t xml:space="preserve"> Spatial and temporal coverage of Landsat data receiving stations. a)</w:t>
      </w:r>
      <w:r w:rsidRPr="00C17A88">
        <w:rPr>
          <w:rFonts w:ascii="Arial" w:hAnsi="Arial" w:cs="Arial"/>
          <w:sz w:val="18"/>
        </w:rPr>
        <w:t xml:space="preserve"> Each of the 39 original Landsat receiving stations (black markers) had a visibility circle of ~2,700 km (shown in pink) from within which data was received from overpassing satellites and stored. Only 14 stations are still active as pf 2022 (pink with red outlines), covering most of North America, continental Europe, and Oceania, and portions of South America, South Africa, and Russia. Meanwhile, Central, Western, and Eastern Africa, as well as Central America and the northern edges of South America, are now no longer covered by any receiving stations, thus relying fully on the satellites’ on-board storage. </w:t>
      </w:r>
      <w:r w:rsidRPr="00C17A88">
        <w:rPr>
          <w:rFonts w:ascii="Arial" w:hAnsi="Arial" w:cs="Arial"/>
          <w:b/>
          <w:sz w:val="18"/>
        </w:rPr>
        <w:t>b)</w:t>
      </w:r>
      <w:r w:rsidRPr="00C17A88">
        <w:rPr>
          <w:rFonts w:ascii="Arial" w:hAnsi="Arial" w:cs="Arial"/>
          <w:sz w:val="18"/>
        </w:rPr>
        <w:t xml:space="preserve"> Temporal variation in data receiving capabilities within different geographical regions. In Asia and North America, most regions have a near complete coverage between 1982 and 2022, the period during which Landsat TM, ETM, and OLI missions were active. Still, some sub-regions are covered poorly (between 1-5 years), such as Central Asia, the Caribbean, and Central America. In Oceania, small island territories in Melanesia, Micronesia and Polynesia lack receiving capabilities. In the same continent, while Australia and New Zealand compose one region, only Australia actively collected data.</w:t>
      </w:r>
    </w:p>
    <w:p w14:paraId="0DCA1291" w14:textId="77777777" w:rsidR="00636EA9" w:rsidRPr="00C17A88" w:rsidRDefault="00636EA9" w:rsidP="00636EA9">
      <w:pPr>
        <w:spacing w:line="360" w:lineRule="auto"/>
        <w:jc w:val="both"/>
        <w:rPr>
          <w:rFonts w:ascii="Arial" w:hAnsi="Arial" w:cs="Arial"/>
          <w:b/>
          <w:sz w:val="18"/>
        </w:rPr>
      </w:pPr>
      <w:r w:rsidRPr="00C17A88">
        <w:rPr>
          <w:rFonts w:ascii="Arial" w:hAnsi="Arial" w:cs="Arial"/>
          <w:b/>
          <w:noProof/>
          <w:sz w:val="18"/>
          <w:lang w:eastAsia="en-GB"/>
        </w:rPr>
        <w:lastRenderedPageBreak/>
        <w:drawing>
          <wp:inline distT="0" distB="0" distL="0" distR="0" wp14:anchorId="49DF8076" wp14:editId="1E5006E9">
            <wp:extent cx="5777865" cy="45954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xtendedDataFigure_4-distribution_qa_history.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77865" cy="4595495"/>
                    </a:xfrm>
                    <a:prstGeom prst="rect">
                      <a:avLst/>
                    </a:prstGeom>
                  </pic:spPr>
                </pic:pic>
              </a:graphicData>
            </a:graphic>
          </wp:inline>
        </w:drawing>
      </w:r>
    </w:p>
    <w:p w14:paraId="1C36ED37" w14:textId="77777777" w:rsidR="00636EA9" w:rsidRPr="00C17A88" w:rsidRDefault="00636EA9" w:rsidP="00636EA9">
      <w:pPr>
        <w:spacing w:line="360" w:lineRule="auto"/>
        <w:jc w:val="both"/>
        <w:rPr>
          <w:rFonts w:ascii="Arial" w:hAnsi="Arial" w:cs="Arial"/>
          <w:sz w:val="18"/>
        </w:rPr>
      </w:pPr>
      <w:r w:rsidRPr="00C17A88">
        <w:rPr>
          <w:rFonts w:ascii="Arial" w:hAnsi="Arial" w:cs="Arial"/>
          <w:b/>
          <w:sz w:val="18"/>
        </w:rPr>
        <w:t xml:space="preserve">Extended Data Figure </w:t>
      </w:r>
      <w:r>
        <w:rPr>
          <w:rFonts w:ascii="Arial" w:hAnsi="Arial" w:cs="Arial"/>
          <w:b/>
          <w:sz w:val="18"/>
        </w:rPr>
        <w:t>3.</w:t>
      </w:r>
      <w:r w:rsidRPr="00C17A88">
        <w:rPr>
          <w:rFonts w:ascii="Arial" w:hAnsi="Arial" w:cs="Arial"/>
          <w:b/>
          <w:sz w:val="18"/>
        </w:rPr>
        <w:t xml:space="preserve"> </w:t>
      </w:r>
      <w:r>
        <w:rPr>
          <w:rFonts w:ascii="Arial" w:hAnsi="Arial" w:cs="Arial"/>
          <w:b/>
          <w:sz w:val="18"/>
        </w:rPr>
        <w:t>Decadal changes in Landsat</w:t>
      </w:r>
      <w:r w:rsidRPr="00C17A88">
        <w:rPr>
          <w:rFonts w:ascii="Arial" w:hAnsi="Arial" w:cs="Arial"/>
          <w:b/>
          <w:sz w:val="18"/>
        </w:rPr>
        <w:t xml:space="preserve"> data </w:t>
      </w:r>
      <w:r>
        <w:rPr>
          <w:rFonts w:ascii="Arial" w:hAnsi="Arial" w:cs="Arial"/>
          <w:b/>
          <w:sz w:val="18"/>
        </w:rPr>
        <w:t xml:space="preserve">coverage and </w:t>
      </w:r>
      <w:r w:rsidRPr="00C17A88">
        <w:rPr>
          <w:rFonts w:ascii="Arial" w:hAnsi="Arial" w:cs="Arial"/>
          <w:b/>
          <w:sz w:val="18"/>
        </w:rPr>
        <w:t xml:space="preserve">quality. </w:t>
      </w:r>
      <w:r w:rsidRPr="00C17A88">
        <w:rPr>
          <w:rFonts w:ascii="Arial" w:hAnsi="Arial" w:cs="Arial"/>
          <w:sz w:val="18"/>
        </w:rPr>
        <w:t>Historical variation in the within-year quality of daytime</w:t>
      </w:r>
      <w:r>
        <w:rPr>
          <w:rFonts w:ascii="Arial" w:hAnsi="Arial" w:cs="Arial"/>
          <w:sz w:val="18"/>
        </w:rPr>
        <w:t xml:space="preserve"> Landsat</w:t>
      </w:r>
      <w:r w:rsidRPr="00C17A88">
        <w:rPr>
          <w:rFonts w:ascii="Arial" w:hAnsi="Arial" w:cs="Arial"/>
          <w:sz w:val="18"/>
        </w:rPr>
        <w:t xml:space="preserve"> images for three quality metrics across four decades. </w:t>
      </w:r>
      <w:r w:rsidRPr="007A7987">
        <w:rPr>
          <w:rFonts w:ascii="Arial" w:hAnsi="Arial" w:cs="Arial"/>
          <w:b/>
          <w:sz w:val="18"/>
        </w:rPr>
        <w:t>Left column:</w:t>
      </w:r>
      <w:r w:rsidRPr="00C17A88">
        <w:rPr>
          <w:rFonts w:ascii="Arial" w:hAnsi="Arial" w:cs="Arial"/>
          <w:sz w:val="18"/>
        </w:rPr>
        <w:t xml:space="preserve"> average number of images available for downstream applications.</w:t>
      </w:r>
      <w:r>
        <w:rPr>
          <w:rFonts w:ascii="Arial" w:hAnsi="Arial" w:cs="Arial"/>
          <w:sz w:val="18"/>
        </w:rPr>
        <w:t xml:space="preserve"> </w:t>
      </w:r>
      <w:r w:rsidRPr="007A7987">
        <w:rPr>
          <w:rFonts w:ascii="Arial" w:hAnsi="Arial" w:cs="Arial"/>
          <w:b/>
          <w:sz w:val="18"/>
        </w:rPr>
        <w:t>Middle column:</w:t>
      </w:r>
      <w:r w:rsidRPr="00C17A88">
        <w:rPr>
          <w:rFonts w:ascii="Arial" w:hAnsi="Arial" w:cs="Arial"/>
          <w:sz w:val="18"/>
        </w:rPr>
        <w:t xml:space="preserve"> the same quantity</w:t>
      </w:r>
      <w:r>
        <w:rPr>
          <w:rFonts w:ascii="Arial" w:hAnsi="Arial" w:cs="Arial"/>
          <w:sz w:val="18"/>
        </w:rPr>
        <w:t>,</w:t>
      </w:r>
      <w:r w:rsidRPr="00C17A88">
        <w:rPr>
          <w:rFonts w:ascii="Arial" w:hAnsi="Arial" w:cs="Arial"/>
          <w:sz w:val="18"/>
        </w:rPr>
        <w:t xml:space="preserve"> weigh</w:t>
      </w:r>
      <w:r>
        <w:rPr>
          <w:rFonts w:ascii="Arial" w:hAnsi="Arial" w:cs="Arial"/>
          <w:sz w:val="18"/>
        </w:rPr>
        <w:t>t</w:t>
      </w:r>
      <w:r w:rsidRPr="00C17A88">
        <w:rPr>
          <w:rFonts w:ascii="Arial" w:hAnsi="Arial" w:cs="Arial"/>
          <w:sz w:val="18"/>
        </w:rPr>
        <w:t xml:space="preserve">ed by the quality of individual images. </w:t>
      </w:r>
      <w:r w:rsidRPr="007A7987">
        <w:rPr>
          <w:rFonts w:ascii="Arial" w:hAnsi="Arial" w:cs="Arial"/>
          <w:b/>
          <w:sz w:val="18"/>
        </w:rPr>
        <w:t>Right column</w:t>
      </w:r>
      <w:r>
        <w:rPr>
          <w:rFonts w:ascii="Arial" w:hAnsi="Arial" w:cs="Arial"/>
          <w:sz w:val="18"/>
        </w:rPr>
        <w:t>:</w:t>
      </w:r>
      <w:r w:rsidRPr="00C17A88">
        <w:rPr>
          <w:rFonts w:ascii="Arial" w:hAnsi="Arial" w:cs="Arial"/>
          <w:sz w:val="18"/>
        </w:rPr>
        <w:t xml:space="preserve"> </w:t>
      </w:r>
      <w:r w:rsidRPr="006B4982">
        <w:rPr>
          <w:rFonts w:ascii="Arial" w:hAnsi="Arial" w:cs="Arial"/>
          <w:sz w:val="18"/>
        </w:rPr>
        <w:t>number of months with usable images</w:t>
      </w:r>
      <w:r w:rsidRPr="00C17A88">
        <w:rPr>
          <w:rFonts w:ascii="Arial" w:hAnsi="Arial" w:cs="Arial"/>
          <w:sz w:val="18"/>
        </w:rPr>
        <w:t xml:space="preserve">. </w:t>
      </w:r>
    </w:p>
    <w:bookmarkEnd w:id="0"/>
    <w:p w14:paraId="023714BA" w14:textId="77777777" w:rsidR="00636EA9" w:rsidRPr="00C17A88" w:rsidRDefault="00636EA9" w:rsidP="00636EA9">
      <w:pPr>
        <w:tabs>
          <w:tab w:val="left" w:pos="5953"/>
        </w:tabs>
        <w:spacing w:before="240" w:after="0" w:line="360" w:lineRule="auto"/>
        <w:jc w:val="both"/>
        <w:rPr>
          <w:rFonts w:ascii="Arial" w:hAnsi="Arial" w:cs="Arial"/>
          <w:b/>
          <w:sz w:val="18"/>
        </w:rPr>
      </w:pPr>
      <w:r w:rsidRPr="00C17A88">
        <w:rPr>
          <w:rFonts w:ascii="Arial" w:hAnsi="Arial" w:cs="Arial"/>
          <w:b/>
          <w:noProof/>
          <w:sz w:val="18"/>
          <w:lang w:eastAsia="en-GB"/>
        </w:rPr>
        <w:drawing>
          <wp:inline distT="0" distB="0" distL="0" distR="0" wp14:anchorId="7F25DC87" wp14:editId="6A8A169C">
            <wp:extent cx="5777865" cy="1457960"/>
            <wp:effectExtent l="0" t="0" r="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xtendedDataFigure_3-interruptions_in_data_coverage.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77865" cy="1457960"/>
                    </a:xfrm>
                    <a:prstGeom prst="rect">
                      <a:avLst/>
                    </a:prstGeom>
                  </pic:spPr>
                </pic:pic>
              </a:graphicData>
            </a:graphic>
          </wp:inline>
        </w:drawing>
      </w:r>
    </w:p>
    <w:p w14:paraId="1622CA76" w14:textId="77777777" w:rsidR="00636EA9" w:rsidRPr="00C17A88" w:rsidRDefault="00636EA9" w:rsidP="00636EA9">
      <w:pPr>
        <w:tabs>
          <w:tab w:val="left" w:pos="5953"/>
        </w:tabs>
        <w:spacing w:after="0" w:line="360" w:lineRule="auto"/>
        <w:jc w:val="both"/>
        <w:rPr>
          <w:rFonts w:ascii="Arial" w:hAnsi="Arial" w:cs="Arial"/>
          <w:sz w:val="18"/>
          <w:szCs w:val="20"/>
        </w:rPr>
      </w:pPr>
      <w:r w:rsidRPr="00C17A88">
        <w:rPr>
          <w:rFonts w:ascii="Arial" w:hAnsi="Arial" w:cs="Arial"/>
          <w:b/>
          <w:sz w:val="18"/>
        </w:rPr>
        <w:t xml:space="preserve">Extended data figure </w:t>
      </w:r>
      <w:r>
        <w:rPr>
          <w:rFonts w:ascii="Arial" w:hAnsi="Arial" w:cs="Arial"/>
          <w:b/>
          <w:sz w:val="18"/>
        </w:rPr>
        <w:t>4.</w:t>
      </w:r>
      <w:r w:rsidRPr="00C17A88">
        <w:rPr>
          <w:rFonts w:ascii="Arial" w:hAnsi="Arial" w:cs="Arial"/>
          <w:b/>
          <w:sz w:val="18"/>
        </w:rPr>
        <w:t xml:space="preserve"> </w:t>
      </w:r>
      <w:r>
        <w:rPr>
          <w:rFonts w:ascii="Arial" w:hAnsi="Arial" w:cs="Arial"/>
          <w:b/>
          <w:sz w:val="18"/>
        </w:rPr>
        <w:t>Extended</w:t>
      </w:r>
      <w:r w:rsidRPr="00C17A88">
        <w:rPr>
          <w:rFonts w:ascii="Arial" w:hAnsi="Arial" w:cs="Arial"/>
          <w:b/>
          <w:sz w:val="18"/>
        </w:rPr>
        <w:t xml:space="preserve"> interruptions in temporal Landsat data coverage. </w:t>
      </w:r>
      <w:r w:rsidRPr="00C17A88">
        <w:rPr>
          <w:rFonts w:ascii="Arial" w:hAnsi="Arial" w:cs="Arial"/>
          <w:b/>
          <w:sz w:val="18"/>
          <w:szCs w:val="20"/>
        </w:rPr>
        <w:t>a)</w:t>
      </w:r>
      <w:r w:rsidRPr="00C17A88">
        <w:rPr>
          <w:rFonts w:ascii="Arial" w:hAnsi="Arial" w:cs="Arial"/>
          <w:sz w:val="18"/>
          <w:szCs w:val="20"/>
        </w:rPr>
        <w:t xml:space="preserve"> Total number of years lacking any usable Landsat images, showing interruptions in year-to-year continuity of the Landsat archive. </w:t>
      </w:r>
      <w:r w:rsidRPr="00C17A88" w:rsidDel="001E112B">
        <w:rPr>
          <w:rFonts w:ascii="Arial" w:hAnsi="Arial" w:cs="Arial"/>
          <w:sz w:val="18"/>
          <w:szCs w:val="20"/>
        </w:rPr>
        <w:t xml:space="preserve"> </w:t>
      </w:r>
      <w:r w:rsidRPr="00C17A88">
        <w:rPr>
          <w:rFonts w:ascii="Arial" w:hAnsi="Arial" w:cs="Arial"/>
          <w:sz w:val="18"/>
          <w:szCs w:val="20"/>
        </w:rPr>
        <w:t>Only data gaps registered after the first imaging year</w:t>
      </w:r>
      <w:r w:rsidRPr="00C17A88" w:rsidDel="00C0310A">
        <w:rPr>
          <w:rFonts w:ascii="Arial" w:hAnsi="Arial" w:cs="Arial"/>
          <w:sz w:val="18"/>
          <w:szCs w:val="20"/>
        </w:rPr>
        <w:t xml:space="preserve"> </w:t>
      </w:r>
      <w:r w:rsidRPr="00C17A88">
        <w:rPr>
          <w:rFonts w:ascii="Arial" w:hAnsi="Arial" w:cs="Arial"/>
          <w:sz w:val="18"/>
          <w:szCs w:val="20"/>
        </w:rPr>
        <w:t xml:space="preserve">are considered. </w:t>
      </w:r>
      <w:r w:rsidRPr="00C17A88">
        <w:rPr>
          <w:rFonts w:ascii="Arial" w:hAnsi="Arial" w:cs="Arial"/>
          <w:b/>
          <w:sz w:val="18"/>
          <w:szCs w:val="20"/>
        </w:rPr>
        <w:t>b)</w:t>
      </w:r>
      <w:r w:rsidRPr="00C17A88">
        <w:rPr>
          <w:rFonts w:ascii="Arial" w:hAnsi="Arial" w:cs="Arial"/>
          <w:sz w:val="18"/>
          <w:szCs w:val="20"/>
        </w:rPr>
        <w:t xml:space="preserve"> </w:t>
      </w:r>
      <w:r>
        <w:rPr>
          <w:rFonts w:ascii="Arial" w:hAnsi="Arial" w:cs="Arial"/>
          <w:sz w:val="18"/>
          <w:szCs w:val="20"/>
        </w:rPr>
        <w:t>Largest</w:t>
      </w:r>
      <w:r w:rsidRPr="00C17A88">
        <w:rPr>
          <w:rFonts w:ascii="Arial" w:hAnsi="Arial" w:cs="Arial"/>
          <w:sz w:val="18"/>
          <w:szCs w:val="20"/>
        </w:rPr>
        <w:t xml:space="preserve"> number of </w:t>
      </w:r>
      <w:r>
        <w:rPr>
          <w:rFonts w:ascii="Arial" w:hAnsi="Arial" w:cs="Arial"/>
          <w:sz w:val="18"/>
          <w:szCs w:val="20"/>
        </w:rPr>
        <w:t xml:space="preserve">consecutive </w:t>
      </w:r>
      <w:r w:rsidRPr="00C17A88">
        <w:rPr>
          <w:rFonts w:ascii="Arial" w:hAnsi="Arial" w:cs="Arial"/>
          <w:sz w:val="18"/>
          <w:szCs w:val="20"/>
        </w:rPr>
        <w:t xml:space="preserve">years without any data (after first imaging year). </w:t>
      </w:r>
    </w:p>
    <w:p w14:paraId="4FBDCEC2" w14:textId="77777777" w:rsidR="00636EA9" w:rsidRPr="00C17A88" w:rsidRDefault="00636EA9" w:rsidP="00636EA9">
      <w:pPr>
        <w:tabs>
          <w:tab w:val="left" w:pos="5953"/>
        </w:tabs>
        <w:spacing w:after="0" w:line="360" w:lineRule="auto"/>
        <w:jc w:val="both"/>
        <w:rPr>
          <w:rFonts w:ascii="Arial" w:hAnsi="Arial" w:cs="Arial"/>
          <w:sz w:val="18"/>
        </w:rPr>
      </w:pPr>
    </w:p>
    <w:p w14:paraId="3FB1DAAB" w14:textId="77777777" w:rsidR="00636EA9" w:rsidRDefault="00636EA9" w:rsidP="00636EA9">
      <w:pPr>
        <w:spacing w:after="0" w:line="360" w:lineRule="auto"/>
        <w:jc w:val="center"/>
        <w:rPr>
          <w:rFonts w:ascii="Arial" w:hAnsi="Arial" w:cs="Arial"/>
          <w:b/>
          <w:sz w:val="18"/>
          <w:szCs w:val="18"/>
          <w:lang w:val="en-US"/>
        </w:rPr>
      </w:pPr>
      <w:r>
        <w:rPr>
          <w:noProof/>
          <w:sz w:val="16"/>
          <w:szCs w:val="16"/>
        </w:rPr>
        <w:lastRenderedPageBreak/>
        <w:drawing>
          <wp:inline distT="0" distB="0" distL="0" distR="0" wp14:anchorId="4E924A58" wp14:editId="5D3AEC7B">
            <wp:extent cx="5321819" cy="4660401"/>
            <wp:effectExtent l="0" t="0" r="0" b="698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21819" cy="4660401"/>
                    </a:xfrm>
                    <a:prstGeom prst="rect">
                      <a:avLst/>
                    </a:prstGeom>
                  </pic:spPr>
                </pic:pic>
              </a:graphicData>
            </a:graphic>
          </wp:inline>
        </w:drawing>
      </w:r>
    </w:p>
    <w:p w14:paraId="251EA512" w14:textId="77777777" w:rsidR="00636EA9" w:rsidRDefault="00636EA9" w:rsidP="00636EA9">
      <w:pPr>
        <w:spacing w:line="360" w:lineRule="auto"/>
        <w:jc w:val="both"/>
        <w:rPr>
          <w:rFonts w:ascii="Arial" w:hAnsi="Arial" w:cs="Arial"/>
          <w:sz w:val="18"/>
          <w:szCs w:val="18"/>
        </w:rPr>
      </w:pPr>
      <w:r w:rsidRPr="00F1551E">
        <w:rPr>
          <w:rFonts w:ascii="Arial" w:hAnsi="Arial" w:cs="Arial"/>
          <w:b/>
          <w:sz w:val="18"/>
          <w:szCs w:val="18"/>
          <w:lang w:val="en-US"/>
        </w:rPr>
        <w:t>Extended Data Figure 5</w:t>
      </w:r>
      <w:r w:rsidRPr="00F1551E">
        <w:rPr>
          <w:rFonts w:ascii="Arial" w:hAnsi="Arial" w:cs="Arial"/>
          <w:b/>
          <w:sz w:val="18"/>
          <w:szCs w:val="18"/>
        </w:rPr>
        <w:t xml:space="preserve">. </w:t>
      </w:r>
      <w:r w:rsidRPr="006E4921">
        <w:rPr>
          <w:rFonts w:ascii="Arial" w:hAnsi="Arial" w:cs="Arial"/>
          <w:b/>
          <w:sz w:val="18"/>
          <w:szCs w:val="18"/>
        </w:rPr>
        <w:t xml:space="preserve">Land </w:t>
      </w:r>
      <w:r>
        <w:rPr>
          <w:rFonts w:ascii="Arial" w:hAnsi="Arial" w:cs="Arial"/>
          <w:b/>
          <w:sz w:val="18"/>
          <w:szCs w:val="18"/>
        </w:rPr>
        <w:t>change</w:t>
      </w:r>
      <w:r w:rsidRPr="00F1551E">
        <w:rPr>
          <w:rFonts w:ascii="Arial" w:hAnsi="Arial" w:cs="Arial"/>
          <w:b/>
          <w:sz w:val="18"/>
          <w:szCs w:val="18"/>
          <w:lang w:val="en-US"/>
        </w:rPr>
        <w:t xml:space="preserve"> areas in doubt</w:t>
      </w:r>
      <w:r w:rsidRPr="006E4921">
        <w:rPr>
          <w:rFonts w:ascii="Arial" w:hAnsi="Arial" w:cs="Arial"/>
          <w:b/>
          <w:sz w:val="18"/>
          <w:szCs w:val="18"/>
          <w:lang w:val="en-US"/>
        </w:rPr>
        <w:t>, due to associated changes in Landsat data coverage and quality</w:t>
      </w:r>
      <w:r w:rsidRPr="00F1551E">
        <w:rPr>
          <w:rFonts w:ascii="Arial" w:hAnsi="Arial" w:cs="Arial"/>
          <w:b/>
          <w:sz w:val="18"/>
          <w:szCs w:val="18"/>
        </w:rPr>
        <w:t>.</w:t>
      </w:r>
      <w:r w:rsidRPr="00F1551E">
        <w:rPr>
          <w:rFonts w:ascii="Arial" w:hAnsi="Arial" w:cs="Arial"/>
          <w:sz w:val="18"/>
          <w:szCs w:val="18"/>
          <w:lang w:val="en-US"/>
        </w:rPr>
        <w:t xml:space="preserve"> </w:t>
      </w:r>
      <w:r w:rsidRPr="00F1551E">
        <w:rPr>
          <w:rFonts w:ascii="Arial" w:hAnsi="Arial" w:cs="Arial"/>
          <w:sz w:val="18"/>
          <w:szCs w:val="18"/>
        </w:rPr>
        <w:t xml:space="preserve">Panels </w:t>
      </w:r>
      <w:r w:rsidRPr="00F1551E">
        <w:rPr>
          <w:rFonts w:ascii="Arial" w:hAnsi="Arial" w:cs="Arial"/>
          <w:b/>
          <w:sz w:val="18"/>
          <w:szCs w:val="18"/>
          <w:lang w:val="en-US"/>
        </w:rPr>
        <w:t>a</w:t>
      </w:r>
      <w:r w:rsidRPr="00F1551E">
        <w:rPr>
          <w:rFonts w:ascii="Arial" w:hAnsi="Arial" w:cs="Arial"/>
          <w:b/>
          <w:sz w:val="18"/>
          <w:szCs w:val="18"/>
        </w:rPr>
        <w:t>)</w:t>
      </w:r>
      <w:r w:rsidRPr="00F1551E">
        <w:rPr>
          <w:rFonts w:ascii="Arial" w:hAnsi="Arial" w:cs="Arial"/>
          <w:sz w:val="18"/>
          <w:szCs w:val="18"/>
        </w:rPr>
        <w:t xml:space="preserve">, </w:t>
      </w:r>
      <w:r w:rsidRPr="00F1551E">
        <w:rPr>
          <w:rFonts w:ascii="Arial" w:hAnsi="Arial" w:cs="Arial"/>
          <w:b/>
          <w:sz w:val="18"/>
          <w:szCs w:val="18"/>
          <w:lang w:val="en-US"/>
        </w:rPr>
        <w:t>c</w:t>
      </w:r>
      <w:r w:rsidRPr="00F1551E">
        <w:rPr>
          <w:rFonts w:ascii="Arial" w:hAnsi="Arial" w:cs="Arial"/>
          <w:b/>
          <w:sz w:val="18"/>
          <w:szCs w:val="18"/>
        </w:rPr>
        <w:t>)</w:t>
      </w:r>
      <w:r w:rsidRPr="00F1551E">
        <w:rPr>
          <w:rFonts w:ascii="Arial" w:hAnsi="Arial" w:cs="Arial"/>
          <w:sz w:val="18"/>
          <w:szCs w:val="18"/>
        </w:rPr>
        <w:t xml:space="preserve">, and </w:t>
      </w:r>
      <w:r w:rsidRPr="00F1551E">
        <w:rPr>
          <w:rFonts w:ascii="Arial" w:hAnsi="Arial" w:cs="Arial"/>
          <w:b/>
          <w:sz w:val="18"/>
          <w:szCs w:val="18"/>
          <w:lang w:val="en-US"/>
        </w:rPr>
        <w:t>e</w:t>
      </w:r>
      <w:r w:rsidRPr="00F1551E">
        <w:rPr>
          <w:rFonts w:ascii="Arial" w:hAnsi="Arial" w:cs="Arial"/>
          <w:b/>
          <w:sz w:val="18"/>
          <w:szCs w:val="18"/>
        </w:rPr>
        <w:t>)</w:t>
      </w:r>
      <w:r w:rsidRPr="00F1551E">
        <w:rPr>
          <w:rFonts w:ascii="Arial" w:hAnsi="Arial" w:cs="Arial"/>
          <w:sz w:val="18"/>
          <w:szCs w:val="18"/>
        </w:rPr>
        <w:t xml:space="preserve"> map </w:t>
      </w:r>
      <w:r w:rsidRPr="00F1551E">
        <w:rPr>
          <w:rFonts w:ascii="Arial" w:hAnsi="Arial" w:cs="Arial"/>
          <w:sz w:val="18"/>
          <w:szCs w:val="18"/>
          <w:lang w:val="en-US"/>
        </w:rPr>
        <w:t>areas of doubt</w:t>
      </w:r>
      <w:r>
        <w:rPr>
          <w:rFonts w:ascii="Arial" w:hAnsi="Arial" w:cs="Arial"/>
          <w:sz w:val="18"/>
          <w:szCs w:val="18"/>
          <w:lang w:val="en-US"/>
        </w:rPr>
        <w:t>ful</w:t>
      </w:r>
      <w:r w:rsidRPr="00F1551E">
        <w:rPr>
          <w:rFonts w:ascii="Arial" w:hAnsi="Arial" w:cs="Arial"/>
          <w:sz w:val="18"/>
          <w:szCs w:val="18"/>
          <w:lang w:val="en-US"/>
        </w:rPr>
        <w:t xml:space="preserve"> changes (</w:t>
      </w:r>
      <w:r>
        <w:rPr>
          <w:rFonts w:ascii="Arial" w:hAnsi="Arial" w:cs="Arial"/>
          <w:sz w:val="18"/>
          <w:szCs w:val="18"/>
          <w:lang w:val="en-US"/>
        </w:rPr>
        <w:t xml:space="preserve">compare </w:t>
      </w:r>
      <w:r w:rsidRPr="00F1551E">
        <w:rPr>
          <w:rFonts w:ascii="Arial" w:hAnsi="Arial" w:cs="Arial"/>
          <w:sz w:val="18"/>
          <w:szCs w:val="18"/>
          <w:lang w:val="en-US"/>
        </w:rPr>
        <w:t xml:space="preserve">Fig. 3) at a 10-km resolution. </w:t>
      </w:r>
      <w:r w:rsidRPr="00F1551E">
        <w:rPr>
          <w:rFonts w:ascii="Arial" w:hAnsi="Arial" w:cs="Arial"/>
          <w:sz w:val="18"/>
          <w:szCs w:val="18"/>
        </w:rPr>
        <w:t xml:space="preserve">Panels </w:t>
      </w:r>
      <w:r w:rsidRPr="00F1551E">
        <w:rPr>
          <w:rFonts w:ascii="Arial" w:hAnsi="Arial" w:cs="Arial"/>
          <w:b/>
          <w:sz w:val="18"/>
          <w:szCs w:val="18"/>
          <w:lang w:val="en-US"/>
        </w:rPr>
        <w:t>b</w:t>
      </w:r>
      <w:r w:rsidRPr="00F1551E">
        <w:rPr>
          <w:rFonts w:ascii="Arial" w:hAnsi="Arial" w:cs="Arial"/>
          <w:b/>
          <w:sz w:val="18"/>
          <w:szCs w:val="18"/>
        </w:rPr>
        <w:t>)</w:t>
      </w:r>
      <w:r w:rsidRPr="00F1551E">
        <w:rPr>
          <w:rFonts w:ascii="Arial" w:hAnsi="Arial" w:cs="Arial"/>
          <w:sz w:val="18"/>
          <w:szCs w:val="18"/>
        </w:rPr>
        <w:t>,</w:t>
      </w:r>
      <w:r w:rsidRPr="00F1551E">
        <w:rPr>
          <w:rFonts w:ascii="Arial" w:hAnsi="Arial" w:cs="Arial"/>
          <w:b/>
          <w:sz w:val="18"/>
          <w:szCs w:val="18"/>
          <w:lang w:val="en-US"/>
        </w:rPr>
        <w:t xml:space="preserve"> d</w:t>
      </w:r>
      <w:r w:rsidRPr="00F1551E">
        <w:rPr>
          <w:rFonts w:ascii="Arial" w:hAnsi="Arial" w:cs="Arial"/>
          <w:b/>
          <w:sz w:val="18"/>
          <w:szCs w:val="18"/>
        </w:rPr>
        <w:t>)</w:t>
      </w:r>
      <w:r w:rsidRPr="00F1551E">
        <w:rPr>
          <w:rFonts w:ascii="Arial" w:hAnsi="Arial" w:cs="Arial"/>
          <w:sz w:val="18"/>
          <w:szCs w:val="18"/>
        </w:rPr>
        <w:t xml:space="preserve">, and </w:t>
      </w:r>
      <w:r w:rsidRPr="00F1551E">
        <w:rPr>
          <w:rFonts w:ascii="Arial" w:hAnsi="Arial" w:cs="Arial"/>
          <w:b/>
          <w:sz w:val="18"/>
          <w:szCs w:val="18"/>
          <w:lang w:val="en-US"/>
        </w:rPr>
        <w:t>f</w:t>
      </w:r>
      <w:r w:rsidRPr="00F1551E">
        <w:rPr>
          <w:rFonts w:ascii="Arial" w:hAnsi="Arial" w:cs="Arial"/>
          <w:b/>
          <w:sz w:val="18"/>
          <w:szCs w:val="18"/>
        </w:rPr>
        <w:t>)</w:t>
      </w:r>
      <w:r w:rsidRPr="00F1551E">
        <w:rPr>
          <w:rFonts w:ascii="Arial" w:hAnsi="Arial" w:cs="Arial"/>
          <w:sz w:val="18"/>
          <w:szCs w:val="18"/>
        </w:rPr>
        <w:t xml:space="preserve"> showcase local</w:t>
      </w:r>
      <w:r w:rsidRPr="00C17A88">
        <w:rPr>
          <w:rFonts w:ascii="Arial" w:hAnsi="Arial" w:cs="Arial"/>
          <w:sz w:val="18"/>
          <w:szCs w:val="18"/>
        </w:rPr>
        <w:t xml:space="preserve"> </w:t>
      </w:r>
      <w:r>
        <w:rPr>
          <w:rFonts w:ascii="Arial" w:hAnsi="Arial" w:cs="Arial"/>
          <w:sz w:val="18"/>
          <w:szCs w:val="18"/>
          <w:lang w:val="en-US"/>
        </w:rPr>
        <w:t>examples where</w:t>
      </w:r>
      <w:r w:rsidRPr="00C17A88">
        <w:rPr>
          <w:rFonts w:ascii="Arial" w:hAnsi="Arial" w:cs="Arial"/>
          <w:sz w:val="18"/>
          <w:szCs w:val="18"/>
          <w:lang w:val="en-US"/>
        </w:rPr>
        <w:t xml:space="preserve"> </w:t>
      </w:r>
      <w:r>
        <w:rPr>
          <w:rFonts w:ascii="Arial" w:hAnsi="Arial" w:cs="Arial"/>
          <w:sz w:val="18"/>
          <w:szCs w:val="18"/>
          <w:lang w:val="en-US"/>
        </w:rPr>
        <w:t xml:space="preserve">Landsat </w:t>
      </w:r>
      <w:r w:rsidRPr="00C17A88">
        <w:rPr>
          <w:rFonts w:ascii="Arial" w:hAnsi="Arial" w:cs="Arial"/>
          <w:sz w:val="18"/>
          <w:szCs w:val="18"/>
          <w:lang w:val="en-US"/>
        </w:rPr>
        <w:t xml:space="preserve">data </w:t>
      </w:r>
      <w:r>
        <w:rPr>
          <w:rFonts w:ascii="Arial" w:hAnsi="Arial" w:cs="Arial"/>
          <w:sz w:val="18"/>
          <w:szCs w:val="18"/>
          <w:lang w:val="en-US"/>
        </w:rPr>
        <w:t>limitations</w:t>
      </w:r>
      <w:r w:rsidRPr="00C17A88">
        <w:rPr>
          <w:rFonts w:ascii="Arial" w:hAnsi="Arial" w:cs="Arial"/>
          <w:sz w:val="18"/>
          <w:szCs w:val="18"/>
          <w:lang w:val="en-US"/>
        </w:rPr>
        <w:t xml:space="preserve"> </w:t>
      </w:r>
      <w:r>
        <w:rPr>
          <w:rFonts w:ascii="Arial" w:hAnsi="Arial" w:cs="Arial"/>
          <w:sz w:val="18"/>
          <w:szCs w:val="18"/>
          <w:lang w:val="en-US"/>
        </w:rPr>
        <w:t xml:space="preserve">affect </w:t>
      </w:r>
      <w:r w:rsidRPr="00C17A88">
        <w:rPr>
          <w:rFonts w:ascii="Arial" w:hAnsi="Arial" w:cs="Arial"/>
          <w:sz w:val="18"/>
          <w:szCs w:val="18"/>
          <w:lang w:val="en-US"/>
        </w:rPr>
        <w:t>perce</w:t>
      </w:r>
      <w:r>
        <w:rPr>
          <w:rFonts w:ascii="Arial" w:hAnsi="Arial" w:cs="Arial"/>
          <w:sz w:val="18"/>
          <w:szCs w:val="18"/>
          <w:lang w:val="en-US"/>
        </w:rPr>
        <w:t>ived land changes, as inferred from Landsat-based time-series products</w:t>
      </w:r>
      <w:r w:rsidRPr="00C17A88">
        <w:rPr>
          <w:rFonts w:ascii="Arial" w:hAnsi="Arial" w:cs="Arial"/>
          <w:sz w:val="18"/>
          <w:szCs w:val="18"/>
          <w:lang w:val="en-US"/>
        </w:rPr>
        <w:t>.</w:t>
      </w:r>
      <w:r w:rsidRPr="00C17A88">
        <w:rPr>
          <w:rFonts w:ascii="Arial" w:hAnsi="Arial" w:cs="Arial"/>
          <w:sz w:val="18"/>
          <w:szCs w:val="18"/>
        </w:rPr>
        <w:t xml:space="preserve"> </w:t>
      </w:r>
      <w:r w:rsidRPr="00C17A88">
        <w:rPr>
          <w:rFonts w:ascii="Arial" w:hAnsi="Arial" w:cs="Arial"/>
          <w:b/>
          <w:bCs/>
          <w:sz w:val="18"/>
          <w:szCs w:val="18"/>
          <w:lang w:val="en-US"/>
        </w:rPr>
        <w:t>a</w:t>
      </w:r>
      <w:r w:rsidRPr="00C17A88">
        <w:rPr>
          <w:rFonts w:ascii="Arial" w:hAnsi="Arial" w:cs="Arial"/>
          <w:sz w:val="18"/>
          <w:szCs w:val="18"/>
          <w:lang w:val="en-US"/>
        </w:rPr>
        <w:t xml:space="preserve">) </w:t>
      </w:r>
      <w:r>
        <w:rPr>
          <w:rFonts w:ascii="Arial" w:hAnsi="Arial" w:cs="Arial"/>
          <w:sz w:val="18"/>
          <w:szCs w:val="18"/>
          <w:lang w:val="en-US"/>
        </w:rPr>
        <w:t>Doubtful a</w:t>
      </w:r>
      <w:r w:rsidRPr="00C17A88">
        <w:rPr>
          <w:rFonts w:ascii="Arial" w:hAnsi="Arial" w:cs="Arial"/>
          <w:sz w:val="18"/>
          <w:szCs w:val="18"/>
          <w:lang w:val="en-US"/>
        </w:rPr>
        <w:t xml:space="preserve">reas of deforestation </w:t>
      </w:r>
      <w:r>
        <w:rPr>
          <w:rFonts w:ascii="Arial" w:hAnsi="Arial" w:cs="Arial"/>
          <w:sz w:val="18"/>
          <w:szCs w:val="18"/>
          <w:lang w:val="en-US"/>
        </w:rPr>
        <w:t>mapped into</w:t>
      </w:r>
      <w:r w:rsidRPr="00C17A88">
        <w:rPr>
          <w:rFonts w:ascii="Arial" w:hAnsi="Arial" w:cs="Arial"/>
          <w:sz w:val="18"/>
          <w:szCs w:val="18"/>
          <w:lang w:val="en-US"/>
        </w:rPr>
        <w:t xml:space="preserve"> years </w:t>
      </w:r>
      <w:r>
        <w:rPr>
          <w:rFonts w:ascii="Arial" w:hAnsi="Arial" w:cs="Arial"/>
          <w:sz w:val="18"/>
          <w:szCs w:val="18"/>
          <w:lang w:val="en-US"/>
        </w:rPr>
        <w:t xml:space="preserve">directly following ≥1-year periods </w:t>
      </w:r>
      <w:r w:rsidRPr="00C17A88">
        <w:rPr>
          <w:rFonts w:ascii="Arial" w:hAnsi="Arial" w:cs="Arial"/>
          <w:sz w:val="18"/>
          <w:szCs w:val="18"/>
          <w:lang w:val="en-US"/>
        </w:rPr>
        <w:t xml:space="preserve">without data, casting doubt on </w:t>
      </w:r>
      <w:r w:rsidRPr="00C17A88">
        <w:rPr>
          <w:rFonts w:ascii="Arial" w:hAnsi="Arial" w:cs="Arial"/>
          <w:sz w:val="18"/>
          <w:szCs w:val="18"/>
        </w:rPr>
        <w:t xml:space="preserve">true </w:t>
      </w:r>
      <w:r>
        <w:rPr>
          <w:rFonts w:ascii="Arial" w:hAnsi="Arial" w:cs="Arial"/>
          <w:sz w:val="18"/>
          <w:szCs w:val="18"/>
        </w:rPr>
        <w:t>timing of deforestation events</w:t>
      </w:r>
      <w:r w:rsidRPr="00C17A88">
        <w:rPr>
          <w:rFonts w:ascii="Arial" w:hAnsi="Arial" w:cs="Arial"/>
          <w:sz w:val="18"/>
          <w:szCs w:val="18"/>
          <w:lang w:val="en-US"/>
        </w:rPr>
        <w:t>.</w:t>
      </w:r>
      <w:r>
        <w:rPr>
          <w:rFonts w:ascii="Arial" w:hAnsi="Arial" w:cs="Arial"/>
          <w:sz w:val="18"/>
          <w:szCs w:val="18"/>
          <w:lang w:val="en-US"/>
        </w:rPr>
        <w:t xml:space="preserve"> </w:t>
      </w:r>
      <w:r>
        <w:rPr>
          <w:rFonts w:ascii="Arial" w:hAnsi="Arial" w:cs="Arial"/>
          <w:b/>
          <w:sz w:val="18"/>
          <w:szCs w:val="18"/>
          <w:lang w:val="en-US"/>
        </w:rPr>
        <w:t>b)</w:t>
      </w:r>
      <w:r w:rsidRPr="00C17A88" w:rsidDel="00CD0A7F">
        <w:rPr>
          <w:rFonts w:ascii="Arial" w:hAnsi="Arial" w:cs="Arial"/>
          <w:sz w:val="18"/>
          <w:szCs w:val="18"/>
          <w:lang w:val="en-US"/>
        </w:rPr>
        <w:t xml:space="preserve"> </w:t>
      </w:r>
      <w:r>
        <w:rPr>
          <w:rFonts w:ascii="Arial" w:hAnsi="Arial" w:cs="Arial"/>
          <w:sz w:val="18"/>
          <w:szCs w:val="18"/>
          <w:lang w:val="en-US"/>
        </w:rPr>
        <w:t>Forest</w:t>
      </w:r>
      <w:r w:rsidRPr="00C17A88">
        <w:rPr>
          <w:rFonts w:ascii="Arial" w:hAnsi="Arial" w:cs="Arial"/>
          <w:sz w:val="18"/>
          <w:szCs w:val="18"/>
        </w:rPr>
        <w:t xml:space="preserve"> losses </w:t>
      </w:r>
      <w:r>
        <w:rPr>
          <w:rFonts w:ascii="Arial" w:hAnsi="Arial" w:cs="Arial"/>
          <w:sz w:val="18"/>
          <w:szCs w:val="18"/>
        </w:rPr>
        <w:t xml:space="preserve">mapped by the TMF </w:t>
      </w:r>
      <w:r w:rsidRPr="00C17A88">
        <w:rPr>
          <w:rFonts w:ascii="Arial" w:hAnsi="Arial" w:cs="Arial"/>
          <w:sz w:val="18"/>
          <w:szCs w:val="18"/>
        </w:rPr>
        <w:t>in</w:t>
      </w:r>
      <w:r>
        <w:rPr>
          <w:rFonts w:ascii="Arial" w:hAnsi="Arial" w:cs="Arial"/>
          <w:sz w:val="18"/>
          <w:szCs w:val="18"/>
        </w:rPr>
        <w:t>side/surrounding</w:t>
      </w:r>
      <w:r w:rsidRPr="00C17A88">
        <w:rPr>
          <w:rFonts w:ascii="Arial" w:hAnsi="Arial" w:cs="Arial"/>
          <w:sz w:val="18"/>
          <w:szCs w:val="18"/>
        </w:rPr>
        <w:t xml:space="preserve"> </w:t>
      </w:r>
      <w:r w:rsidRPr="00C17A88">
        <w:rPr>
          <w:rFonts w:ascii="Arial" w:hAnsi="Arial" w:cs="Arial"/>
          <w:sz w:val="18"/>
          <w:szCs w:val="18"/>
          <w:lang w:val="en-US"/>
        </w:rPr>
        <w:t>t</w:t>
      </w:r>
      <w:r w:rsidRPr="00C17A88">
        <w:rPr>
          <w:rFonts w:ascii="Arial" w:hAnsi="Arial" w:cs="Arial"/>
          <w:sz w:val="18"/>
          <w:szCs w:val="18"/>
        </w:rPr>
        <w:t>he Luo</w:t>
      </w:r>
      <w:r>
        <w:rPr>
          <w:rFonts w:ascii="Arial" w:hAnsi="Arial" w:cs="Arial"/>
          <w:sz w:val="18"/>
          <w:szCs w:val="18"/>
        </w:rPr>
        <w:t xml:space="preserve"> S</w:t>
      </w:r>
      <w:r w:rsidRPr="00C17A88">
        <w:rPr>
          <w:rFonts w:ascii="Arial" w:hAnsi="Arial" w:cs="Arial"/>
          <w:sz w:val="18"/>
          <w:szCs w:val="18"/>
        </w:rPr>
        <w:t>cientific Reserve</w:t>
      </w:r>
      <w:r>
        <w:rPr>
          <w:rFonts w:ascii="Arial" w:hAnsi="Arial" w:cs="Arial"/>
          <w:sz w:val="18"/>
          <w:szCs w:val="18"/>
        </w:rPr>
        <w:t>, DRC</w:t>
      </w:r>
      <w:r w:rsidRPr="00C17A88">
        <w:rPr>
          <w:rFonts w:ascii="Arial" w:hAnsi="Arial" w:cs="Arial"/>
          <w:sz w:val="18"/>
          <w:szCs w:val="18"/>
        </w:rPr>
        <w:t xml:space="preserve"> (delineated </w:t>
      </w:r>
      <w:r>
        <w:rPr>
          <w:rFonts w:ascii="Arial" w:hAnsi="Arial" w:cs="Arial"/>
          <w:sz w:val="18"/>
          <w:szCs w:val="18"/>
        </w:rPr>
        <w:t>by</w:t>
      </w:r>
      <w:r w:rsidRPr="00C17A88">
        <w:rPr>
          <w:rFonts w:ascii="Arial" w:hAnsi="Arial" w:cs="Arial"/>
          <w:sz w:val="18"/>
          <w:szCs w:val="18"/>
        </w:rPr>
        <w:t xml:space="preserve"> </w:t>
      </w:r>
      <w:r>
        <w:rPr>
          <w:rFonts w:ascii="Arial" w:hAnsi="Arial" w:cs="Arial"/>
          <w:sz w:val="18"/>
          <w:szCs w:val="18"/>
        </w:rPr>
        <w:t xml:space="preserve">dashed </w:t>
      </w:r>
      <w:r w:rsidRPr="00C17A88">
        <w:rPr>
          <w:rFonts w:ascii="Arial" w:hAnsi="Arial" w:cs="Arial"/>
          <w:sz w:val="18"/>
          <w:szCs w:val="18"/>
        </w:rPr>
        <w:t>black lin</w:t>
      </w:r>
      <w:r w:rsidRPr="004F12AF">
        <w:rPr>
          <w:rFonts w:ascii="Arial" w:hAnsi="Arial" w:cs="Arial"/>
          <w:sz w:val="18"/>
          <w:szCs w:val="18"/>
        </w:rPr>
        <w:t>e)</w:t>
      </w:r>
      <w:r>
        <w:rPr>
          <w:rFonts w:ascii="Arial" w:hAnsi="Arial" w:cs="Arial"/>
          <w:sz w:val="18"/>
          <w:szCs w:val="18"/>
        </w:rPr>
        <w:t xml:space="preserve"> during the 1990s, showing that deforestation is mostly mapped into period after the end of the </w:t>
      </w:r>
      <w:r w:rsidRPr="004F12AF">
        <w:rPr>
          <w:rFonts w:ascii="Arial" w:hAnsi="Arial" w:cs="Arial"/>
          <w:sz w:val="18"/>
          <w:szCs w:val="18"/>
        </w:rPr>
        <w:t>first Congo war (1996-1997)</w:t>
      </w:r>
      <w:r>
        <w:rPr>
          <w:rFonts w:ascii="Arial" w:hAnsi="Arial" w:cs="Arial"/>
          <w:sz w:val="18"/>
          <w:szCs w:val="18"/>
        </w:rPr>
        <w:t xml:space="preserve">, when Landsat data were again available, even though in-situ evidence largely attributes this deforestation to human displacement during the war. </w:t>
      </w:r>
      <w:r w:rsidRPr="00760279">
        <w:rPr>
          <w:rFonts w:ascii="Arial" w:hAnsi="Arial" w:cs="Arial"/>
          <w:b/>
          <w:bCs/>
          <w:sz w:val="18"/>
          <w:szCs w:val="18"/>
          <w:lang w:val="en-US"/>
        </w:rPr>
        <w:t>c</w:t>
      </w:r>
      <w:r>
        <w:rPr>
          <w:rFonts w:ascii="Arial" w:hAnsi="Arial" w:cs="Arial"/>
          <w:sz w:val="18"/>
          <w:szCs w:val="18"/>
          <w:lang w:val="en-US"/>
        </w:rPr>
        <w:t xml:space="preserve">) Doubtful arable-land gains mapped by the GLAD product in countries/periods for which FAO statistics report losses, which simultaneously, the quality-weighted frequency of Landsat images improved, thus likely representing overestimations by the Landsat-based GLAD product. </w:t>
      </w:r>
      <w:r>
        <w:rPr>
          <w:rFonts w:ascii="Arial" w:hAnsi="Arial" w:cs="Arial"/>
          <w:b/>
          <w:sz w:val="18"/>
          <w:szCs w:val="18"/>
        </w:rPr>
        <w:t>d)</w:t>
      </w:r>
      <w:r>
        <w:rPr>
          <w:rFonts w:ascii="Arial" w:hAnsi="Arial" w:cs="Arial"/>
          <w:sz w:val="18"/>
          <w:szCs w:val="18"/>
          <w:lang w:val="en-US"/>
        </w:rPr>
        <w:t xml:space="preserve"> Arable-land gains mapped by the GLAD product </w:t>
      </w:r>
      <w:r w:rsidRPr="00F1551E">
        <w:rPr>
          <w:rFonts w:ascii="Arial" w:hAnsi="Arial" w:cs="Arial"/>
          <w:sz w:val="18"/>
          <w:szCs w:val="18"/>
          <w:lang w:val="en-US"/>
        </w:rPr>
        <w:t>inside the</w:t>
      </w:r>
      <w:r w:rsidRPr="006E4921">
        <w:rPr>
          <w:rFonts w:ascii="Arial" w:hAnsi="Arial" w:cs="Arial"/>
          <w:sz w:val="18"/>
          <w:szCs w:val="18"/>
        </w:rPr>
        <w:t xml:space="preserve"> Bakhira Wildlife Sanctuary (a protected Ramsar wetland and Important Bird Area in Northern India). Nearly the entire wetland area is re-classified into arable</w:t>
      </w:r>
      <w:r>
        <w:rPr>
          <w:rFonts w:ascii="Arial" w:hAnsi="Arial" w:cs="Arial"/>
          <w:sz w:val="18"/>
          <w:szCs w:val="18"/>
        </w:rPr>
        <w:t>-</w:t>
      </w:r>
      <w:r w:rsidRPr="006E4921">
        <w:rPr>
          <w:rFonts w:ascii="Arial" w:hAnsi="Arial" w:cs="Arial"/>
          <w:sz w:val="18"/>
          <w:szCs w:val="18"/>
        </w:rPr>
        <w:t xml:space="preserve">land by the GLAD mapping algorithm over the two mapping epochs following the 2013 launch of Landsat 8, which massively increased coverage and quality of images, which moreover have impaired interoperability with images from earlier Landsat missions. By inspecting historical time-series of high-resolution imagery (using </w:t>
      </w:r>
      <w:r w:rsidRPr="00F1551E">
        <w:rPr>
          <w:rFonts w:ascii="Arial" w:hAnsi="Arial" w:cs="Arial"/>
          <w:sz w:val="18"/>
          <w:szCs w:val="18"/>
        </w:rPr>
        <w:t>Google Earth Pro)</w:t>
      </w:r>
      <w:r w:rsidRPr="006E4921">
        <w:rPr>
          <w:rFonts w:ascii="Arial" w:hAnsi="Arial" w:cs="Arial"/>
          <w:sz w:val="18"/>
          <w:szCs w:val="18"/>
        </w:rPr>
        <w:t>, we found these changes to be entirely artefactual.</w:t>
      </w:r>
      <w:r w:rsidRPr="00F1551E">
        <w:rPr>
          <w:rFonts w:ascii="Arial" w:hAnsi="Arial" w:cs="Arial"/>
          <w:sz w:val="18"/>
          <w:szCs w:val="18"/>
        </w:rPr>
        <w:t xml:space="preserve"> </w:t>
      </w:r>
      <w:r w:rsidRPr="00F1551E">
        <w:rPr>
          <w:rFonts w:ascii="Arial" w:hAnsi="Arial" w:cs="Arial"/>
          <w:b/>
          <w:bCs/>
          <w:sz w:val="18"/>
          <w:szCs w:val="18"/>
          <w:lang w:val="en-US"/>
        </w:rPr>
        <w:t>e</w:t>
      </w:r>
      <w:r w:rsidRPr="00F1551E">
        <w:rPr>
          <w:rFonts w:ascii="Arial" w:hAnsi="Arial" w:cs="Arial"/>
          <w:sz w:val="18"/>
          <w:szCs w:val="18"/>
          <w:lang w:val="en-US"/>
        </w:rPr>
        <w:t xml:space="preserve">) </w:t>
      </w:r>
      <w:r>
        <w:rPr>
          <w:rFonts w:ascii="Arial" w:hAnsi="Arial" w:cs="Arial"/>
          <w:sz w:val="18"/>
          <w:szCs w:val="18"/>
          <w:lang w:val="en-US"/>
        </w:rPr>
        <w:t xml:space="preserve">Doubtful increases in global, seasonal surface-water extents that may reflect increasing Landsat data coverage and quality. Colors indicate directions and strengths of (nearly exclusively positive) statistical associations of multi-annual trends between </w:t>
      </w:r>
      <w:r w:rsidRPr="006E4921">
        <w:rPr>
          <w:rFonts w:ascii="Arial" w:hAnsi="Arial" w:cs="Arial"/>
          <w:i/>
          <w:sz w:val="18"/>
          <w:szCs w:val="18"/>
          <w:lang w:val="en-US"/>
        </w:rPr>
        <w:t>i)</w:t>
      </w:r>
      <w:r>
        <w:rPr>
          <w:rFonts w:ascii="Arial" w:hAnsi="Arial" w:cs="Arial"/>
          <w:sz w:val="18"/>
          <w:szCs w:val="18"/>
          <w:lang w:val="en-US"/>
        </w:rPr>
        <w:t xml:space="preserve"> proportions of </w:t>
      </w:r>
      <w:r w:rsidRPr="00D02CA9">
        <w:rPr>
          <w:rFonts w:ascii="Arial" w:hAnsi="Arial" w:cs="Arial"/>
          <w:sz w:val="18"/>
          <w:szCs w:val="18"/>
          <w:lang w:val="en-US"/>
        </w:rPr>
        <w:t xml:space="preserve">10-km </w:t>
      </w:r>
      <w:r>
        <w:rPr>
          <w:rFonts w:ascii="Arial" w:hAnsi="Arial" w:cs="Arial"/>
          <w:sz w:val="18"/>
          <w:szCs w:val="18"/>
          <w:lang w:val="en-US"/>
        </w:rPr>
        <w:t xml:space="preserve">pixels that are perceived by the GSW product as being covered by seasonal surface water, and </w:t>
      </w:r>
      <w:r w:rsidRPr="00D02CA9">
        <w:rPr>
          <w:rFonts w:ascii="Arial" w:hAnsi="Arial" w:cs="Arial"/>
          <w:i/>
          <w:sz w:val="18"/>
          <w:szCs w:val="18"/>
          <w:lang w:val="en-US"/>
        </w:rPr>
        <w:t>i</w:t>
      </w:r>
      <w:r>
        <w:rPr>
          <w:rFonts w:ascii="Arial" w:hAnsi="Arial" w:cs="Arial"/>
          <w:i/>
          <w:sz w:val="18"/>
          <w:szCs w:val="18"/>
          <w:lang w:val="en-US"/>
        </w:rPr>
        <w:t>i</w:t>
      </w:r>
      <w:r w:rsidRPr="00D02CA9">
        <w:rPr>
          <w:rFonts w:ascii="Arial" w:hAnsi="Arial" w:cs="Arial"/>
          <w:i/>
          <w:sz w:val="18"/>
          <w:szCs w:val="18"/>
          <w:lang w:val="en-US"/>
        </w:rPr>
        <w:t>)</w:t>
      </w:r>
      <w:r>
        <w:rPr>
          <w:rFonts w:ascii="Arial" w:hAnsi="Arial" w:cs="Arial"/>
          <w:sz w:val="18"/>
          <w:szCs w:val="18"/>
          <w:lang w:val="en-US"/>
        </w:rPr>
        <w:t xml:space="preserve"> annual </w:t>
      </w:r>
      <w:r w:rsidRPr="00F1551E">
        <w:rPr>
          <w:rFonts w:ascii="Arial" w:hAnsi="Arial" w:cs="Arial"/>
          <w:sz w:val="18"/>
          <w:szCs w:val="18"/>
          <w:lang w:val="en-US"/>
        </w:rPr>
        <w:t>number</w:t>
      </w:r>
      <w:r>
        <w:rPr>
          <w:rFonts w:ascii="Arial" w:hAnsi="Arial" w:cs="Arial"/>
          <w:sz w:val="18"/>
          <w:szCs w:val="18"/>
          <w:lang w:val="en-US"/>
        </w:rPr>
        <w:t xml:space="preserve">s of months with usable Landsat observations. </w:t>
      </w:r>
      <w:r>
        <w:rPr>
          <w:rFonts w:ascii="Arial" w:hAnsi="Arial" w:cs="Arial"/>
          <w:b/>
          <w:sz w:val="18"/>
          <w:szCs w:val="18"/>
        </w:rPr>
        <w:lastRenderedPageBreak/>
        <w:t>f)</w:t>
      </w:r>
      <w:r>
        <w:rPr>
          <w:rFonts w:ascii="Arial" w:hAnsi="Arial" w:cs="Arial"/>
          <w:sz w:val="18"/>
          <w:szCs w:val="18"/>
          <w:lang w:val="en-US"/>
        </w:rPr>
        <w:t xml:space="preserve"> Seasonal </w:t>
      </w:r>
      <w:r w:rsidRPr="001F7CB3">
        <w:rPr>
          <w:rFonts w:ascii="Arial" w:hAnsi="Arial" w:cs="Arial"/>
          <w:sz w:val="18"/>
          <w:szCs w:val="18"/>
          <w:lang w:val="en-US"/>
        </w:rPr>
        <w:t>s</w:t>
      </w:r>
      <w:r>
        <w:rPr>
          <w:rFonts w:ascii="Arial" w:hAnsi="Arial" w:cs="Arial"/>
          <w:sz w:val="18"/>
          <w:szCs w:val="18"/>
          <w:lang w:val="en-US"/>
        </w:rPr>
        <w:t xml:space="preserve">urface-water gains mapped by the GSW regionally misrepresent true surface-water </w:t>
      </w:r>
      <w:r w:rsidRPr="004F12AF">
        <w:rPr>
          <w:rFonts w:ascii="Arial" w:hAnsi="Arial" w:cs="Arial"/>
          <w:sz w:val="18"/>
          <w:szCs w:val="18"/>
        </w:rPr>
        <w:t>losses</w:t>
      </w:r>
      <w:r>
        <w:rPr>
          <w:rFonts w:ascii="Arial" w:hAnsi="Arial" w:cs="Arial"/>
          <w:sz w:val="18"/>
          <w:szCs w:val="18"/>
        </w:rPr>
        <w:t>,</w:t>
      </w:r>
      <w:r w:rsidRPr="004F12AF">
        <w:rPr>
          <w:rFonts w:ascii="Arial" w:hAnsi="Arial" w:cs="Arial"/>
          <w:sz w:val="18"/>
          <w:szCs w:val="18"/>
        </w:rPr>
        <w:t xml:space="preserve"> such as </w:t>
      </w:r>
      <w:r>
        <w:rPr>
          <w:rFonts w:ascii="Arial" w:hAnsi="Arial" w:cs="Arial"/>
          <w:sz w:val="18"/>
          <w:szCs w:val="18"/>
        </w:rPr>
        <w:t>those along the drying Jubba river (Somalia), caused by droughts within the</w:t>
      </w:r>
      <w:r w:rsidRPr="004F12AF">
        <w:rPr>
          <w:rFonts w:ascii="Arial" w:hAnsi="Arial" w:cs="Arial"/>
          <w:sz w:val="18"/>
          <w:szCs w:val="18"/>
        </w:rPr>
        <w:t xml:space="preserve"> </w:t>
      </w:r>
      <w:r>
        <w:rPr>
          <w:rFonts w:ascii="Arial" w:hAnsi="Arial" w:cs="Arial"/>
          <w:sz w:val="18"/>
          <w:szCs w:val="18"/>
        </w:rPr>
        <w:t>H</w:t>
      </w:r>
      <w:r w:rsidRPr="004F12AF">
        <w:rPr>
          <w:rFonts w:ascii="Arial" w:hAnsi="Arial" w:cs="Arial"/>
          <w:sz w:val="18"/>
          <w:szCs w:val="18"/>
        </w:rPr>
        <w:t xml:space="preserve">orn of </w:t>
      </w:r>
      <w:r>
        <w:rPr>
          <w:rFonts w:ascii="Arial" w:hAnsi="Arial" w:cs="Arial"/>
          <w:sz w:val="18"/>
          <w:szCs w:val="18"/>
        </w:rPr>
        <w:t>Africa</w:t>
      </w:r>
      <w:r w:rsidRPr="004F12AF">
        <w:rPr>
          <w:rFonts w:ascii="Arial" w:hAnsi="Arial" w:cs="Arial"/>
          <w:sz w:val="18"/>
          <w:szCs w:val="18"/>
        </w:rPr>
        <w:t>.</w:t>
      </w:r>
    </w:p>
    <w:p w14:paraId="23AF59F0" w14:textId="77777777" w:rsidR="00636EA9" w:rsidRDefault="00636EA9" w:rsidP="00636EA9">
      <w:pPr>
        <w:spacing w:before="240" w:after="0" w:line="360" w:lineRule="auto"/>
        <w:jc w:val="both"/>
        <w:rPr>
          <w:rFonts w:ascii="Arial" w:hAnsi="Arial" w:cs="Arial"/>
          <w:sz w:val="18"/>
          <w:szCs w:val="18"/>
          <w:lang w:val="en-US"/>
        </w:rPr>
      </w:pPr>
      <w:r>
        <w:rPr>
          <w:rFonts w:ascii="Arial" w:hAnsi="Arial" w:cs="Arial"/>
          <w:noProof/>
          <w:sz w:val="18"/>
          <w:szCs w:val="18"/>
          <w:lang w:val="en-US"/>
        </w:rPr>
        <w:drawing>
          <wp:inline distT="0" distB="0" distL="0" distR="0" wp14:anchorId="388F14B5" wp14:editId="641A3E6A">
            <wp:extent cx="5777865" cy="137985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77865" cy="1379855"/>
                    </a:xfrm>
                    <a:prstGeom prst="rect">
                      <a:avLst/>
                    </a:prstGeom>
                  </pic:spPr>
                </pic:pic>
              </a:graphicData>
            </a:graphic>
          </wp:inline>
        </w:drawing>
      </w:r>
    </w:p>
    <w:p w14:paraId="191A2115" w14:textId="77777777" w:rsidR="00636EA9" w:rsidRDefault="00636EA9" w:rsidP="00636EA9">
      <w:pPr>
        <w:spacing w:line="360" w:lineRule="auto"/>
        <w:jc w:val="both"/>
        <w:rPr>
          <w:rFonts w:ascii="Arial" w:hAnsi="Arial" w:cs="Arial"/>
          <w:sz w:val="18"/>
        </w:rPr>
      </w:pPr>
      <w:r>
        <w:rPr>
          <w:rFonts w:ascii="Arial" w:hAnsi="Arial" w:cs="Arial"/>
          <w:b/>
          <w:bCs/>
          <w:sz w:val="18"/>
          <w:szCs w:val="18"/>
          <w:lang w:val="en-US"/>
        </w:rPr>
        <w:t>Extended Data</w:t>
      </w:r>
      <w:r w:rsidRPr="002C4CA5">
        <w:rPr>
          <w:rFonts w:ascii="Arial" w:hAnsi="Arial" w:cs="Arial"/>
          <w:b/>
          <w:bCs/>
          <w:sz w:val="18"/>
          <w:szCs w:val="18"/>
          <w:lang w:val="en-US"/>
        </w:rPr>
        <w:t xml:space="preserve"> Figure </w:t>
      </w:r>
      <w:r>
        <w:rPr>
          <w:rFonts w:ascii="Arial" w:hAnsi="Arial" w:cs="Arial"/>
          <w:b/>
          <w:bCs/>
          <w:sz w:val="18"/>
          <w:szCs w:val="18"/>
          <w:lang w:val="en-US"/>
        </w:rPr>
        <w:t>6</w:t>
      </w:r>
      <w:r w:rsidRPr="002C4CA5">
        <w:rPr>
          <w:rFonts w:ascii="Arial" w:hAnsi="Arial" w:cs="Arial"/>
          <w:b/>
          <w:bCs/>
          <w:sz w:val="18"/>
          <w:szCs w:val="18"/>
          <w:lang w:val="en-US"/>
        </w:rPr>
        <w:t xml:space="preserve">. Disagreeing reports of </w:t>
      </w:r>
      <w:r>
        <w:rPr>
          <w:rFonts w:ascii="Arial" w:hAnsi="Arial" w:cs="Arial"/>
          <w:b/>
          <w:bCs/>
          <w:sz w:val="18"/>
          <w:szCs w:val="18"/>
          <w:lang w:val="en-US"/>
        </w:rPr>
        <w:t>arable-land</w:t>
      </w:r>
      <w:r w:rsidRPr="002C4CA5">
        <w:rPr>
          <w:rFonts w:ascii="Arial" w:hAnsi="Arial" w:cs="Arial"/>
          <w:b/>
          <w:bCs/>
          <w:sz w:val="18"/>
          <w:szCs w:val="18"/>
          <w:lang w:val="en-US"/>
        </w:rPr>
        <w:t xml:space="preserve"> extents. </w:t>
      </w:r>
      <w:r>
        <w:rPr>
          <w:rFonts w:ascii="Arial" w:hAnsi="Arial" w:cs="Arial"/>
          <w:sz w:val="18"/>
          <w:szCs w:val="18"/>
          <w:lang w:val="en-US"/>
        </w:rPr>
        <w:t>Both maps show</w:t>
      </w:r>
      <w:r w:rsidRPr="002C4CA5">
        <w:rPr>
          <w:rFonts w:ascii="Arial" w:hAnsi="Arial" w:cs="Arial"/>
          <w:sz w:val="18"/>
          <w:szCs w:val="18"/>
          <w:lang w:val="en-US"/>
        </w:rPr>
        <w:t xml:space="preserve"> frequen</w:t>
      </w:r>
      <w:r>
        <w:rPr>
          <w:rFonts w:ascii="Arial" w:hAnsi="Arial" w:cs="Arial"/>
          <w:sz w:val="18"/>
          <w:szCs w:val="18"/>
          <w:lang w:val="en-US"/>
        </w:rPr>
        <w:t>cies</w:t>
      </w:r>
      <w:r w:rsidRPr="002C4CA5">
        <w:rPr>
          <w:rFonts w:ascii="Arial" w:hAnsi="Arial" w:cs="Arial"/>
          <w:sz w:val="18"/>
          <w:szCs w:val="18"/>
          <w:lang w:val="en-US"/>
        </w:rPr>
        <w:t xml:space="preserve"> of changes in the </w:t>
      </w:r>
      <w:r w:rsidRPr="00DC4707">
        <w:rPr>
          <w:rFonts w:ascii="Arial" w:hAnsi="Arial" w:cs="Arial"/>
          <w:sz w:val="18"/>
          <w:szCs w:val="18"/>
          <w:lang w:val="en-US"/>
        </w:rPr>
        <w:t>GLAD</w:t>
      </w:r>
      <w:r>
        <w:rPr>
          <w:rFonts w:ascii="Arial" w:hAnsi="Arial" w:cs="Arial"/>
          <w:sz w:val="18"/>
          <w:szCs w:val="18"/>
          <w:lang w:val="en-US"/>
        </w:rPr>
        <w:t xml:space="preserve"> product</w:t>
      </w:r>
      <w:r w:rsidRPr="00DC4707">
        <w:rPr>
          <w:rFonts w:ascii="Arial" w:hAnsi="Arial" w:cs="Arial"/>
          <w:sz w:val="18"/>
          <w:szCs w:val="18"/>
          <w:lang w:val="en-US"/>
        </w:rPr>
        <w:t xml:space="preserve"> </w:t>
      </w:r>
      <w:r w:rsidRPr="002C4CA5">
        <w:rPr>
          <w:rFonts w:ascii="Arial" w:hAnsi="Arial" w:cs="Arial"/>
          <w:sz w:val="18"/>
          <w:szCs w:val="18"/>
          <w:lang w:val="en-US"/>
        </w:rPr>
        <w:t xml:space="preserve">that disagree </w:t>
      </w:r>
      <w:r>
        <w:rPr>
          <w:rFonts w:ascii="Arial" w:hAnsi="Arial" w:cs="Arial"/>
          <w:sz w:val="18"/>
          <w:szCs w:val="18"/>
          <w:lang w:val="en-US"/>
        </w:rPr>
        <w:t xml:space="preserve">in change direction </w:t>
      </w:r>
      <w:r w:rsidRPr="002C4CA5">
        <w:rPr>
          <w:rFonts w:ascii="Arial" w:hAnsi="Arial" w:cs="Arial"/>
          <w:sz w:val="18"/>
          <w:szCs w:val="18"/>
          <w:lang w:val="en-US"/>
        </w:rPr>
        <w:t>with change</w:t>
      </w:r>
      <w:r>
        <w:rPr>
          <w:rFonts w:ascii="Arial" w:hAnsi="Arial" w:cs="Arial"/>
          <w:sz w:val="18"/>
          <w:szCs w:val="18"/>
          <w:lang w:val="en-US"/>
        </w:rPr>
        <w:t>s</w:t>
      </w:r>
      <w:r w:rsidRPr="002C4CA5">
        <w:rPr>
          <w:rFonts w:ascii="Arial" w:hAnsi="Arial" w:cs="Arial"/>
          <w:sz w:val="18"/>
          <w:szCs w:val="18"/>
          <w:lang w:val="en-US"/>
        </w:rPr>
        <w:t xml:space="preserve"> reported </w:t>
      </w:r>
      <w:r>
        <w:rPr>
          <w:rFonts w:ascii="Arial" w:hAnsi="Arial" w:cs="Arial"/>
          <w:sz w:val="18"/>
          <w:szCs w:val="18"/>
          <w:lang w:val="en-US"/>
        </w:rPr>
        <w:t>in</w:t>
      </w:r>
      <w:r w:rsidRPr="002C4CA5">
        <w:rPr>
          <w:rFonts w:ascii="Arial" w:hAnsi="Arial" w:cs="Arial"/>
          <w:sz w:val="18"/>
          <w:szCs w:val="18"/>
          <w:lang w:val="en-US"/>
        </w:rPr>
        <w:t xml:space="preserve"> national </w:t>
      </w:r>
      <w:r>
        <w:rPr>
          <w:rFonts w:ascii="Arial" w:hAnsi="Arial" w:cs="Arial"/>
          <w:sz w:val="18"/>
          <w:szCs w:val="18"/>
          <w:lang w:val="en-US"/>
        </w:rPr>
        <w:t xml:space="preserve">FAO </w:t>
      </w:r>
      <w:r w:rsidRPr="002C4CA5">
        <w:rPr>
          <w:rFonts w:ascii="Arial" w:hAnsi="Arial" w:cs="Arial"/>
          <w:sz w:val="18"/>
          <w:szCs w:val="18"/>
          <w:lang w:val="en-US"/>
        </w:rPr>
        <w:t xml:space="preserve">statistics on </w:t>
      </w:r>
      <w:r>
        <w:rPr>
          <w:rFonts w:ascii="Arial" w:hAnsi="Arial" w:cs="Arial"/>
          <w:sz w:val="18"/>
          <w:szCs w:val="18"/>
          <w:lang w:val="en-US"/>
        </w:rPr>
        <w:t>arable-land</w:t>
      </w:r>
      <w:r w:rsidRPr="002C4CA5">
        <w:rPr>
          <w:rFonts w:ascii="Arial" w:hAnsi="Arial" w:cs="Arial"/>
          <w:sz w:val="18"/>
          <w:szCs w:val="18"/>
          <w:lang w:val="en-US"/>
        </w:rPr>
        <w:t xml:space="preserve"> areas. </w:t>
      </w:r>
      <w:r w:rsidRPr="002C4CA5">
        <w:rPr>
          <w:rFonts w:ascii="Arial" w:hAnsi="Arial" w:cs="Arial"/>
          <w:b/>
          <w:bCs/>
          <w:sz w:val="18"/>
          <w:szCs w:val="18"/>
          <w:lang w:val="en-US"/>
        </w:rPr>
        <w:t>a</w:t>
      </w:r>
      <w:r w:rsidRPr="002C4CA5">
        <w:rPr>
          <w:rFonts w:ascii="Arial" w:hAnsi="Arial" w:cs="Arial"/>
          <w:sz w:val="18"/>
          <w:szCs w:val="18"/>
          <w:lang w:val="en-US"/>
        </w:rPr>
        <w:t xml:space="preserve">) </w:t>
      </w:r>
      <w:r>
        <w:rPr>
          <w:rFonts w:ascii="Arial" w:hAnsi="Arial" w:cs="Arial"/>
          <w:sz w:val="18"/>
          <w:szCs w:val="18"/>
          <w:lang w:val="en-US"/>
        </w:rPr>
        <w:t>I</w:t>
      </w:r>
      <w:r w:rsidRPr="002C4CA5">
        <w:rPr>
          <w:rFonts w:ascii="Arial" w:hAnsi="Arial" w:cs="Arial"/>
          <w:sz w:val="18"/>
          <w:szCs w:val="18"/>
          <w:lang w:val="en-US"/>
        </w:rPr>
        <w:t>nstances whe</w:t>
      </w:r>
      <w:r>
        <w:rPr>
          <w:rFonts w:ascii="Arial" w:hAnsi="Arial" w:cs="Arial"/>
          <w:sz w:val="18"/>
          <w:szCs w:val="18"/>
          <w:lang w:val="en-US"/>
        </w:rPr>
        <w:t>re</w:t>
      </w:r>
      <w:r w:rsidRPr="002C4CA5">
        <w:rPr>
          <w:rFonts w:ascii="Arial" w:hAnsi="Arial" w:cs="Arial"/>
          <w:sz w:val="18"/>
          <w:szCs w:val="18"/>
          <w:lang w:val="en-US"/>
        </w:rPr>
        <w:t xml:space="preserve"> </w:t>
      </w:r>
      <w:r>
        <w:rPr>
          <w:rFonts w:ascii="Arial" w:hAnsi="Arial" w:cs="Arial"/>
          <w:sz w:val="18"/>
          <w:szCs w:val="18"/>
          <w:lang w:val="en-US"/>
        </w:rPr>
        <w:t>GLAD</w:t>
      </w:r>
      <w:r w:rsidRPr="002C4CA5">
        <w:rPr>
          <w:rFonts w:ascii="Arial" w:hAnsi="Arial" w:cs="Arial"/>
          <w:sz w:val="18"/>
          <w:szCs w:val="18"/>
          <w:lang w:val="en-US"/>
        </w:rPr>
        <w:t xml:space="preserve"> m</w:t>
      </w:r>
      <w:r>
        <w:rPr>
          <w:rFonts w:ascii="Arial" w:hAnsi="Arial" w:cs="Arial"/>
          <w:sz w:val="18"/>
          <w:szCs w:val="18"/>
          <w:lang w:val="en-US"/>
        </w:rPr>
        <w:t xml:space="preserve">aps losses whereas statistics indicates gains. </w:t>
      </w:r>
      <w:r>
        <w:rPr>
          <w:rFonts w:ascii="Arial" w:hAnsi="Arial" w:cs="Arial"/>
          <w:b/>
          <w:bCs/>
          <w:sz w:val="18"/>
          <w:szCs w:val="18"/>
          <w:lang w:val="en-US"/>
        </w:rPr>
        <w:t>b</w:t>
      </w:r>
      <w:r>
        <w:rPr>
          <w:rFonts w:ascii="Arial" w:hAnsi="Arial" w:cs="Arial"/>
          <w:sz w:val="18"/>
          <w:szCs w:val="18"/>
          <w:lang w:val="en-US"/>
        </w:rPr>
        <w:t xml:space="preserve">) Instances where GLAD maps gains whereas statistics map losses. Comparing </w:t>
      </w:r>
      <w:r>
        <w:rPr>
          <w:rFonts w:ascii="Arial" w:hAnsi="Arial" w:cs="Arial"/>
          <w:b/>
          <w:bCs/>
          <w:sz w:val="18"/>
          <w:szCs w:val="18"/>
          <w:lang w:val="en-US"/>
        </w:rPr>
        <w:t>a</w:t>
      </w:r>
      <w:r>
        <w:rPr>
          <w:rFonts w:ascii="Arial" w:hAnsi="Arial" w:cs="Arial"/>
          <w:sz w:val="18"/>
          <w:szCs w:val="18"/>
          <w:lang w:val="en-US"/>
        </w:rPr>
        <w:t xml:space="preserve">) and </w:t>
      </w:r>
      <w:r>
        <w:rPr>
          <w:rFonts w:ascii="Arial" w:hAnsi="Arial" w:cs="Arial"/>
          <w:b/>
          <w:bCs/>
          <w:sz w:val="18"/>
          <w:szCs w:val="18"/>
          <w:lang w:val="en-US"/>
        </w:rPr>
        <w:t>b</w:t>
      </w:r>
      <w:r>
        <w:rPr>
          <w:rFonts w:ascii="Arial" w:hAnsi="Arial" w:cs="Arial"/>
          <w:sz w:val="18"/>
          <w:szCs w:val="18"/>
          <w:lang w:val="en-US"/>
        </w:rPr>
        <w:t>) shows that whereas cases where GLAD potentially mischaracterizes true arable-land gains as losses are rare, those cases where GLAD potentially mischaracterizes true losses as gains are common and occur globally.</w:t>
      </w:r>
    </w:p>
    <w:p w14:paraId="1A73F4C1" w14:textId="77777777" w:rsidR="00636EA9" w:rsidRDefault="00636EA9" w:rsidP="00636EA9">
      <w:pPr>
        <w:spacing w:before="240" w:line="360" w:lineRule="auto"/>
        <w:jc w:val="center"/>
        <w:rPr>
          <w:rFonts w:ascii="Arial" w:hAnsi="Arial" w:cs="Arial"/>
          <w:sz w:val="18"/>
        </w:rPr>
      </w:pPr>
      <w:r>
        <w:rPr>
          <w:noProof/>
          <w:sz w:val="16"/>
          <w:szCs w:val="16"/>
        </w:rPr>
        <w:drawing>
          <wp:inline distT="0" distB="0" distL="0" distR="0" wp14:anchorId="5DD96077" wp14:editId="7756AE03">
            <wp:extent cx="5094742" cy="2042164"/>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94742" cy="2042164"/>
                    </a:xfrm>
                    <a:prstGeom prst="rect">
                      <a:avLst/>
                    </a:prstGeom>
                  </pic:spPr>
                </pic:pic>
              </a:graphicData>
            </a:graphic>
          </wp:inline>
        </w:drawing>
      </w:r>
    </w:p>
    <w:p w14:paraId="6D814695" w14:textId="77777777" w:rsidR="00636EA9" w:rsidRPr="006E4921" w:rsidRDefault="00636EA9" w:rsidP="00636EA9">
      <w:pPr>
        <w:spacing w:line="360" w:lineRule="auto"/>
        <w:jc w:val="both"/>
        <w:rPr>
          <w:rFonts w:ascii="Arial" w:hAnsi="Arial" w:cs="Arial"/>
          <w:sz w:val="18"/>
        </w:rPr>
      </w:pPr>
      <w:r w:rsidRPr="0081148F">
        <w:rPr>
          <w:rFonts w:ascii="Arial" w:hAnsi="Arial" w:cs="Arial"/>
          <w:b/>
          <w:sz w:val="18"/>
        </w:rPr>
        <w:t xml:space="preserve">Extended Data Figure 7 – Comparison of trends in </w:t>
      </w:r>
      <w:r w:rsidRPr="006E4921">
        <w:rPr>
          <w:rFonts w:ascii="Arial" w:hAnsi="Arial" w:cs="Arial"/>
          <w:b/>
          <w:sz w:val="18"/>
        </w:rPr>
        <w:t xml:space="preserve">seasonal </w:t>
      </w:r>
      <w:r w:rsidRPr="0081148F">
        <w:rPr>
          <w:rFonts w:ascii="Arial" w:hAnsi="Arial" w:cs="Arial"/>
          <w:b/>
          <w:sz w:val="18"/>
        </w:rPr>
        <w:t>surface water between GSW and gauge station data</w:t>
      </w:r>
      <w:r w:rsidRPr="0081148F">
        <w:rPr>
          <w:rFonts w:ascii="Arial" w:hAnsi="Arial" w:cs="Arial"/>
          <w:sz w:val="18"/>
        </w:rPr>
        <w:t xml:space="preserve">. </w:t>
      </w:r>
      <w:r w:rsidRPr="0081148F">
        <w:rPr>
          <w:rFonts w:ascii="Arial" w:hAnsi="Arial" w:cs="Arial"/>
          <w:b/>
          <w:sz w:val="18"/>
        </w:rPr>
        <w:t>a)</w:t>
      </w:r>
      <w:r w:rsidRPr="0081148F">
        <w:rPr>
          <w:rFonts w:ascii="Arial" w:hAnsi="Arial" w:cs="Arial"/>
          <w:sz w:val="18"/>
        </w:rPr>
        <w:t xml:space="preserve"> Locations of gauge-station records of water-discharge changes that were compared against changes in the percentages of upstream hydrological (sub-)basins that are covered by seasonal surface water according to the Landsat-based GSW product. Colours indicate qualitative agreement/disagreement on significant directional trends (</w:t>
      </w:r>
      <w:r w:rsidRPr="006E4921">
        <w:rPr>
          <w:rFonts w:ascii="Arial" w:hAnsi="Arial" w:cs="Arial"/>
          <w:i/>
          <w:sz w:val="18"/>
        </w:rPr>
        <w:t>p</w:t>
      </w:r>
      <w:r w:rsidRPr="0081148F">
        <w:rPr>
          <w:rFonts w:ascii="Arial" w:hAnsi="Arial" w:cs="Arial"/>
          <w:sz w:val="18"/>
        </w:rPr>
        <w:t xml:space="preserve">&lt;0.05, based on Mann-Kendall tests) between discharge measurements (gauge stations) and seasonal surface-water data (GSW). Bright red: perceived increasing trends in surface-water cover are </w:t>
      </w:r>
      <w:r w:rsidRPr="006E4921">
        <w:rPr>
          <w:rFonts w:ascii="Arial" w:hAnsi="Arial" w:cs="Arial"/>
          <w:i/>
          <w:sz w:val="18"/>
        </w:rPr>
        <w:t>not</w:t>
      </w:r>
      <w:r w:rsidRPr="0081148F">
        <w:rPr>
          <w:rFonts w:ascii="Arial" w:hAnsi="Arial" w:cs="Arial"/>
          <w:sz w:val="18"/>
        </w:rPr>
        <w:t xml:space="preserve"> supported by increasing discharge trends; pale red: perceived decreasing trends in surface-water cover </w:t>
      </w:r>
      <w:r w:rsidRPr="006E4921">
        <w:rPr>
          <w:rFonts w:ascii="Arial" w:hAnsi="Arial" w:cs="Arial"/>
          <w:i/>
          <w:sz w:val="18"/>
        </w:rPr>
        <w:t>not</w:t>
      </w:r>
      <w:r w:rsidRPr="0081148F">
        <w:rPr>
          <w:rFonts w:ascii="Arial" w:hAnsi="Arial" w:cs="Arial"/>
          <w:sz w:val="18"/>
        </w:rPr>
        <w:t xml:space="preserve"> supported by decreasing discharge trends; bright blue: perceived decreasing trends in surface-water cover </w:t>
      </w:r>
      <w:r w:rsidRPr="006E4921">
        <w:rPr>
          <w:rFonts w:ascii="Arial" w:hAnsi="Arial" w:cs="Arial"/>
          <w:i/>
          <w:sz w:val="18"/>
        </w:rPr>
        <w:t>supported</w:t>
      </w:r>
      <w:r w:rsidRPr="0081148F">
        <w:rPr>
          <w:rFonts w:ascii="Arial" w:hAnsi="Arial" w:cs="Arial"/>
          <w:sz w:val="18"/>
        </w:rPr>
        <w:t xml:space="preserve"> by decreasing discharge trends; pale blue: perceived increasing trends in surface-water cover </w:t>
      </w:r>
      <w:r w:rsidRPr="006E4921">
        <w:rPr>
          <w:rFonts w:ascii="Arial" w:hAnsi="Arial" w:cs="Arial"/>
          <w:i/>
          <w:sz w:val="18"/>
        </w:rPr>
        <w:t>supported</w:t>
      </w:r>
      <w:r w:rsidRPr="0081148F">
        <w:rPr>
          <w:rFonts w:ascii="Arial" w:hAnsi="Arial" w:cs="Arial"/>
          <w:sz w:val="18"/>
        </w:rPr>
        <w:t xml:space="preserve"> by increasing discharge trends. </w:t>
      </w:r>
      <w:r w:rsidRPr="0081148F">
        <w:rPr>
          <w:rFonts w:ascii="Arial" w:hAnsi="Arial" w:cs="Arial"/>
          <w:b/>
          <w:sz w:val="18"/>
        </w:rPr>
        <w:t>b)</w:t>
      </w:r>
      <w:r w:rsidRPr="0081148F">
        <w:rPr>
          <w:rFonts w:ascii="Arial" w:hAnsi="Arial" w:cs="Arial"/>
          <w:sz w:val="18"/>
        </w:rPr>
        <w:t xml:space="preserve"> Percentages of hydrological (sub-)basins per continent showing each type of agreement/disagreement between recorded water-discharge (gauge stations) and perceived seasonal surface-water trends. </w:t>
      </w:r>
    </w:p>
    <w:p w14:paraId="1BA4F574" w14:textId="77777777" w:rsidR="00755780" w:rsidRDefault="00755780"/>
    <w:sectPr w:rsidR="00755780" w:rsidSect="003C15C0">
      <w:footerReference w:type="default" r:id="rId11"/>
      <w:pgSz w:w="11900" w:h="16840"/>
      <w:pgMar w:top="1440" w:right="1361" w:bottom="1440" w:left="1440" w:header="2228" w:footer="0" w:gutter="0"/>
      <w:lnNumType w:countBy="1" w:restart="continuous"/>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84537155"/>
      <w:docPartObj>
        <w:docPartGallery w:val="Page Numbers (Bottom of Page)"/>
        <w:docPartUnique/>
      </w:docPartObj>
    </w:sdtPr>
    <w:sdtEndPr>
      <w:rPr>
        <w:noProof/>
      </w:rPr>
    </w:sdtEndPr>
    <w:sdtContent>
      <w:p w14:paraId="535EA1CC" w14:textId="77777777" w:rsidR="00FA48E5" w:rsidRDefault="00636EA9">
        <w:pPr>
          <w:pStyle w:val="Footer"/>
          <w:jc w:val="right"/>
        </w:pPr>
        <w:r>
          <w:fldChar w:fldCharType="begin"/>
        </w:r>
        <w:r>
          <w:instrText xml:space="preserve"> PAGE   \* MERGEFORMAT </w:instrText>
        </w:r>
        <w:r>
          <w:fldChar w:fldCharType="separate"/>
        </w:r>
        <w:r>
          <w:rPr>
            <w:noProof/>
          </w:rPr>
          <w:t>10</w:t>
        </w:r>
        <w:r>
          <w:rPr>
            <w:noProof/>
          </w:rPr>
          <w:fldChar w:fldCharType="end"/>
        </w:r>
      </w:p>
    </w:sdtContent>
  </w:sdt>
  <w:p w14:paraId="707200EC" w14:textId="77777777" w:rsidR="00FA48E5" w:rsidRDefault="00636EA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EA9"/>
    <w:rsid w:val="00636EA9"/>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D643E"/>
  <w15:chartTrackingRefBased/>
  <w15:docId w15:val="{3B39AFD5-096D-42F9-AF5E-AD1160F8A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EA9"/>
    <w:rPr>
      <w:lang w:val="en-GB"/>
    </w:rPr>
  </w:style>
  <w:style w:type="paragraph" w:styleId="Heading1">
    <w:name w:val="heading 1"/>
    <w:basedOn w:val="Normal"/>
    <w:next w:val="Normal"/>
    <w:link w:val="Heading1Char"/>
    <w:uiPriority w:val="9"/>
    <w:qFormat/>
    <w:rsid w:val="00636EA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6EA9"/>
    <w:rPr>
      <w:rFonts w:asciiTheme="majorHAnsi" w:eastAsiaTheme="majorEastAsia" w:hAnsiTheme="majorHAnsi" w:cstheme="majorBidi"/>
      <w:color w:val="2F5496" w:themeColor="accent1" w:themeShade="BF"/>
      <w:sz w:val="32"/>
      <w:szCs w:val="32"/>
      <w:lang w:val="en-GB"/>
    </w:rPr>
  </w:style>
  <w:style w:type="paragraph" w:styleId="Footer">
    <w:name w:val="footer"/>
    <w:basedOn w:val="Normal"/>
    <w:link w:val="FooterChar"/>
    <w:uiPriority w:val="99"/>
    <w:unhideWhenUsed/>
    <w:rsid w:val="00636E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6EA9"/>
    <w:rPr>
      <w:lang w:val="en-GB"/>
    </w:rPr>
  </w:style>
  <w:style w:type="character" w:styleId="LineNumber">
    <w:name w:val="line number"/>
    <w:basedOn w:val="DefaultParagraphFont"/>
    <w:uiPriority w:val="99"/>
    <w:semiHidden/>
    <w:unhideWhenUsed/>
    <w:rsid w:val="00636E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1.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1065</Words>
  <Characters>6077</Characters>
  <Application>Microsoft Office Word</Application>
  <DocSecurity>0</DocSecurity>
  <Lines>50</Lines>
  <Paragraphs>14</Paragraphs>
  <ScaleCrop>false</ScaleCrop>
  <Company>Springer Nature</Company>
  <LinksUpToDate>false</LinksUpToDate>
  <CharactersWithSpaces>7128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2023-05-19T03:31:00Z</dcterms:created>
  <dcterms:modified xsi:type="dcterms:W3CDTF">2023-05-19T03:31:00Z</dcterms:modified>
</cp:coreProperties>
</file>