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114EE" w14:textId="0C4E91A0" w:rsidR="00516C12" w:rsidRPr="00EF13EF" w:rsidRDefault="006C436C" w:rsidP="006C436C">
      <w:pPr>
        <w:jc w:val="center"/>
        <w:rPr>
          <w:rFonts w:asciiTheme="majorBidi" w:hAnsiTheme="majorBidi" w:cstheme="majorBidi"/>
          <w:b/>
          <w:bCs/>
          <w:sz w:val="32"/>
          <w:szCs w:val="32"/>
        </w:rPr>
      </w:pPr>
      <w:bookmarkStart w:id="0" w:name="_Hlk129384744"/>
      <w:r w:rsidRPr="00EF13EF">
        <w:rPr>
          <w:rFonts w:asciiTheme="majorBidi" w:hAnsiTheme="majorBidi" w:cstheme="majorBidi"/>
          <w:b/>
          <w:bCs/>
          <w:sz w:val="32"/>
          <w:szCs w:val="32"/>
        </w:rPr>
        <w:t>Supplementary material</w:t>
      </w:r>
    </w:p>
    <w:bookmarkEnd w:id="0"/>
    <w:p w14:paraId="3954D4DA" w14:textId="77777777" w:rsidR="006C436C" w:rsidRPr="00EF13EF" w:rsidRDefault="006C436C" w:rsidP="006C436C">
      <w:pPr>
        <w:jc w:val="center"/>
        <w:rPr>
          <w:rFonts w:asciiTheme="majorBidi" w:hAnsiTheme="majorBidi" w:cstheme="majorBidi"/>
          <w:b/>
          <w:bCs/>
          <w:sz w:val="24"/>
          <w:szCs w:val="24"/>
        </w:rPr>
      </w:pPr>
    </w:p>
    <w:p w14:paraId="0C07A982" w14:textId="77777777" w:rsidR="006C436C" w:rsidRPr="00EF13EF" w:rsidRDefault="006C436C" w:rsidP="006C436C">
      <w:pPr>
        <w:spacing w:line="480" w:lineRule="auto"/>
        <w:jc w:val="center"/>
        <w:rPr>
          <w:rFonts w:asciiTheme="majorBidi" w:hAnsiTheme="majorBidi" w:cstheme="majorBidi"/>
          <w:b/>
          <w:sz w:val="32"/>
          <w:szCs w:val="32"/>
        </w:rPr>
      </w:pPr>
      <w:r w:rsidRPr="00EF13EF">
        <w:rPr>
          <w:rFonts w:asciiTheme="majorBidi" w:hAnsiTheme="majorBidi" w:cstheme="majorBidi"/>
          <w:b/>
          <w:sz w:val="32"/>
          <w:szCs w:val="32"/>
        </w:rPr>
        <w:t xml:space="preserve">3D modeling of </w:t>
      </w:r>
      <w:r w:rsidRPr="00EF13EF">
        <w:rPr>
          <w:rFonts w:asciiTheme="majorBidi" w:hAnsiTheme="majorBidi" w:cstheme="majorBidi"/>
          <w:b/>
          <w:i/>
          <w:sz w:val="32"/>
          <w:szCs w:val="32"/>
        </w:rPr>
        <w:t>in vivo</w:t>
      </w:r>
      <w:r w:rsidRPr="00EF13EF">
        <w:rPr>
          <w:rFonts w:asciiTheme="majorBidi" w:hAnsiTheme="majorBidi" w:cstheme="majorBidi"/>
          <w:b/>
          <w:sz w:val="32"/>
          <w:szCs w:val="32"/>
        </w:rPr>
        <w:t xml:space="preserve"> MRI guided nano-photothermal therapy mediated by magneto-plasmonic nanohybrids </w:t>
      </w:r>
    </w:p>
    <w:p w14:paraId="1CFE8B2A" w14:textId="77777777" w:rsidR="006C436C" w:rsidRPr="00EF13EF" w:rsidRDefault="006C436C" w:rsidP="006C436C">
      <w:pPr>
        <w:spacing w:line="480" w:lineRule="auto"/>
        <w:jc w:val="center"/>
        <w:rPr>
          <w:rFonts w:asciiTheme="majorBidi" w:hAnsiTheme="majorBidi" w:cstheme="majorBidi"/>
          <w:i/>
          <w:sz w:val="32"/>
          <w:szCs w:val="32"/>
        </w:rPr>
      </w:pPr>
    </w:p>
    <w:p w14:paraId="6C2D80CE" w14:textId="77777777" w:rsidR="006C436C" w:rsidRPr="00EF13EF" w:rsidRDefault="006C436C" w:rsidP="006C436C">
      <w:pPr>
        <w:spacing w:line="480" w:lineRule="auto"/>
        <w:jc w:val="center"/>
        <w:rPr>
          <w:rFonts w:asciiTheme="majorBidi" w:hAnsiTheme="majorBidi" w:cstheme="majorBidi"/>
          <w:sz w:val="24"/>
          <w:szCs w:val="24"/>
        </w:rPr>
      </w:pPr>
      <w:r w:rsidRPr="00EF13EF">
        <w:rPr>
          <w:rFonts w:asciiTheme="majorBidi" w:hAnsiTheme="majorBidi" w:cstheme="majorBidi"/>
          <w:sz w:val="24"/>
          <w:szCs w:val="24"/>
        </w:rPr>
        <w:t>Zahed Tavangari</w:t>
      </w:r>
      <w:r w:rsidRPr="00EF13EF">
        <w:rPr>
          <w:rFonts w:asciiTheme="majorBidi" w:hAnsiTheme="majorBidi" w:cstheme="majorBidi"/>
          <w:sz w:val="24"/>
          <w:szCs w:val="24"/>
          <w:vertAlign w:val="superscript"/>
        </w:rPr>
        <w:t>1,2</w:t>
      </w:r>
      <w:r w:rsidRPr="00EF13EF">
        <w:rPr>
          <w:rFonts w:asciiTheme="majorBidi" w:hAnsiTheme="majorBidi" w:cstheme="majorBidi"/>
          <w:sz w:val="24"/>
          <w:szCs w:val="24"/>
        </w:rPr>
        <w:t>, Mohammadreza Asadi</w:t>
      </w:r>
      <w:r w:rsidRPr="00EF13EF">
        <w:rPr>
          <w:rFonts w:asciiTheme="majorBidi" w:hAnsiTheme="majorBidi" w:cstheme="majorBidi"/>
          <w:sz w:val="24"/>
          <w:szCs w:val="24"/>
          <w:vertAlign w:val="superscript"/>
        </w:rPr>
        <w:t>1</w:t>
      </w:r>
      <w:r w:rsidRPr="00EF13EF">
        <w:rPr>
          <w:rFonts w:asciiTheme="majorBidi" w:hAnsiTheme="majorBidi" w:cstheme="majorBidi"/>
          <w:sz w:val="24"/>
          <w:szCs w:val="24"/>
        </w:rPr>
        <w:t>, Rasoul Irajirad</w:t>
      </w:r>
      <w:r w:rsidRPr="00EF13EF">
        <w:rPr>
          <w:rFonts w:asciiTheme="majorBidi" w:hAnsiTheme="majorBidi" w:cstheme="majorBidi"/>
          <w:sz w:val="24"/>
          <w:szCs w:val="24"/>
          <w:vertAlign w:val="superscript"/>
        </w:rPr>
        <w:t>1</w:t>
      </w:r>
      <w:r w:rsidRPr="00EF13EF">
        <w:rPr>
          <w:rFonts w:asciiTheme="majorBidi" w:hAnsiTheme="majorBidi" w:cstheme="majorBidi"/>
          <w:sz w:val="24"/>
          <w:szCs w:val="24"/>
        </w:rPr>
        <w:t>, Abolfazl Sarikhani</w:t>
      </w:r>
      <w:r w:rsidRPr="00EF13EF">
        <w:rPr>
          <w:rFonts w:asciiTheme="majorBidi" w:hAnsiTheme="majorBidi" w:cstheme="majorBidi"/>
          <w:sz w:val="24"/>
          <w:szCs w:val="24"/>
          <w:vertAlign w:val="superscript"/>
        </w:rPr>
        <w:t>1,2</w:t>
      </w:r>
      <w:r w:rsidRPr="00EF13EF">
        <w:rPr>
          <w:rFonts w:asciiTheme="majorBidi" w:hAnsiTheme="majorBidi" w:cstheme="majorBidi"/>
          <w:sz w:val="24"/>
          <w:szCs w:val="24"/>
        </w:rPr>
        <w:t xml:space="preserve">, </w:t>
      </w:r>
      <w:r w:rsidRPr="00EF13EF">
        <w:rPr>
          <w:rFonts w:asciiTheme="majorBidi" w:hAnsiTheme="majorBidi" w:cstheme="majorBidi"/>
          <w:sz w:val="24"/>
          <w:szCs w:val="24"/>
        </w:rPr>
        <w:br/>
        <w:t>Zahra Alamzadeh</w:t>
      </w:r>
      <w:r w:rsidRPr="00EF13EF">
        <w:rPr>
          <w:rFonts w:asciiTheme="majorBidi" w:hAnsiTheme="majorBidi" w:cstheme="majorBidi"/>
          <w:sz w:val="24"/>
          <w:szCs w:val="24"/>
          <w:vertAlign w:val="superscript"/>
        </w:rPr>
        <w:t>1</w:t>
      </w:r>
      <w:r w:rsidRPr="00EF13EF">
        <w:rPr>
          <w:rFonts w:asciiTheme="majorBidi" w:hAnsiTheme="majorBidi" w:cstheme="majorBidi"/>
          <w:sz w:val="24"/>
          <w:szCs w:val="24"/>
        </w:rPr>
        <w:t>, Habib Ghaznavi</w:t>
      </w:r>
      <w:r w:rsidRPr="00EF13EF">
        <w:rPr>
          <w:rFonts w:asciiTheme="majorBidi" w:hAnsiTheme="majorBidi" w:cstheme="majorBidi"/>
          <w:sz w:val="24"/>
          <w:szCs w:val="24"/>
          <w:vertAlign w:val="superscript"/>
        </w:rPr>
        <w:t>3,*</w:t>
      </w:r>
      <w:r w:rsidRPr="00EF13EF">
        <w:rPr>
          <w:rFonts w:asciiTheme="majorBidi" w:hAnsiTheme="majorBidi" w:cstheme="majorBidi"/>
          <w:sz w:val="24"/>
          <w:szCs w:val="24"/>
        </w:rPr>
        <w:t>, Samideh Khoei</w:t>
      </w:r>
      <w:r w:rsidRPr="00EF13EF">
        <w:rPr>
          <w:rFonts w:asciiTheme="majorBidi" w:hAnsiTheme="majorBidi" w:cstheme="majorBidi"/>
          <w:sz w:val="24"/>
          <w:szCs w:val="24"/>
          <w:vertAlign w:val="superscript"/>
        </w:rPr>
        <w:t>1,2,*</w:t>
      </w:r>
      <w:r w:rsidRPr="00EF13EF">
        <w:rPr>
          <w:rFonts w:asciiTheme="majorBidi" w:hAnsiTheme="majorBidi" w:cstheme="majorBidi"/>
          <w:sz w:val="24"/>
          <w:szCs w:val="24"/>
        </w:rPr>
        <w:t xml:space="preserve"> </w:t>
      </w:r>
    </w:p>
    <w:p w14:paraId="28B341AB" w14:textId="77777777" w:rsidR="006C436C" w:rsidRPr="00EF13EF" w:rsidRDefault="006C436C" w:rsidP="006C436C">
      <w:pPr>
        <w:spacing w:line="480" w:lineRule="auto"/>
        <w:jc w:val="center"/>
        <w:rPr>
          <w:rFonts w:asciiTheme="majorBidi" w:hAnsiTheme="majorBidi" w:cstheme="majorBidi"/>
          <w:sz w:val="24"/>
          <w:szCs w:val="24"/>
        </w:rPr>
      </w:pPr>
    </w:p>
    <w:p w14:paraId="7FEB0712" w14:textId="77777777" w:rsidR="006C436C" w:rsidRPr="00EF13EF" w:rsidRDefault="006C436C" w:rsidP="006C436C">
      <w:pPr>
        <w:spacing w:line="360" w:lineRule="auto"/>
        <w:jc w:val="both"/>
        <w:rPr>
          <w:rFonts w:asciiTheme="majorBidi" w:hAnsiTheme="majorBidi" w:cstheme="majorBidi"/>
          <w:i/>
        </w:rPr>
      </w:pPr>
      <w:r w:rsidRPr="00EF13EF">
        <w:rPr>
          <w:rFonts w:asciiTheme="majorBidi" w:hAnsiTheme="majorBidi" w:cstheme="majorBidi"/>
          <w:i/>
          <w:vertAlign w:val="superscript"/>
        </w:rPr>
        <w:t>1</w:t>
      </w:r>
      <w:r w:rsidRPr="00EF13EF">
        <w:rPr>
          <w:rFonts w:asciiTheme="majorBidi" w:hAnsiTheme="majorBidi" w:cstheme="majorBidi"/>
          <w:i/>
        </w:rPr>
        <w:t>Finetech in Medicine Research Center, Iran University of Medical Sciences, Tehran, Iran</w:t>
      </w:r>
    </w:p>
    <w:p w14:paraId="767B4874" w14:textId="77777777" w:rsidR="006C436C" w:rsidRPr="00EF13EF" w:rsidRDefault="006C436C" w:rsidP="006C436C">
      <w:pPr>
        <w:spacing w:line="360" w:lineRule="auto"/>
        <w:jc w:val="both"/>
        <w:rPr>
          <w:rFonts w:asciiTheme="majorBidi" w:hAnsiTheme="majorBidi" w:cstheme="majorBidi"/>
          <w:i/>
        </w:rPr>
      </w:pPr>
      <w:r w:rsidRPr="00EF13EF">
        <w:rPr>
          <w:rFonts w:asciiTheme="majorBidi" w:hAnsiTheme="majorBidi" w:cstheme="majorBidi"/>
          <w:i/>
          <w:vertAlign w:val="superscript"/>
        </w:rPr>
        <w:t>2</w:t>
      </w:r>
      <w:r w:rsidRPr="00EF13EF">
        <w:rPr>
          <w:rFonts w:asciiTheme="majorBidi" w:hAnsiTheme="majorBidi" w:cstheme="majorBidi"/>
          <w:i/>
        </w:rPr>
        <w:t>Medical Physics Department, Iran University of Medical Sciences, Tehran, Iran</w:t>
      </w:r>
    </w:p>
    <w:p w14:paraId="72978159" w14:textId="77777777" w:rsidR="006C436C" w:rsidRPr="00EF13EF" w:rsidRDefault="006C436C" w:rsidP="006C436C">
      <w:pPr>
        <w:spacing w:line="360" w:lineRule="auto"/>
        <w:jc w:val="both"/>
        <w:rPr>
          <w:rFonts w:asciiTheme="majorBidi" w:hAnsiTheme="majorBidi" w:cstheme="majorBidi"/>
          <w:i/>
        </w:rPr>
      </w:pPr>
      <w:r w:rsidRPr="00EF13EF">
        <w:rPr>
          <w:rFonts w:asciiTheme="majorBidi" w:hAnsiTheme="majorBidi" w:cstheme="majorBidi"/>
          <w:i/>
          <w:sz w:val="24"/>
          <w:szCs w:val="24"/>
          <w:vertAlign w:val="superscript"/>
        </w:rPr>
        <w:t>3</w:t>
      </w:r>
      <w:r w:rsidRPr="00EF13EF">
        <w:rPr>
          <w:rFonts w:asciiTheme="majorBidi" w:hAnsiTheme="majorBidi" w:cstheme="majorBidi"/>
          <w:i/>
        </w:rPr>
        <w:t>Pharmacology Research Center, Zahedan University of Medical Sciences, Zahedan, Iran</w:t>
      </w:r>
    </w:p>
    <w:p w14:paraId="394A333C" w14:textId="77777777" w:rsidR="006C436C" w:rsidRPr="00EF13EF" w:rsidRDefault="006C436C" w:rsidP="006C436C">
      <w:pPr>
        <w:spacing w:line="360" w:lineRule="auto"/>
        <w:jc w:val="both"/>
        <w:rPr>
          <w:rFonts w:asciiTheme="majorBidi" w:hAnsiTheme="majorBidi" w:cstheme="majorBidi"/>
          <w:i/>
        </w:rPr>
      </w:pPr>
    </w:p>
    <w:p w14:paraId="6E9C6108" w14:textId="77777777" w:rsidR="006C436C" w:rsidRPr="00EF13EF" w:rsidRDefault="006C436C" w:rsidP="006C436C">
      <w:pPr>
        <w:spacing w:line="276" w:lineRule="auto"/>
        <w:rPr>
          <w:rFonts w:asciiTheme="majorBidi" w:hAnsiTheme="majorBidi" w:cstheme="majorBidi"/>
          <w:b/>
          <w:i/>
          <w:sz w:val="24"/>
          <w:szCs w:val="24"/>
        </w:rPr>
      </w:pPr>
      <w:r w:rsidRPr="00EF13EF">
        <w:rPr>
          <w:rFonts w:asciiTheme="majorBidi" w:hAnsiTheme="majorBidi" w:cstheme="majorBidi"/>
          <w:sz w:val="24"/>
          <w:szCs w:val="24"/>
        </w:rPr>
        <w:t xml:space="preserve">(*) </w:t>
      </w:r>
      <w:r w:rsidRPr="00EF13EF">
        <w:rPr>
          <w:rFonts w:asciiTheme="majorBidi" w:hAnsiTheme="majorBidi" w:cstheme="majorBidi"/>
          <w:b/>
          <w:i/>
          <w:sz w:val="24"/>
          <w:szCs w:val="24"/>
        </w:rPr>
        <w:t>Corresponding authors:</w:t>
      </w:r>
    </w:p>
    <w:p w14:paraId="004360C1" w14:textId="77777777" w:rsidR="006C436C" w:rsidRPr="00EF13EF" w:rsidRDefault="006C436C" w:rsidP="006C436C">
      <w:pPr>
        <w:spacing w:line="276" w:lineRule="auto"/>
        <w:rPr>
          <w:rFonts w:asciiTheme="majorBidi" w:hAnsiTheme="majorBidi" w:cstheme="majorBidi"/>
          <w:sz w:val="24"/>
          <w:szCs w:val="24"/>
        </w:rPr>
      </w:pPr>
      <w:r w:rsidRPr="00EF13EF">
        <w:rPr>
          <w:rFonts w:asciiTheme="majorBidi" w:hAnsiTheme="majorBidi" w:cstheme="majorBidi"/>
          <w:sz w:val="24"/>
          <w:szCs w:val="24"/>
        </w:rPr>
        <w:t xml:space="preserve">H. Ghaznavi: </w:t>
      </w:r>
      <w:hyperlink r:id="rId8">
        <w:r w:rsidRPr="00EF13EF">
          <w:rPr>
            <w:rFonts w:asciiTheme="majorBidi" w:hAnsiTheme="majorBidi" w:cstheme="majorBidi"/>
          </w:rPr>
          <w:t>dr.ghaznavi@zaums.ac.ir</w:t>
        </w:r>
      </w:hyperlink>
      <w:r w:rsidRPr="00EF13EF">
        <w:rPr>
          <w:rFonts w:asciiTheme="majorBidi" w:hAnsiTheme="majorBidi" w:cstheme="majorBidi"/>
          <w:sz w:val="24"/>
          <w:szCs w:val="24"/>
        </w:rPr>
        <w:t xml:space="preserve">    </w:t>
      </w:r>
    </w:p>
    <w:p w14:paraId="33E36E82" w14:textId="77777777" w:rsidR="006C436C" w:rsidRPr="00EF13EF" w:rsidRDefault="006C436C" w:rsidP="006C436C">
      <w:pPr>
        <w:spacing w:line="276" w:lineRule="auto"/>
        <w:rPr>
          <w:rFonts w:asciiTheme="majorBidi" w:hAnsiTheme="majorBidi" w:cstheme="majorBidi"/>
          <w:sz w:val="24"/>
          <w:szCs w:val="24"/>
        </w:rPr>
      </w:pPr>
      <w:r w:rsidRPr="00EF13EF">
        <w:rPr>
          <w:rFonts w:asciiTheme="majorBidi" w:hAnsiTheme="majorBidi" w:cstheme="majorBidi"/>
          <w:i/>
          <w:sz w:val="20"/>
          <w:szCs w:val="20"/>
        </w:rPr>
        <w:t>Pharmacology Research Center, Zahedan University of Medical Sciences, Zahedan, Iran</w:t>
      </w:r>
    </w:p>
    <w:p w14:paraId="37133304" w14:textId="77777777" w:rsidR="006C436C" w:rsidRPr="00EF13EF" w:rsidRDefault="006C436C" w:rsidP="006C436C">
      <w:pPr>
        <w:spacing w:line="276" w:lineRule="auto"/>
        <w:rPr>
          <w:rFonts w:asciiTheme="majorBidi" w:hAnsiTheme="majorBidi" w:cstheme="majorBidi"/>
          <w:sz w:val="24"/>
          <w:szCs w:val="24"/>
          <w:u w:val="single"/>
        </w:rPr>
      </w:pPr>
      <w:r w:rsidRPr="00EF13EF">
        <w:rPr>
          <w:rFonts w:asciiTheme="majorBidi" w:hAnsiTheme="majorBidi" w:cstheme="majorBidi"/>
          <w:sz w:val="24"/>
          <w:szCs w:val="24"/>
        </w:rPr>
        <w:t xml:space="preserve">S. Khoei: </w:t>
      </w:r>
      <w:hyperlink r:id="rId9">
        <w:r w:rsidRPr="00EF13EF">
          <w:rPr>
            <w:rFonts w:asciiTheme="majorBidi" w:hAnsiTheme="majorBidi" w:cstheme="majorBidi"/>
            <w:sz w:val="24"/>
            <w:szCs w:val="24"/>
          </w:rPr>
          <w:t>khoei.s@iums.ac.ir</w:t>
        </w:r>
      </w:hyperlink>
    </w:p>
    <w:p w14:paraId="7698F4BF" w14:textId="77777777" w:rsidR="006C436C" w:rsidRPr="00EF13EF" w:rsidRDefault="006C436C" w:rsidP="006C436C">
      <w:pPr>
        <w:spacing w:line="276" w:lineRule="auto"/>
        <w:rPr>
          <w:rFonts w:asciiTheme="majorBidi" w:hAnsiTheme="majorBidi" w:cstheme="majorBidi"/>
          <w:i/>
          <w:sz w:val="20"/>
          <w:szCs w:val="20"/>
        </w:rPr>
      </w:pPr>
      <w:r w:rsidRPr="00EF13EF">
        <w:rPr>
          <w:rFonts w:asciiTheme="majorBidi" w:hAnsiTheme="majorBidi" w:cstheme="majorBidi"/>
          <w:i/>
          <w:sz w:val="20"/>
          <w:szCs w:val="20"/>
        </w:rPr>
        <w:t>Finetech in Medicine Research Center, Iran University of Medical Sciences, Tehran, Iran</w:t>
      </w:r>
    </w:p>
    <w:p w14:paraId="30905D74" w14:textId="3D35695D" w:rsidR="006C436C" w:rsidRPr="00EF13EF" w:rsidRDefault="006C436C" w:rsidP="006C436C">
      <w:pPr>
        <w:jc w:val="center"/>
        <w:rPr>
          <w:rFonts w:asciiTheme="majorBidi" w:hAnsiTheme="majorBidi" w:cstheme="majorBidi"/>
          <w:b/>
          <w:bCs/>
          <w:sz w:val="24"/>
          <w:szCs w:val="24"/>
        </w:rPr>
      </w:pPr>
    </w:p>
    <w:p w14:paraId="4517DE24" w14:textId="3FB1DE40" w:rsidR="006C436C" w:rsidRPr="00EF13EF" w:rsidRDefault="006C436C" w:rsidP="006C436C">
      <w:pPr>
        <w:jc w:val="center"/>
        <w:rPr>
          <w:rFonts w:asciiTheme="majorBidi" w:hAnsiTheme="majorBidi" w:cstheme="majorBidi"/>
          <w:b/>
          <w:bCs/>
          <w:sz w:val="24"/>
          <w:szCs w:val="24"/>
        </w:rPr>
      </w:pPr>
    </w:p>
    <w:p w14:paraId="25A8088E" w14:textId="3A5CF81E" w:rsidR="006C436C" w:rsidRPr="00EF13EF" w:rsidRDefault="006C436C" w:rsidP="006C436C">
      <w:pPr>
        <w:jc w:val="center"/>
        <w:rPr>
          <w:rFonts w:asciiTheme="majorBidi" w:hAnsiTheme="majorBidi" w:cstheme="majorBidi"/>
          <w:b/>
          <w:bCs/>
          <w:sz w:val="24"/>
          <w:szCs w:val="24"/>
        </w:rPr>
      </w:pPr>
    </w:p>
    <w:p w14:paraId="1BA76A25" w14:textId="009FDFB8" w:rsidR="006C436C" w:rsidRPr="00EF13EF" w:rsidRDefault="006C436C" w:rsidP="006C436C">
      <w:pPr>
        <w:jc w:val="center"/>
        <w:rPr>
          <w:rFonts w:asciiTheme="majorBidi" w:hAnsiTheme="majorBidi" w:cstheme="majorBidi"/>
          <w:b/>
          <w:bCs/>
          <w:sz w:val="24"/>
          <w:szCs w:val="24"/>
        </w:rPr>
      </w:pPr>
    </w:p>
    <w:p w14:paraId="105633E5" w14:textId="56118573" w:rsidR="006C436C" w:rsidRPr="00EF13EF" w:rsidRDefault="006C436C" w:rsidP="006C436C">
      <w:pPr>
        <w:jc w:val="center"/>
        <w:rPr>
          <w:rFonts w:asciiTheme="majorBidi" w:hAnsiTheme="majorBidi" w:cstheme="majorBidi"/>
          <w:b/>
          <w:bCs/>
          <w:sz w:val="24"/>
          <w:szCs w:val="24"/>
        </w:rPr>
      </w:pPr>
    </w:p>
    <w:p w14:paraId="79396706" w14:textId="2A325C66" w:rsidR="006C436C" w:rsidRPr="00EF13EF" w:rsidRDefault="006C436C" w:rsidP="006C436C">
      <w:pPr>
        <w:jc w:val="center"/>
        <w:rPr>
          <w:rFonts w:asciiTheme="majorBidi" w:hAnsiTheme="majorBidi" w:cstheme="majorBidi"/>
          <w:b/>
          <w:bCs/>
          <w:sz w:val="24"/>
          <w:szCs w:val="24"/>
        </w:rPr>
      </w:pPr>
    </w:p>
    <w:p w14:paraId="690F7B69" w14:textId="11FE5A7E" w:rsidR="006C436C" w:rsidRPr="00EF13EF" w:rsidRDefault="006C436C" w:rsidP="006C436C">
      <w:pPr>
        <w:jc w:val="center"/>
        <w:rPr>
          <w:rFonts w:asciiTheme="majorBidi" w:hAnsiTheme="majorBidi" w:cstheme="majorBidi"/>
          <w:b/>
          <w:bCs/>
          <w:sz w:val="24"/>
          <w:szCs w:val="24"/>
        </w:rPr>
      </w:pPr>
    </w:p>
    <w:p w14:paraId="65E2441A" w14:textId="345B795B" w:rsidR="006C436C" w:rsidRPr="00EF13EF" w:rsidRDefault="006C436C" w:rsidP="006C436C">
      <w:pPr>
        <w:rPr>
          <w:rFonts w:asciiTheme="majorBidi" w:hAnsiTheme="majorBidi" w:cstheme="majorBidi"/>
          <w:b/>
          <w:bCs/>
          <w:sz w:val="24"/>
          <w:szCs w:val="24"/>
        </w:rPr>
      </w:pPr>
    </w:p>
    <w:p w14:paraId="344B5EB8" w14:textId="4A7D7755" w:rsidR="006C436C" w:rsidRPr="00EF13EF" w:rsidRDefault="006C436C" w:rsidP="006C436C">
      <w:pPr>
        <w:jc w:val="center"/>
        <w:rPr>
          <w:rFonts w:asciiTheme="majorBidi" w:hAnsiTheme="majorBidi" w:cstheme="majorBidi"/>
          <w:b/>
          <w:bCs/>
          <w:sz w:val="24"/>
          <w:szCs w:val="24"/>
        </w:rPr>
      </w:pPr>
    </w:p>
    <w:p w14:paraId="4A57E473" w14:textId="4213A5EB" w:rsidR="006C436C" w:rsidRPr="00EF13EF" w:rsidRDefault="00C720E0" w:rsidP="00405E25">
      <w:pPr>
        <w:spacing w:line="480" w:lineRule="auto"/>
        <w:jc w:val="both"/>
        <w:rPr>
          <w:rFonts w:asciiTheme="majorBidi" w:hAnsiTheme="majorBidi" w:cstheme="majorBidi"/>
          <w:b/>
          <w:bCs/>
          <w:sz w:val="24"/>
          <w:szCs w:val="24"/>
        </w:rPr>
      </w:pPr>
      <w:r w:rsidRPr="00C720E0">
        <w:rPr>
          <w:rFonts w:asciiTheme="majorBidi" w:hAnsiTheme="majorBidi" w:cstheme="majorBidi"/>
          <w:b/>
          <w:bCs/>
          <w:sz w:val="24"/>
          <w:szCs w:val="24"/>
        </w:rPr>
        <w:lastRenderedPageBreak/>
        <w:t>Calculation of the photothermal conversion efficiency</w:t>
      </w:r>
      <w:r w:rsidR="00C17DDD">
        <w:rPr>
          <w:rFonts w:asciiTheme="majorBidi" w:hAnsiTheme="majorBidi" w:cstheme="majorBidi"/>
          <w:b/>
          <w:bCs/>
          <w:sz w:val="24"/>
          <w:szCs w:val="24"/>
        </w:rPr>
        <w:t xml:space="preserve"> </w:t>
      </w:r>
    </w:p>
    <w:p w14:paraId="4BA87702" w14:textId="3101F632" w:rsidR="006C436C" w:rsidRDefault="00840CC6" w:rsidP="00405E25">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840CC6">
        <w:rPr>
          <w:rFonts w:asciiTheme="majorBidi" w:hAnsiTheme="majorBidi" w:cstheme="majorBidi"/>
          <w:sz w:val="24"/>
          <w:szCs w:val="24"/>
        </w:rPr>
        <w:t>A home-built setup was employed to irradiate the nanohybrids with laser and measure the photothermal conversion efficiency. The setup consisted of a cuvette with a 1 cm path length, containing 1 mL of the nanohybrid solution (500</w:t>
      </w:r>
      <w:r w:rsidRPr="00840CC6">
        <w:rPr>
          <w:rFonts w:asciiTheme="majorBidi" w:eastAsiaTheme="minorEastAsia" w:hAnsiTheme="majorBidi" w:cstheme="majorBidi"/>
        </w:rPr>
        <w:t xml:space="preserve"> </w:t>
      </w:r>
      <w:r w:rsidRPr="004D2AA9">
        <w:rPr>
          <w:rFonts w:asciiTheme="majorBidi" w:eastAsiaTheme="minorEastAsia" w:hAnsiTheme="majorBidi" w:cstheme="majorBidi"/>
        </w:rPr>
        <w:t>μg/mL</w:t>
      </w:r>
      <w:r>
        <w:rPr>
          <w:rFonts w:asciiTheme="majorBidi" w:hAnsiTheme="majorBidi" w:cstheme="majorBidi"/>
          <w:sz w:val="24"/>
          <w:szCs w:val="24"/>
        </w:rPr>
        <w:t xml:space="preserve"> Au</w:t>
      </w:r>
      <w:r w:rsidRPr="00840CC6">
        <w:rPr>
          <w:rFonts w:asciiTheme="majorBidi" w:hAnsiTheme="majorBidi" w:cstheme="majorBidi"/>
          <w:sz w:val="24"/>
          <w:szCs w:val="24"/>
        </w:rPr>
        <w:t>), an infrared (IR) thermal imaging camera (Testo 875−1i, Germany), and an 808 nm continuous semiconductor diode laser.</w:t>
      </w:r>
      <w:r>
        <w:rPr>
          <w:rFonts w:asciiTheme="majorBidi" w:hAnsiTheme="majorBidi" w:cstheme="majorBidi"/>
          <w:sz w:val="24"/>
          <w:szCs w:val="24"/>
        </w:rPr>
        <w:t xml:space="preserve"> </w:t>
      </w:r>
      <w:r w:rsidR="00E40F34" w:rsidRPr="00E40F34">
        <w:rPr>
          <w:rFonts w:asciiTheme="majorBidi" w:hAnsiTheme="majorBidi" w:cstheme="majorBidi"/>
          <w:sz w:val="24"/>
          <w:szCs w:val="24"/>
        </w:rPr>
        <w:t>The photothermal conversion efficiency of the magneto-plasmonic nanohybrids was</w:t>
      </w:r>
      <w:r w:rsidR="00405E25">
        <w:rPr>
          <w:rFonts w:asciiTheme="majorBidi" w:hAnsiTheme="majorBidi" w:cstheme="majorBidi"/>
          <w:sz w:val="24"/>
          <w:szCs w:val="24"/>
        </w:rPr>
        <w:t xml:space="preserve"> </w:t>
      </w:r>
      <w:r w:rsidR="00E40F34" w:rsidRPr="00E40F34">
        <w:rPr>
          <w:rFonts w:asciiTheme="majorBidi" w:hAnsiTheme="majorBidi" w:cstheme="majorBidi"/>
          <w:sz w:val="24"/>
          <w:szCs w:val="24"/>
        </w:rPr>
        <w:t>determined using the formula</w:t>
      </w:r>
      <w:r w:rsidR="00381210">
        <w:rPr>
          <w:rFonts w:asciiTheme="majorBidi" w:hAnsiTheme="majorBidi" w:cstheme="majorBidi"/>
          <w:sz w:val="24"/>
          <w:szCs w:val="24"/>
        </w:rPr>
        <w:t xml:space="preserve"> </w:t>
      </w:r>
      <w:r w:rsidR="00381210">
        <w:rPr>
          <w:rFonts w:asciiTheme="majorBidi" w:hAnsiTheme="majorBidi" w:cstheme="majorBidi"/>
          <w:sz w:val="24"/>
          <w:szCs w:val="24"/>
        </w:rPr>
        <w:fldChar w:fldCharType="begin"/>
      </w:r>
      <w:r w:rsidR="00786286">
        <w:rPr>
          <w:rFonts w:asciiTheme="majorBidi" w:hAnsiTheme="majorBidi" w:cstheme="majorBidi"/>
          <w:sz w:val="24"/>
          <w:szCs w:val="24"/>
        </w:rPr>
        <w:instrText xml:space="preserve"> ADDIN EN.CITE &lt;EndNote&gt;&lt;Cite&gt;&lt;Author&gt;Tian&lt;/Author&gt;&lt;Year&gt;2011&lt;/Year&gt;&lt;RecNum&gt;23&lt;/RecNum&gt;&lt;DisplayText&gt;[1]&lt;/DisplayText&gt;&lt;record&gt;&lt;rec-number&gt;23&lt;/rec-number&gt;&lt;foreign-keys&gt;&lt;key app="EN" db-id="90sdxtt9gxrss6e02x3595pozss50pdv5t9x" timestamp="1678359790"&gt;23&lt;/key&gt;&lt;/foreign-keys&gt;&lt;ref-type name="Journal Article"&gt;17&lt;/ref-type&gt;&lt;contributors&gt;&lt;authors&gt;&lt;author&gt;Tian, Qiwei&lt;/author&gt;&lt;author&gt;Jiang, Feiran&lt;/author&gt;&lt;author&gt;Zou, Rujia&lt;/author&gt;&lt;author&gt;Liu, Qian&lt;/author&gt;&lt;author&gt;Chen, Zhigang&lt;/author&gt;&lt;author&gt;Zhu, Meifang&lt;/author&gt;&lt;author&gt;Yang, Shiping&lt;/author&gt;&lt;author&gt;Wang, Jinglong&lt;/author&gt;&lt;author&gt;Wang, Jianhua&lt;/author&gt;&lt;author&gt;Hu, Junqing&lt;/author&gt;&lt;/authors&gt;&lt;/contributors&gt;&lt;titles&gt;&lt;title&gt;Hydrophilic Cu9S5 nanocrystals: a photothermal agent with a 25.7% heat conversion efficiency for photothermal ablation of cancer cells in vivo&lt;/title&gt;&lt;secondary-title&gt;ACS nano&lt;/secondary-title&gt;&lt;/titles&gt;&lt;periodical&gt;&lt;full-title&gt;ACS nano&lt;/full-title&gt;&lt;/periodical&gt;&lt;pages&gt;9761-9771&lt;/pages&gt;&lt;volume&gt;5&lt;/volume&gt;&lt;number&gt;12&lt;/number&gt;&lt;dates&gt;&lt;year&gt;2011&lt;/year&gt;&lt;/dates&gt;&lt;isbn&gt;1936-0851&lt;/isbn&gt;&lt;urls&gt;&lt;/urls&gt;&lt;/record&gt;&lt;/Cite&gt;&lt;/EndNote&gt;</w:instrText>
      </w:r>
      <w:r w:rsidR="00381210">
        <w:rPr>
          <w:rFonts w:asciiTheme="majorBidi" w:hAnsiTheme="majorBidi" w:cstheme="majorBidi"/>
          <w:sz w:val="24"/>
          <w:szCs w:val="24"/>
        </w:rPr>
        <w:fldChar w:fldCharType="separate"/>
      </w:r>
      <w:r w:rsidR="00786286">
        <w:rPr>
          <w:rFonts w:asciiTheme="majorBidi" w:hAnsiTheme="majorBidi" w:cstheme="majorBidi"/>
          <w:noProof/>
          <w:sz w:val="24"/>
          <w:szCs w:val="24"/>
        </w:rPr>
        <w:t>[1]</w:t>
      </w:r>
      <w:r w:rsidR="00381210">
        <w:rPr>
          <w:rFonts w:asciiTheme="majorBidi" w:hAnsiTheme="majorBidi" w:cstheme="majorBidi"/>
          <w:sz w:val="24"/>
          <w:szCs w:val="24"/>
        </w:rPr>
        <w:fldChar w:fldCharType="end"/>
      </w:r>
      <w:r w:rsidR="004175A9">
        <w:rPr>
          <w:rFonts w:asciiTheme="majorBidi" w:hAnsiTheme="majorBidi" w:cstheme="majorBidi"/>
          <w:sz w:val="24"/>
          <w:szCs w:val="24"/>
        </w:rPr>
        <w:t>:</w:t>
      </w:r>
    </w:p>
    <w:p w14:paraId="66E764FC" w14:textId="2C443763" w:rsidR="00E40F34" w:rsidRPr="00DA6BFB" w:rsidRDefault="00DA6BFB" w:rsidP="00405E25">
      <w:pPr>
        <w:spacing w:line="480" w:lineRule="auto"/>
        <w:jc w:val="both"/>
        <w:rPr>
          <w:rFonts w:asciiTheme="majorBidi" w:hAnsiTheme="majorBidi" w:cstheme="majorBidi"/>
          <w:sz w:val="24"/>
          <w:szCs w:val="24"/>
        </w:rPr>
      </w:pPr>
      <m:oMath>
        <m:r>
          <w:rPr>
            <w:rFonts w:ascii="Cambria Math" w:eastAsiaTheme="minorEastAsia" w:hAnsi="Cambria Math" w:cstheme="majorBidi"/>
            <w:sz w:val="24"/>
            <w:szCs w:val="24"/>
          </w:rPr>
          <m:t>η=</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hs(</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max</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surr</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dis</m:t>
                </m:r>
              </m:sub>
            </m:sSub>
          </m:num>
          <m:den>
            <m:r>
              <w:rPr>
                <w:rFonts w:ascii="Cambria Math" w:eastAsiaTheme="minorEastAsia" w:hAnsi="Cambria Math" w:cstheme="majorBidi"/>
                <w:sz w:val="24"/>
                <w:szCs w:val="24"/>
              </w:rPr>
              <m:t>I(1-</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10</m:t>
                </m:r>
              </m:e>
              <m:sup>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A</m:t>
                    </m:r>
                  </m:e>
                  <m:sub>
                    <m:r>
                      <w:rPr>
                        <w:rFonts w:ascii="Cambria Math" w:eastAsiaTheme="minorEastAsia" w:hAnsi="Cambria Math" w:cstheme="majorBidi"/>
                        <w:sz w:val="24"/>
                        <w:szCs w:val="24"/>
                      </w:rPr>
                      <m:t>808nm</m:t>
                    </m:r>
                  </m:sub>
                </m:sSub>
              </m:sup>
            </m:sSup>
            <m:r>
              <w:rPr>
                <w:rFonts w:ascii="Cambria Math" w:eastAsiaTheme="minorEastAsia" w:hAnsi="Cambria Math" w:cstheme="majorBidi"/>
                <w:sz w:val="24"/>
                <w:szCs w:val="24"/>
              </w:rPr>
              <m:t>)</m:t>
            </m:r>
          </m:den>
        </m:f>
      </m:oMath>
      <w:r w:rsidRPr="00DA6BFB">
        <w:rPr>
          <w:rFonts w:asciiTheme="majorBidi" w:hAnsiTheme="majorBidi" w:cstheme="majorBidi"/>
          <w:sz w:val="24"/>
          <w:szCs w:val="24"/>
        </w:rPr>
        <w:t xml:space="preserve">                                                                                                         </w:t>
      </w:r>
      <w:r w:rsidR="00405E25">
        <w:rPr>
          <w:rFonts w:asciiTheme="majorBidi" w:hAnsiTheme="majorBidi" w:cstheme="majorBidi"/>
          <w:sz w:val="24"/>
          <w:szCs w:val="24"/>
        </w:rPr>
        <w:t xml:space="preserve">  </w:t>
      </w:r>
      <w:r w:rsidRPr="00DA6BFB">
        <w:rPr>
          <w:rFonts w:asciiTheme="majorBidi" w:hAnsiTheme="majorBidi" w:cstheme="majorBidi"/>
          <w:sz w:val="24"/>
          <w:szCs w:val="24"/>
        </w:rPr>
        <w:t xml:space="preserve">  (1)</w:t>
      </w:r>
    </w:p>
    <w:p w14:paraId="1912CA9D" w14:textId="582CF1D4" w:rsidR="003B234F" w:rsidRDefault="003B234F" w:rsidP="00405E25">
      <w:pPr>
        <w:spacing w:line="480" w:lineRule="auto"/>
        <w:jc w:val="both"/>
        <w:rPr>
          <w:rFonts w:asciiTheme="majorBidi" w:hAnsiTheme="majorBidi" w:cstheme="majorBidi"/>
          <w:sz w:val="24"/>
          <w:szCs w:val="24"/>
        </w:rPr>
      </w:pPr>
      <w:r w:rsidRPr="003B234F">
        <w:rPr>
          <w:rFonts w:asciiTheme="majorBidi" w:hAnsiTheme="majorBidi" w:cstheme="majorBidi"/>
          <w:sz w:val="24"/>
          <w:szCs w:val="24"/>
        </w:rPr>
        <w:t>Here, h, s, T</w:t>
      </w:r>
      <w:r w:rsidRPr="00C17DDD">
        <w:rPr>
          <w:rFonts w:asciiTheme="majorBidi" w:hAnsiTheme="majorBidi" w:cstheme="majorBidi"/>
          <w:sz w:val="24"/>
          <w:szCs w:val="24"/>
          <w:vertAlign w:val="subscript"/>
        </w:rPr>
        <w:t>max</w:t>
      </w:r>
      <w:r w:rsidRPr="003B234F">
        <w:rPr>
          <w:rFonts w:asciiTheme="majorBidi" w:hAnsiTheme="majorBidi" w:cstheme="majorBidi"/>
          <w:sz w:val="24"/>
          <w:szCs w:val="24"/>
        </w:rPr>
        <w:t>, T</w:t>
      </w:r>
      <w:r w:rsidRPr="00C17DDD">
        <w:rPr>
          <w:rFonts w:asciiTheme="majorBidi" w:hAnsiTheme="majorBidi" w:cstheme="majorBidi"/>
          <w:sz w:val="24"/>
          <w:szCs w:val="24"/>
          <w:vertAlign w:val="subscript"/>
        </w:rPr>
        <w:t>sur</w:t>
      </w:r>
      <w:r w:rsidRPr="003B234F">
        <w:rPr>
          <w:rFonts w:asciiTheme="majorBidi" w:hAnsiTheme="majorBidi" w:cstheme="majorBidi"/>
          <w:sz w:val="24"/>
          <w:szCs w:val="24"/>
        </w:rPr>
        <w:t>, I, A</w:t>
      </w:r>
      <w:r w:rsidRPr="00C17DDD">
        <w:rPr>
          <w:rFonts w:asciiTheme="majorBidi" w:hAnsiTheme="majorBidi" w:cstheme="majorBidi"/>
          <w:sz w:val="24"/>
          <w:szCs w:val="24"/>
          <w:vertAlign w:val="subscript"/>
        </w:rPr>
        <w:t>808</w:t>
      </w:r>
      <w:r w:rsidRPr="003B234F">
        <w:rPr>
          <w:rFonts w:asciiTheme="majorBidi" w:hAnsiTheme="majorBidi" w:cstheme="majorBidi"/>
          <w:sz w:val="24"/>
          <w:szCs w:val="24"/>
        </w:rPr>
        <w:t>, and Q</w:t>
      </w:r>
      <w:r w:rsidRPr="00C17DDD">
        <w:rPr>
          <w:rFonts w:asciiTheme="majorBidi" w:hAnsiTheme="majorBidi" w:cstheme="majorBidi"/>
          <w:sz w:val="24"/>
          <w:szCs w:val="24"/>
          <w:vertAlign w:val="subscript"/>
        </w:rPr>
        <w:t>dis</w:t>
      </w:r>
      <w:r w:rsidRPr="003B234F">
        <w:rPr>
          <w:rFonts w:asciiTheme="majorBidi" w:hAnsiTheme="majorBidi" w:cstheme="majorBidi"/>
          <w:sz w:val="24"/>
          <w:szCs w:val="24"/>
        </w:rPr>
        <w:t xml:space="preserve"> represent the heat transfer coefficient, the surface area of the container, the maximum equilibrium temperature, the surrounding temperature, the laser power, the absorbance </w:t>
      </w:r>
      <w:r w:rsidR="00C17DDD" w:rsidRPr="00E40F34">
        <w:rPr>
          <w:rFonts w:asciiTheme="majorBidi" w:hAnsiTheme="majorBidi" w:cstheme="majorBidi"/>
          <w:sz w:val="24"/>
          <w:szCs w:val="24"/>
        </w:rPr>
        <w:t>nanohybrids</w:t>
      </w:r>
      <w:r w:rsidRPr="003B234F">
        <w:rPr>
          <w:rFonts w:asciiTheme="majorBidi" w:hAnsiTheme="majorBidi" w:cstheme="majorBidi"/>
          <w:sz w:val="24"/>
          <w:szCs w:val="24"/>
        </w:rPr>
        <w:t xml:space="preserve"> at 808 nm, and </w:t>
      </w:r>
      <w:r w:rsidR="004175A9" w:rsidRPr="004175A9">
        <w:rPr>
          <w:rFonts w:asciiTheme="majorBidi" w:hAnsiTheme="majorBidi" w:cstheme="majorBidi"/>
          <w:sz w:val="24"/>
          <w:szCs w:val="24"/>
        </w:rPr>
        <w:t>Q</w:t>
      </w:r>
      <w:r w:rsidR="004175A9" w:rsidRPr="004175A9">
        <w:rPr>
          <w:rFonts w:asciiTheme="majorBidi" w:hAnsiTheme="majorBidi" w:cstheme="majorBidi"/>
          <w:sz w:val="24"/>
          <w:szCs w:val="24"/>
          <w:vertAlign w:val="subscript"/>
        </w:rPr>
        <w:t>dis</w:t>
      </w:r>
      <w:r w:rsidR="004175A9" w:rsidRPr="004175A9">
        <w:rPr>
          <w:rFonts w:asciiTheme="majorBidi" w:hAnsiTheme="majorBidi" w:cstheme="majorBidi"/>
          <w:sz w:val="24"/>
          <w:szCs w:val="24"/>
        </w:rPr>
        <w:t xml:space="preserve"> is heat dissipation due to light</w:t>
      </w:r>
      <w:r w:rsidR="004175A9">
        <w:rPr>
          <w:rFonts w:asciiTheme="majorBidi" w:hAnsiTheme="majorBidi" w:cstheme="majorBidi"/>
          <w:sz w:val="24"/>
          <w:szCs w:val="24"/>
        </w:rPr>
        <w:t xml:space="preserve"> </w:t>
      </w:r>
      <w:r w:rsidR="004175A9" w:rsidRPr="004175A9">
        <w:rPr>
          <w:rFonts w:asciiTheme="majorBidi" w:hAnsiTheme="majorBidi" w:cstheme="majorBidi"/>
          <w:sz w:val="24"/>
          <w:szCs w:val="24"/>
        </w:rPr>
        <w:t>absorbance of the solvent</w:t>
      </w:r>
      <w:r w:rsidR="004175A9">
        <w:rPr>
          <w:rFonts w:asciiTheme="majorBidi" w:hAnsiTheme="majorBidi" w:cstheme="majorBidi"/>
          <w:sz w:val="24"/>
          <w:szCs w:val="24"/>
        </w:rPr>
        <w:t xml:space="preserve">, which can be calculated according to </w:t>
      </w:r>
      <w:r w:rsidR="00FB0B13">
        <w:rPr>
          <w:rFonts w:asciiTheme="majorBidi" w:hAnsiTheme="majorBidi" w:cstheme="majorBidi"/>
          <w:sz w:val="24"/>
          <w:szCs w:val="24"/>
        </w:rPr>
        <w:t>E</w:t>
      </w:r>
      <w:r w:rsidR="004175A9">
        <w:rPr>
          <w:rFonts w:asciiTheme="majorBidi" w:hAnsiTheme="majorBidi" w:cstheme="majorBidi"/>
          <w:sz w:val="24"/>
          <w:szCs w:val="24"/>
        </w:rPr>
        <w:t>quation 2:</w:t>
      </w:r>
    </w:p>
    <w:p w14:paraId="1FA8597A" w14:textId="44657541" w:rsidR="004175A9" w:rsidRPr="004175A9" w:rsidRDefault="00000000" w:rsidP="00405E25">
      <w:pPr>
        <w:jc w:val="both"/>
        <w:rPr>
          <w:rFonts w:asciiTheme="majorBidi" w:hAnsiTheme="majorBidi" w:cstheme="majorBidi"/>
          <w:b/>
          <w:bCs/>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dis</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mC∆T</m:t>
            </m:r>
          </m:num>
          <m:den>
            <m:r>
              <w:rPr>
                <w:rFonts w:ascii="Cambria Math" w:eastAsiaTheme="minorEastAsia" w:hAnsi="Cambria Math" w:cstheme="majorBidi"/>
                <w:sz w:val="24"/>
                <w:szCs w:val="24"/>
              </w:rPr>
              <m:t>t</m:t>
            </m:r>
          </m:den>
        </m:f>
      </m:oMath>
      <w:r w:rsidR="004175A9">
        <w:rPr>
          <w:rFonts w:asciiTheme="majorBidi" w:hAnsiTheme="majorBidi" w:cstheme="majorBidi"/>
          <w:b/>
          <w:bCs/>
          <w:sz w:val="24"/>
          <w:szCs w:val="24"/>
        </w:rPr>
        <w:t xml:space="preserve">                                                                                                                             </w:t>
      </w:r>
      <w:r w:rsidR="004175A9" w:rsidRPr="009F44CD">
        <w:rPr>
          <w:rFonts w:asciiTheme="majorBidi" w:hAnsiTheme="majorBidi" w:cstheme="majorBidi"/>
          <w:sz w:val="24"/>
          <w:szCs w:val="24"/>
        </w:rPr>
        <w:t>(2)</w:t>
      </w:r>
    </w:p>
    <w:p w14:paraId="4C6C8008" w14:textId="4A362C70" w:rsidR="004175A9" w:rsidRDefault="00454F51" w:rsidP="00405E25">
      <w:pPr>
        <w:spacing w:line="480" w:lineRule="auto"/>
        <w:jc w:val="both"/>
        <w:rPr>
          <w:rFonts w:asciiTheme="majorBidi" w:hAnsiTheme="majorBidi" w:cstheme="majorBidi"/>
          <w:sz w:val="24"/>
          <w:szCs w:val="24"/>
        </w:rPr>
      </w:pPr>
      <w:r w:rsidRPr="00454F51">
        <w:rPr>
          <w:rFonts w:asciiTheme="majorBidi" w:hAnsiTheme="majorBidi" w:cstheme="majorBidi"/>
          <w:sz w:val="24"/>
          <w:szCs w:val="24"/>
        </w:rPr>
        <w:t>The variables m, C, ΔT, and t represent, respectively, the mass of water in grams (g), the specific heat capacity of water (J g</w:t>
      </w:r>
      <w:r w:rsidRPr="00454F51">
        <w:rPr>
          <w:rFonts w:asciiTheme="majorBidi" w:hAnsiTheme="majorBidi" w:cstheme="majorBidi"/>
          <w:sz w:val="24"/>
          <w:szCs w:val="24"/>
          <w:vertAlign w:val="superscript"/>
        </w:rPr>
        <w:t>-1</w:t>
      </w:r>
      <w:r w:rsidRPr="00454F51">
        <w:rPr>
          <w:rFonts w:asciiTheme="majorBidi" w:hAnsiTheme="majorBidi" w:cstheme="majorBidi"/>
          <w:sz w:val="24"/>
          <w:szCs w:val="24"/>
        </w:rPr>
        <w:t xml:space="preserve"> K</w:t>
      </w:r>
      <w:r w:rsidRPr="00454F51">
        <w:rPr>
          <w:rFonts w:asciiTheme="majorBidi" w:hAnsiTheme="majorBidi" w:cstheme="majorBidi"/>
          <w:sz w:val="24"/>
          <w:szCs w:val="24"/>
          <w:vertAlign w:val="superscript"/>
        </w:rPr>
        <w:t>-1</w:t>
      </w:r>
      <w:r w:rsidRPr="00454F51">
        <w:rPr>
          <w:rFonts w:asciiTheme="majorBidi" w:hAnsiTheme="majorBidi" w:cstheme="majorBidi"/>
          <w:sz w:val="24"/>
          <w:szCs w:val="24"/>
        </w:rPr>
        <w:t xml:space="preserve">), the temperature </w:t>
      </w:r>
      <w:r>
        <w:rPr>
          <w:rFonts w:asciiTheme="majorBidi" w:hAnsiTheme="majorBidi" w:cstheme="majorBidi"/>
          <w:sz w:val="24"/>
          <w:szCs w:val="24"/>
        </w:rPr>
        <w:t xml:space="preserve">rise </w:t>
      </w:r>
      <w:r w:rsidRPr="00454F51">
        <w:rPr>
          <w:rFonts w:asciiTheme="majorBidi" w:hAnsiTheme="majorBidi" w:cstheme="majorBidi"/>
          <w:sz w:val="24"/>
          <w:szCs w:val="24"/>
        </w:rPr>
        <w:t>(K), and the duration of laser irradiation in seconds (s).</w:t>
      </w:r>
      <w:r w:rsidRPr="00454F51">
        <w:t xml:space="preserve"> </w:t>
      </w:r>
      <w:r w:rsidRPr="00454F51">
        <w:rPr>
          <w:rFonts w:asciiTheme="majorBidi" w:hAnsiTheme="majorBidi" w:cstheme="majorBidi"/>
          <w:sz w:val="24"/>
          <w:szCs w:val="24"/>
        </w:rPr>
        <w:t xml:space="preserve">hs can be calculated according to </w:t>
      </w:r>
      <w:r w:rsidR="00FB0B13">
        <w:rPr>
          <w:rFonts w:asciiTheme="majorBidi" w:hAnsiTheme="majorBidi" w:cstheme="majorBidi"/>
          <w:sz w:val="24"/>
          <w:szCs w:val="24"/>
        </w:rPr>
        <w:t>E</w:t>
      </w:r>
      <w:r w:rsidRPr="00454F51">
        <w:rPr>
          <w:rFonts w:asciiTheme="majorBidi" w:hAnsiTheme="majorBidi" w:cstheme="majorBidi"/>
          <w:sz w:val="24"/>
          <w:szCs w:val="24"/>
        </w:rPr>
        <w:t>quation 3:</w:t>
      </w:r>
    </w:p>
    <w:p w14:paraId="311B8A47" w14:textId="6D36383B" w:rsidR="00454F51" w:rsidRPr="00454F51" w:rsidRDefault="00454F51" w:rsidP="00405E25">
      <w:pPr>
        <w:spacing w:line="480" w:lineRule="auto"/>
        <w:jc w:val="both"/>
        <w:rPr>
          <w:rFonts w:asciiTheme="majorBidi" w:hAnsiTheme="majorBidi" w:cstheme="majorBidi"/>
          <w:sz w:val="24"/>
          <w:szCs w:val="24"/>
        </w:rPr>
      </w:pPr>
      <m:oMath>
        <m:r>
          <w:rPr>
            <w:rFonts w:ascii="Cambria Math" w:eastAsiaTheme="minorEastAsia" w:hAnsi="Cambria Math" w:cstheme="majorBidi"/>
            <w:sz w:val="24"/>
            <w:szCs w:val="24"/>
          </w:rPr>
          <m:t>hs=</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 xml:space="preserve"> </m:t>
            </m:r>
            <m:nary>
              <m:naryPr>
                <m:chr m:val="∑"/>
                <m:limLoc m:val="undOvr"/>
                <m:subHide m:val="1"/>
                <m:supHide m:val="1"/>
                <m:ctrlPr>
                  <w:rPr>
                    <w:rFonts w:ascii="Cambria Math" w:eastAsiaTheme="minorEastAsia" w:hAnsi="Cambria Math" w:cstheme="majorBidi"/>
                    <w:i/>
                    <w:sz w:val="24"/>
                    <w:szCs w:val="24"/>
                  </w:rPr>
                </m:ctrlPr>
              </m:naryPr>
              <m:sub/>
              <m:sup/>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m</m:t>
                    </m:r>
                  </m:e>
                  <m:sub>
                    <m:r>
                      <w:rPr>
                        <w:rFonts w:ascii="Cambria Math" w:eastAsiaTheme="minorEastAsia" w:hAnsi="Cambria Math" w:cstheme="majorBidi"/>
                        <w:sz w:val="24"/>
                        <w:szCs w:val="24"/>
                      </w:rPr>
                      <m:t>i</m:t>
                    </m:r>
                  </m:sub>
                </m:sSub>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c</m:t>
                    </m:r>
                  </m:e>
                  <m:sub>
                    <m:r>
                      <w:rPr>
                        <w:rFonts w:ascii="Cambria Math" w:eastAsiaTheme="minorEastAsia" w:hAnsi="Cambria Math" w:cstheme="majorBidi"/>
                        <w:sz w:val="24"/>
                        <w:szCs w:val="24"/>
                      </w:rPr>
                      <m:t>p,i</m:t>
                    </m:r>
                  </m:sub>
                </m:sSub>
              </m:e>
            </m:nary>
          </m:num>
          <m:den>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τ</m:t>
                </m:r>
              </m:e>
              <m:sub>
                <m:r>
                  <w:rPr>
                    <w:rFonts w:ascii="Cambria Math" w:eastAsiaTheme="minorEastAsia" w:hAnsi="Cambria Math" w:cstheme="majorBidi"/>
                    <w:sz w:val="24"/>
                    <w:szCs w:val="24"/>
                  </w:rPr>
                  <m:t>s</m:t>
                </m:r>
              </m:sub>
            </m:sSub>
          </m:den>
        </m:f>
      </m:oMath>
      <w:r>
        <w:rPr>
          <w:rFonts w:asciiTheme="majorBidi" w:hAnsiTheme="majorBidi" w:cstheme="majorBidi"/>
          <w:sz w:val="24"/>
          <w:szCs w:val="24"/>
        </w:rPr>
        <w:t xml:space="preserve">                                                                                                                             (3)</w:t>
      </w:r>
    </w:p>
    <w:p w14:paraId="1604E96E" w14:textId="3B8D0FAE" w:rsidR="00454F51" w:rsidRDefault="0045597F" w:rsidP="00405E25">
      <w:pPr>
        <w:spacing w:line="480" w:lineRule="auto"/>
        <w:jc w:val="both"/>
        <w:rPr>
          <w:rFonts w:asciiTheme="majorBidi" w:hAnsiTheme="majorBidi" w:cstheme="majorBidi"/>
          <w:sz w:val="24"/>
          <w:szCs w:val="24"/>
        </w:rPr>
      </w:pPr>
      <w:r w:rsidRPr="0045597F">
        <w:rPr>
          <w:rFonts w:asciiTheme="majorBidi" w:hAnsiTheme="majorBidi" w:cstheme="majorBidi"/>
          <w:sz w:val="24"/>
          <w:szCs w:val="24"/>
        </w:rPr>
        <w:t>The symbols τ</w:t>
      </w:r>
      <w:r w:rsidRPr="0045597F">
        <w:rPr>
          <w:rFonts w:asciiTheme="majorBidi" w:hAnsiTheme="majorBidi" w:cstheme="majorBidi"/>
          <w:sz w:val="24"/>
          <w:szCs w:val="24"/>
          <w:vertAlign w:val="subscript"/>
        </w:rPr>
        <w:t>s</w:t>
      </w:r>
      <w:r w:rsidRPr="0045597F">
        <w:rPr>
          <w:rFonts w:asciiTheme="majorBidi" w:hAnsiTheme="majorBidi" w:cstheme="majorBidi"/>
          <w:sz w:val="24"/>
          <w:szCs w:val="24"/>
        </w:rPr>
        <w:t xml:space="preserve"> and i are used to denote the time constant of the sample and the individual components of the system, which include the </w:t>
      </w:r>
      <w:r w:rsidR="004F4939">
        <w:rPr>
          <w:rFonts w:asciiTheme="majorBidi" w:hAnsiTheme="majorBidi" w:cstheme="majorBidi"/>
          <w:sz w:val="24"/>
          <w:szCs w:val="24"/>
        </w:rPr>
        <w:t>n</w:t>
      </w:r>
      <w:r w:rsidRPr="0045597F">
        <w:rPr>
          <w:rFonts w:asciiTheme="majorBidi" w:hAnsiTheme="majorBidi" w:cstheme="majorBidi"/>
          <w:sz w:val="24"/>
          <w:szCs w:val="24"/>
        </w:rPr>
        <w:t>anohybrids suspension and cuvette</w:t>
      </w:r>
      <w:r>
        <w:rPr>
          <w:rFonts w:asciiTheme="majorBidi" w:hAnsiTheme="majorBidi" w:cstheme="majorBidi"/>
          <w:sz w:val="24"/>
          <w:szCs w:val="24"/>
        </w:rPr>
        <w:t>.</w:t>
      </w:r>
      <w:r w:rsidR="00405E25">
        <w:rPr>
          <w:rFonts w:asciiTheme="majorBidi" w:hAnsiTheme="majorBidi" w:cstheme="majorBidi"/>
          <w:sz w:val="24"/>
          <w:szCs w:val="24"/>
        </w:rPr>
        <w:t xml:space="preserve"> </w:t>
      </w:r>
      <w:r w:rsidR="00405E25" w:rsidRPr="0045597F">
        <w:rPr>
          <w:rFonts w:asciiTheme="majorBidi" w:hAnsiTheme="majorBidi" w:cstheme="majorBidi"/>
          <w:sz w:val="24"/>
          <w:szCs w:val="24"/>
        </w:rPr>
        <w:t>τ</w:t>
      </w:r>
      <w:r w:rsidR="00405E25" w:rsidRPr="0045597F">
        <w:rPr>
          <w:rFonts w:asciiTheme="majorBidi" w:hAnsiTheme="majorBidi" w:cstheme="majorBidi"/>
          <w:sz w:val="24"/>
          <w:szCs w:val="24"/>
          <w:vertAlign w:val="subscript"/>
        </w:rPr>
        <w:t>s</w:t>
      </w:r>
      <w:r w:rsidR="00405E25" w:rsidRPr="00405E25">
        <w:rPr>
          <w:rFonts w:asciiTheme="majorBidi" w:hAnsiTheme="majorBidi" w:cstheme="majorBidi"/>
          <w:sz w:val="24"/>
          <w:szCs w:val="24"/>
        </w:rPr>
        <w:t xml:space="preserve"> </w:t>
      </w:r>
      <w:r w:rsidR="00405E25" w:rsidRPr="00454F51">
        <w:rPr>
          <w:rFonts w:asciiTheme="majorBidi" w:hAnsiTheme="majorBidi" w:cstheme="majorBidi"/>
          <w:sz w:val="24"/>
          <w:szCs w:val="24"/>
        </w:rPr>
        <w:t xml:space="preserve">can be calculated according to </w:t>
      </w:r>
      <w:r w:rsidR="00FB0B13">
        <w:rPr>
          <w:rFonts w:asciiTheme="majorBidi" w:hAnsiTheme="majorBidi" w:cstheme="majorBidi"/>
          <w:sz w:val="24"/>
          <w:szCs w:val="24"/>
        </w:rPr>
        <w:t>E</w:t>
      </w:r>
      <w:r w:rsidR="00405E25" w:rsidRPr="00454F51">
        <w:rPr>
          <w:rFonts w:asciiTheme="majorBidi" w:hAnsiTheme="majorBidi" w:cstheme="majorBidi"/>
          <w:sz w:val="24"/>
          <w:szCs w:val="24"/>
        </w:rPr>
        <w:t xml:space="preserve">quation </w:t>
      </w:r>
      <w:r w:rsidR="00405E25">
        <w:rPr>
          <w:rFonts w:asciiTheme="majorBidi" w:hAnsiTheme="majorBidi" w:cstheme="majorBidi"/>
          <w:sz w:val="24"/>
          <w:szCs w:val="24"/>
        </w:rPr>
        <w:t>4</w:t>
      </w:r>
      <w:r w:rsidR="00405E25" w:rsidRPr="00454F51">
        <w:rPr>
          <w:rFonts w:asciiTheme="majorBidi" w:hAnsiTheme="majorBidi" w:cstheme="majorBidi"/>
          <w:sz w:val="24"/>
          <w:szCs w:val="24"/>
        </w:rPr>
        <w:t>:</w:t>
      </w:r>
    </w:p>
    <w:p w14:paraId="7475B082" w14:textId="01DBAE19" w:rsidR="00405E25" w:rsidRPr="0027655C" w:rsidRDefault="00405E25" w:rsidP="0027655C">
      <w:pPr>
        <w:spacing w:line="480" w:lineRule="auto"/>
        <w:jc w:val="both"/>
        <w:rPr>
          <w:rFonts w:asciiTheme="majorBidi" w:hAnsiTheme="majorBidi" w:cstheme="majorBidi"/>
          <w:sz w:val="24"/>
          <w:szCs w:val="24"/>
        </w:rPr>
      </w:pPr>
      <w:r w:rsidRPr="00405E25">
        <w:rPr>
          <w:rFonts w:asciiTheme="majorBidi" w:hAnsiTheme="majorBidi" w:cstheme="majorBidi"/>
          <w:sz w:val="24"/>
          <w:szCs w:val="24"/>
        </w:rPr>
        <w:t xml:space="preserve">   </w:t>
      </w:r>
      <m:oMath>
        <m:d>
          <m:dPr>
            <m:begChr m:val="{"/>
            <m:endChr m:val=""/>
            <m:ctrlPr>
              <w:rPr>
                <w:rFonts w:ascii="Cambria Math" w:hAnsi="Cambria Math" w:cstheme="majorBidi"/>
                <w:i/>
                <w:sz w:val="24"/>
                <w:szCs w:val="24"/>
              </w:rPr>
            </m:ctrlPr>
          </m:dPr>
          <m:e>
            <m:eqArr>
              <m:eqArrPr>
                <m:ctrlPr>
                  <w:rPr>
                    <w:rFonts w:ascii="Cambria Math" w:hAnsi="Cambria Math" w:cstheme="majorBidi"/>
                    <w:i/>
                    <w:sz w:val="24"/>
                    <w:szCs w:val="24"/>
                  </w:rPr>
                </m:ctrlPr>
              </m:eqArr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τ</m:t>
                    </m:r>
                  </m:e>
                  <m:sub>
                    <m:r>
                      <w:rPr>
                        <w:rFonts w:ascii="Cambria Math" w:eastAsiaTheme="minorEastAsia" w:hAnsi="Cambria Math" w:cstheme="majorBidi"/>
                        <w:sz w:val="24"/>
                        <w:szCs w:val="24"/>
                      </w:rPr>
                      <m:t>s</m:t>
                    </m:r>
                  </m:sub>
                </m:sSub>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t</m:t>
                    </m:r>
                  </m:num>
                  <m:den>
                    <m:r>
                      <w:rPr>
                        <w:rFonts w:ascii="Cambria Math" w:eastAsiaTheme="minorEastAsia" w:hAnsi="Cambria Math" w:cstheme="majorBidi"/>
                        <w:sz w:val="24"/>
                        <w:szCs w:val="24"/>
                      </w:rPr>
                      <m:t>-</m:t>
                    </m:r>
                    <m:r>
                      <m:rPr>
                        <m:sty m:val="p"/>
                      </m:rPr>
                      <w:rPr>
                        <w:rFonts w:ascii="Cambria Math" w:eastAsiaTheme="minorEastAsia" w:hAnsi="Cambria Math" w:cstheme="majorBidi"/>
                        <w:sz w:val="24"/>
                        <w:szCs w:val="24"/>
                      </w:rPr>
                      <m:t>l</m:t>
                    </m:r>
                    <m:func>
                      <m:funcPr>
                        <m:ctrlPr>
                          <w:rPr>
                            <w:rFonts w:ascii="Cambria Math" w:eastAsiaTheme="minorEastAsia" w:hAnsi="Cambria Math" w:cstheme="majorBidi"/>
                            <w:sz w:val="24"/>
                            <w:szCs w:val="24"/>
                          </w:rPr>
                        </m:ctrlPr>
                      </m:funcPr>
                      <m:fName>
                        <m:r>
                          <m:rPr>
                            <m:sty m:val="p"/>
                          </m:rPr>
                          <w:rPr>
                            <w:rFonts w:ascii="Cambria Math" w:eastAsiaTheme="minorEastAsia" w:hAnsi="Cambria Math" w:cstheme="majorBidi"/>
                            <w:sz w:val="24"/>
                            <w:szCs w:val="24"/>
                          </w:rPr>
                          <m:t>n</m:t>
                        </m:r>
                      </m:fName>
                      <m:e>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θ</m:t>
                            </m:r>
                          </m:e>
                        </m:d>
                      </m:e>
                    </m:func>
                  </m:den>
                </m:f>
              </m:e>
              <m:e>
                <m:r>
                  <w:rPr>
                    <w:rFonts w:ascii="Cambria Math" w:hAnsi="Cambria Math" w:cstheme="majorBidi"/>
                    <w:sz w:val="24"/>
                    <w:szCs w:val="24"/>
                  </w:rPr>
                  <m:t xml:space="preserve">     θ=</m:t>
                </m:r>
                <m:f>
                  <m:fPr>
                    <m:ctrlPr>
                      <w:rPr>
                        <w:rFonts w:ascii="Cambria Math" w:hAnsi="Cambria Math" w:cstheme="majorBidi"/>
                        <w:i/>
                        <w:sz w:val="24"/>
                        <w:szCs w:val="24"/>
                      </w:rPr>
                    </m:ctrlPr>
                  </m:fPr>
                  <m:num>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surr</m:t>
                            </m:r>
                          </m:sub>
                        </m:sSub>
                      </m:e>
                    </m:d>
                  </m:num>
                  <m:den>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max</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T</m:t>
                            </m:r>
                          </m:e>
                          <m:sub>
                            <m:r>
                              <w:rPr>
                                <w:rFonts w:ascii="Cambria Math" w:eastAsiaTheme="minorEastAsia" w:hAnsi="Cambria Math" w:cstheme="majorBidi"/>
                                <w:sz w:val="24"/>
                                <w:szCs w:val="24"/>
                              </w:rPr>
                              <m:t>surr</m:t>
                            </m:r>
                          </m:sub>
                        </m:sSub>
                      </m:e>
                    </m:d>
                  </m:den>
                </m:f>
              </m:e>
            </m:eqArr>
          </m:e>
        </m:d>
      </m:oMath>
      <w:r w:rsidRPr="00405E25">
        <w:rPr>
          <w:rFonts w:asciiTheme="majorBidi" w:hAnsiTheme="majorBidi" w:cstheme="majorBidi"/>
          <w:sz w:val="24"/>
          <w:szCs w:val="24"/>
        </w:rPr>
        <w:t xml:space="preserve">  </w:t>
      </w:r>
      <w:r w:rsidR="0027655C">
        <w:rPr>
          <w:rFonts w:asciiTheme="majorBidi" w:hAnsiTheme="majorBidi" w:cstheme="majorBidi"/>
          <w:sz w:val="24"/>
          <w:szCs w:val="24"/>
        </w:rPr>
        <w:t xml:space="preserve">                                                                                                                 </w:t>
      </w:r>
      <w:r w:rsidRPr="00405E25">
        <w:rPr>
          <w:rFonts w:asciiTheme="majorBidi" w:hAnsiTheme="majorBidi" w:cstheme="majorBidi"/>
          <w:sz w:val="24"/>
          <w:szCs w:val="24"/>
        </w:rPr>
        <w:t>(4)</w:t>
      </w:r>
    </w:p>
    <w:p w14:paraId="6610746F" w14:textId="2CAC6488" w:rsidR="005D620A" w:rsidRPr="005D620A" w:rsidRDefault="005D620A" w:rsidP="00840CC6">
      <w:pPr>
        <w:spacing w:line="480" w:lineRule="auto"/>
        <w:jc w:val="both"/>
        <w:rPr>
          <w:rFonts w:asciiTheme="majorBidi" w:hAnsiTheme="majorBidi" w:cstheme="majorBidi"/>
          <w:sz w:val="24"/>
          <w:szCs w:val="24"/>
        </w:rPr>
      </w:pPr>
      <w:r w:rsidRPr="005D620A">
        <w:rPr>
          <w:rFonts w:asciiTheme="majorBidi" w:hAnsiTheme="majorBidi" w:cstheme="majorBidi"/>
          <w:sz w:val="24"/>
          <w:szCs w:val="24"/>
        </w:rPr>
        <w:lastRenderedPageBreak/>
        <w:t xml:space="preserve">In this study, the temperature variation of the nanohybrid solution was monitored during the heating stage using laser irradiation, followed by subsequent cooling without the use of laser irradiation (see Fig. </w:t>
      </w:r>
      <w:r w:rsidR="007E5EC8">
        <w:rPr>
          <w:rFonts w:asciiTheme="majorBidi" w:hAnsiTheme="majorBidi" w:cstheme="majorBidi"/>
          <w:sz w:val="24"/>
          <w:szCs w:val="24"/>
        </w:rPr>
        <w:t>S</w:t>
      </w:r>
      <w:r w:rsidRPr="005D620A">
        <w:rPr>
          <w:rFonts w:asciiTheme="majorBidi" w:hAnsiTheme="majorBidi" w:cstheme="majorBidi"/>
          <w:sz w:val="24"/>
          <w:szCs w:val="24"/>
        </w:rPr>
        <w:t>1a). After 11 minutes of irradiation, the maximum temperature of the nanohybrid solution</w:t>
      </w:r>
      <w:r w:rsidR="00EB5300">
        <w:rPr>
          <w:rFonts w:asciiTheme="majorBidi" w:hAnsiTheme="majorBidi" w:cstheme="majorBidi"/>
          <w:sz w:val="24"/>
          <w:szCs w:val="24"/>
        </w:rPr>
        <w:t xml:space="preserve"> </w:t>
      </w:r>
      <w:r w:rsidRPr="005D620A">
        <w:rPr>
          <w:rFonts w:asciiTheme="majorBidi" w:hAnsiTheme="majorBidi" w:cstheme="majorBidi"/>
          <w:sz w:val="24"/>
          <w:szCs w:val="24"/>
        </w:rPr>
        <w:t xml:space="preserve">increased by 28.6 </w:t>
      </w:r>
      <w:r w:rsidRPr="00390883">
        <w:rPr>
          <w:rFonts w:asciiTheme="majorBidi" w:hAnsiTheme="majorBidi" w:cstheme="majorBidi"/>
          <w:color w:val="000000"/>
          <w:sz w:val="24"/>
          <w:szCs w:val="24"/>
        </w:rPr>
        <w:t>°C</w:t>
      </w:r>
      <w:r w:rsidRPr="005D620A">
        <w:rPr>
          <w:rFonts w:asciiTheme="majorBidi" w:hAnsiTheme="majorBidi" w:cstheme="majorBidi"/>
          <w:sz w:val="24"/>
          <w:szCs w:val="24"/>
        </w:rPr>
        <w:t xml:space="preserve">, which can be attributed to the thermal equilibrium between the heat input and output. The time constant for heat transfer, </w:t>
      </w:r>
      <w:r w:rsidRPr="0045597F">
        <w:rPr>
          <w:rFonts w:asciiTheme="majorBidi" w:hAnsiTheme="majorBidi" w:cstheme="majorBidi"/>
          <w:sz w:val="24"/>
          <w:szCs w:val="24"/>
        </w:rPr>
        <w:t>τ</w:t>
      </w:r>
      <w:r w:rsidRPr="0045597F">
        <w:rPr>
          <w:rFonts w:asciiTheme="majorBidi" w:hAnsiTheme="majorBidi" w:cstheme="majorBidi"/>
          <w:sz w:val="24"/>
          <w:szCs w:val="24"/>
          <w:vertAlign w:val="subscript"/>
        </w:rPr>
        <w:t>s</w:t>
      </w:r>
      <w:r w:rsidRPr="005D620A">
        <w:rPr>
          <w:rFonts w:asciiTheme="majorBidi" w:hAnsiTheme="majorBidi" w:cstheme="majorBidi"/>
          <w:sz w:val="24"/>
          <w:szCs w:val="24"/>
        </w:rPr>
        <w:t xml:space="preserve">, was determined by linear fitting of the cooling time t versus the natural logarithm of the temperature decrease (-lnθ) and was found to be 5.43 minutes (Fig. </w:t>
      </w:r>
      <w:r w:rsidR="007E5EC8">
        <w:rPr>
          <w:rFonts w:asciiTheme="majorBidi" w:hAnsiTheme="majorBidi" w:cstheme="majorBidi"/>
          <w:sz w:val="24"/>
          <w:szCs w:val="24"/>
        </w:rPr>
        <w:t>S</w:t>
      </w:r>
      <w:r w:rsidRPr="005D620A">
        <w:rPr>
          <w:rFonts w:asciiTheme="majorBidi" w:hAnsiTheme="majorBidi" w:cstheme="majorBidi"/>
          <w:sz w:val="24"/>
          <w:szCs w:val="24"/>
        </w:rPr>
        <w:t>1b).</w:t>
      </w:r>
      <w:r>
        <w:rPr>
          <w:rFonts w:asciiTheme="majorBidi" w:hAnsiTheme="majorBidi" w:cstheme="majorBidi"/>
          <w:sz w:val="24"/>
          <w:szCs w:val="24"/>
        </w:rPr>
        <w:t xml:space="preserve"> </w:t>
      </w:r>
      <w:r w:rsidR="007E5EC8" w:rsidRPr="007E5EC8">
        <w:rPr>
          <w:rFonts w:asciiTheme="majorBidi" w:hAnsiTheme="majorBidi" w:cstheme="majorBidi"/>
          <w:sz w:val="24"/>
          <w:szCs w:val="24"/>
        </w:rPr>
        <w:t>According to the given information, Q</w:t>
      </w:r>
      <w:r w:rsidR="007E5EC8" w:rsidRPr="007E5EC8">
        <w:rPr>
          <w:rFonts w:asciiTheme="majorBidi" w:hAnsiTheme="majorBidi" w:cstheme="majorBidi"/>
          <w:sz w:val="24"/>
          <w:szCs w:val="24"/>
          <w:vertAlign w:val="subscript"/>
        </w:rPr>
        <w:t>dis</w:t>
      </w:r>
      <w:r w:rsidR="007E5EC8" w:rsidRPr="007E5EC8">
        <w:rPr>
          <w:rFonts w:asciiTheme="majorBidi" w:hAnsiTheme="majorBidi" w:cstheme="majorBidi"/>
          <w:sz w:val="24"/>
          <w:szCs w:val="24"/>
        </w:rPr>
        <w:t xml:space="preserve"> was calculated to be </w:t>
      </w:r>
      <w:r w:rsidR="007E5EC8">
        <w:rPr>
          <w:rFonts w:asciiTheme="majorBidi" w:hAnsiTheme="majorBidi" w:cstheme="majorBidi"/>
          <w:sz w:val="24"/>
          <w:szCs w:val="24"/>
        </w:rPr>
        <w:t>0.53</w:t>
      </w:r>
      <w:r w:rsidR="007E5EC8" w:rsidRPr="007E5EC8">
        <w:rPr>
          <w:rFonts w:asciiTheme="majorBidi" w:hAnsiTheme="majorBidi" w:cstheme="majorBidi"/>
          <w:sz w:val="24"/>
          <w:szCs w:val="24"/>
        </w:rPr>
        <w:t xml:space="preserve"> mW using Equation (2)</w:t>
      </w:r>
      <w:r w:rsidR="007E5EC8">
        <w:rPr>
          <w:rFonts w:asciiTheme="majorBidi" w:hAnsiTheme="majorBidi" w:cstheme="majorBidi"/>
          <w:sz w:val="24"/>
          <w:szCs w:val="24"/>
        </w:rPr>
        <w:t>.</w:t>
      </w:r>
      <w:r w:rsidR="007E5EC8" w:rsidRPr="007E5EC8">
        <w:rPr>
          <w:rFonts w:asciiTheme="majorBidi" w:hAnsiTheme="majorBidi" w:cstheme="majorBidi"/>
          <w:sz w:val="24"/>
          <w:szCs w:val="24"/>
        </w:rPr>
        <w:t xml:space="preserve"> </w:t>
      </w:r>
      <w:r w:rsidRPr="005D620A">
        <w:rPr>
          <w:rFonts w:asciiTheme="majorBidi" w:hAnsiTheme="majorBidi" w:cstheme="majorBidi"/>
          <w:sz w:val="24"/>
          <w:szCs w:val="24"/>
        </w:rPr>
        <w:t xml:space="preserve">The photothermal conversion efficiency (η) of the nanohybrids was approximately </w:t>
      </w:r>
      <w:r>
        <w:rPr>
          <w:rFonts w:asciiTheme="majorBidi" w:hAnsiTheme="majorBidi" w:cstheme="majorBidi"/>
          <w:sz w:val="24"/>
          <w:szCs w:val="24"/>
        </w:rPr>
        <w:t>30</w:t>
      </w:r>
      <w:r w:rsidRPr="005D620A">
        <w:rPr>
          <w:rFonts w:asciiTheme="majorBidi" w:hAnsiTheme="majorBidi" w:cstheme="majorBidi"/>
          <w:sz w:val="24"/>
          <w:szCs w:val="24"/>
        </w:rPr>
        <w:t>%.</w:t>
      </w:r>
    </w:p>
    <w:p w14:paraId="18FD072F" w14:textId="3E0965E0" w:rsidR="00B82EE0" w:rsidRDefault="00B82EE0" w:rsidP="00405E25">
      <w:pPr>
        <w:spacing w:after="0" w:line="240" w:lineRule="auto"/>
        <w:jc w:val="both"/>
        <w:rPr>
          <w:rFonts w:asciiTheme="majorBidi" w:eastAsiaTheme="minorEastAsia" w:hAnsiTheme="majorBidi" w:cstheme="majorBidi"/>
        </w:rPr>
      </w:pPr>
    </w:p>
    <w:p w14:paraId="09960703" w14:textId="071C37CB" w:rsidR="00B82EE0" w:rsidRDefault="00B82EE0" w:rsidP="00405E25">
      <w:pPr>
        <w:spacing w:after="0" w:line="240" w:lineRule="auto"/>
        <w:jc w:val="both"/>
        <w:rPr>
          <w:rFonts w:asciiTheme="majorBidi" w:eastAsiaTheme="minorEastAsia" w:hAnsiTheme="majorBidi" w:cstheme="majorBidi"/>
        </w:rPr>
      </w:pPr>
      <w:r>
        <w:rPr>
          <w:rFonts w:asciiTheme="majorBidi" w:eastAsiaTheme="minorEastAsia" w:hAnsiTheme="majorBidi" w:cstheme="majorBidi"/>
          <w:noProof/>
        </w:rPr>
        <w:drawing>
          <wp:inline distT="0" distB="0" distL="0" distR="0" wp14:anchorId="4FCD632C" wp14:editId="7228178C">
            <wp:extent cx="5730875" cy="2530475"/>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0875" cy="2530475"/>
                    </a:xfrm>
                    <a:prstGeom prst="rect">
                      <a:avLst/>
                    </a:prstGeom>
                    <a:noFill/>
                    <a:ln>
                      <a:noFill/>
                    </a:ln>
                  </pic:spPr>
                </pic:pic>
              </a:graphicData>
            </a:graphic>
          </wp:inline>
        </w:drawing>
      </w:r>
    </w:p>
    <w:p w14:paraId="226D6FE7" w14:textId="374476E9" w:rsidR="00A05016" w:rsidRDefault="00A05016" w:rsidP="00405E25">
      <w:pPr>
        <w:spacing w:after="0" w:line="240" w:lineRule="auto"/>
        <w:jc w:val="both"/>
        <w:rPr>
          <w:rFonts w:asciiTheme="majorBidi" w:eastAsiaTheme="minorEastAsia" w:hAnsiTheme="majorBidi" w:cstheme="majorBidi"/>
        </w:rPr>
      </w:pPr>
    </w:p>
    <w:p w14:paraId="1430B403" w14:textId="4662497C" w:rsidR="007041E3" w:rsidRPr="008C12F4" w:rsidRDefault="008C12F4" w:rsidP="00405E25">
      <w:pPr>
        <w:spacing w:after="0" w:line="240" w:lineRule="auto"/>
        <w:jc w:val="both"/>
        <w:rPr>
          <w:rFonts w:asciiTheme="majorBidi" w:eastAsiaTheme="minorEastAsia" w:hAnsiTheme="majorBidi" w:cstheme="majorBidi"/>
        </w:rPr>
      </w:pPr>
      <w:r w:rsidRPr="00786286">
        <w:rPr>
          <w:rFonts w:asciiTheme="majorBidi" w:eastAsiaTheme="minorEastAsia" w:hAnsiTheme="majorBidi" w:cstheme="majorBidi"/>
          <w:b/>
          <w:bCs/>
        </w:rPr>
        <w:t>Fig</w:t>
      </w:r>
      <w:r w:rsidR="00786286">
        <w:rPr>
          <w:rFonts w:asciiTheme="majorBidi" w:eastAsiaTheme="minorEastAsia" w:hAnsiTheme="majorBidi" w:cstheme="majorBidi"/>
          <w:b/>
          <w:bCs/>
        </w:rPr>
        <w:t>.</w:t>
      </w:r>
      <w:r w:rsidRPr="00786286">
        <w:rPr>
          <w:rFonts w:asciiTheme="majorBidi" w:eastAsiaTheme="minorEastAsia" w:hAnsiTheme="majorBidi" w:cstheme="majorBidi"/>
          <w:b/>
          <w:bCs/>
        </w:rPr>
        <w:t xml:space="preserve"> </w:t>
      </w:r>
      <w:r w:rsidR="007E5EC8" w:rsidRPr="00786286">
        <w:rPr>
          <w:rFonts w:asciiTheme="majorBidi" w:eastAsiaTheme="minorEastAsia" w:hAnsiTheme="majorBidi" w:cstheme="majorBidi"/>
          <w:b/>
          <w:bCs/>
        </w:rPr>
        <w:t>S</w:t>
      </w:r>
      <w:r w:rsidRPr="00786286">
        <w:rPr>
          <w:rFonts w:asciiTheme="majorBidi" w:eastAsiaTheme="minorEastAsia" w:hAnsiTheme="majorBidi" w:cstheme="majorBidi"/>
          <w:b/>
          <w:bCs/>
        </w:rPr>
        <w:t>1:</w:t>
      </w:r>
      <w:r w:rsidRPr="004D2AA9">
        <w:rPr>
          <w:rFonts w:asciiTheme="majorBidi" w:eastAsiaTheme="minorEastAsia" w:hAnsiTheme="majorBidi" w:cstheme="majorBidi"/>
        </w:rPr>
        <w:t xml:space="preserve"> (a) Plot of the temperature vs. time for the nanohybrids (50</w:t>
      </w:r>
      <w:r w:rsidR="00E45D01">
        <w:rPr>
          <w:rFonts w:asciiTheme="majorBidi" w:eastAsiaTheme="minorEastAsia" w:hAnsiTheme="majorBidi" w:cstheme="majorBidi"/>
        </w:rPr>
        <w:t>0</w:t>
      </w:r>
      <w:r w:rsidRPr="004D2AA9">
        <w:rPr>
          <w:rFonts w:asciiTheme="majorBidi" w:eastAsiaTheme="minorEastAsia" w:hAnsiTheme="majorBidi" w:cstheme="majorBidi"/>
        </w:rPr>
        <w:t xml:space="preserve"> μg/mL</w:t>
      </w:r>
      <w:r w:rsidR="00EB5300">
        <w:rPr>
          <w:rFonts w:asciiTheme="majorBidi" w:eastAsiaTheme="minorEastAsia" w:hAnsiTheme="majorBidi" w:cstheme="majorBidi"/>
        </w:rPr>
        <w:t xml:space="preserve"> Au</w:t>
      </w:r>
      <w:r w:rsidRPr="004D2AA9">
        <w:rPr>
          <w:rFonts w:asciiTheme="majorBidi" w:eastAsiaTheme="minorEastAsia" w:hAnsiTheme="majorBidi" w:cstheme="majorBidi"/>
        </w:rPr>
        <w:t>, A</w:t>
      </w:r>
      <w:r w:rsidRPr="00EB5300">
        <w:rPr>
          <w:rFonts w:asciiTheme="majorBidi" w:eastAsiaTheme="minorEastAsia" w:hAnsiTheme="majorBidi" w:cstheme="majorBidi"/>
          <w:vertAlign w:val="subscript"/>
        </w:rPr>
        <w:t>808</w:t>
      </w:r>
      <w:r w:rsidRPr="004D2AA9">
        <w:rPr>
          <w:rFonts w:asciiTheme="majorBidi" w:eastAsiaTheme="minorEastAsia" w:hAnsiTheme="majorBidi" w:cstheme="majorBidi"/>
        </w:rPr>
        <w:t xml:space="preserve"> = </w:t>
      </w:r>
      <w:r w:rsidR="004D2AA9" w:rsidRPr="004D2AA9">
        <w:rPr>
          <w:rFonts w:asciiTheme="majorBidi" w:eastAsiaTheme="minorEastAsia" w:hAnsiTheme="majorBidi" w:cstheme="majorBidi"/>
        </w:rPr>
        <w:t>3.2</w:t>
      </w:r>
      <w:r w:rsidRPr="004D2AA9">
        <w:rPr>
          <w:rFonts w:asciiTheme="majorBidi" w:eastAsiaTheme="minorEastAsia" w:hAnsiTheme="majorBidi" w:cstheme="majorBidi"/>
        </w:rPr>
        <w:t>) during laser</w:t>
      </w:r>
      <w:r w:rsidRPr="008C12F4">
        <w:rPr>
          <w:rFonts w:asciiTheme="majorBidi" w:eastAsiaTheme="minorEastAsia" w:hAnsiTheme="majorBidi" w:cstheme="majorBidi"/>
        </w:rPr>
        <w:t xml:space="preserve"> irradiation (808 nm, 1.</w:t>
      </w:r>
      <w:r>
        <w:rPr>
          <w:rFonts w:asciiTheme="majorBidi" w:eastAsiaTheme="minorEastAsia" w:hAnsiTheme="majorBidi" w:cstheme="majorBidi"/>
        </w:rPr>
        <w:t>4</w:t>
      </w:r>
      <w:r w:rsidRPr="008C12F4">
        <w:rPr>
          <w:rFonts w:asciiTheme="majorBidi" w:eastAsiaTheme="minorEastAsia" w:hAnsiTheme="majorBidi" w:cstheme="majorBidi"/>
        </w:rPr>
        <w:t xml:space="preserve"> W/cm</w:t>
      </w:r>
      <w:r w:rsidRPr="008C12F4">
        <w:rPr>
          <w:rFonts w:asciiTheme="majorBidi" w:eastAsiaTheme="minorEastAsia" w:hAnsiTheme="majorBidi" w:cstheme="majorBidi"/>
          <w:vertAlign w:val="superscript"/>
        </w:rPr>
        <w:t>2</w:t>
      </w:r>
      <w:r w:rsidRPr="008C12F4">
        <w:rPr>
          <w:rFonts w:asciiTheme="majorBidi" w:eastAsiaTheme="minorEastAsia" w:hAnsiTheme="majorBidi" w:cstheme="majorBidi"/>
        </w:rPr>
        <w:t xml:space="preserve">) and cooling (laser off) stages. (b) </w:t>
      </w:r>
      <w:r w:rsidR="00FB0B13">
        <w:rPr>
          <w:rFonts w:asciiTheme="majorBidi" w:eastAsiaTheme="minorEastAsia" w:hAnsiTheme="majorBidi" w:cstheme="majorBidi"/>
        </w:rPr>
        <w:t>P</w:t>
      </w:r>
      <w:r w:rsidRPr="008C12F4">
        <w:rPr>
          <w:rFonts w:asciiTheme="majorBidi" w:eastAsiaTheme="minorEastAsia" w:hAnsiTheme="majorBidi" w:cstheme="majorBidi"/>
        </w:rPr>
        <w:t>lot of the cooling time vs. -</w:t>
      </w:r>
      <w:r>
        <w:rPr>
          <w:rFonts w:asciiTheme="majorBidi" w:eastAsiaTheme="minorEastAsia" w:hAnsiTheme="majorBidi" w:cstheme="majorBidi"/>
        </w:rPr>
        <w:t>L</w:t>
      </w:r>
      <w:r w:rsidRPr="008C12F4">
        <w:rPr>
          <w:rFonts w:asciiTheme="majorBidi" w:eastAsiaTheme="minorEastAsia" w:hAnsiTheme="majorBidi" w:cstheme="majorBidi"/>
        </w:rPr>
        <w:t>nθ</w:t>
      </w:r>
      <w:r w:rsidR="00840CC6">
        <w:rPr>
          <w:rFonts w:asciiTheme="majorBidi" w:eastAsiaTheme="minorEastAsia" w:hAnsiTheme="majorBidi" w:cstheme="majorBidi"/>
        </w:rPr>
        <w:t>.</w:t>
      </w:r>
    </w:p>
    <w:p w14:paraId="6B2CF809" w14:textId="7D078882" w:rsidR="008C12F4" w:rsidRDefault="008C12F4" w:rsidP="00405E25">
      <w:pPr>
        <w:jc w:val="both"/>
        <w:rPr>
          <w:rFonts w:asciiTheme="majorBidi" w:eastAsiaTheme="minorEastAsia" w:hAnsiTheme="majorBidi" w:cstheme="majorBidi"/>
          <w:sz w:val="24"/>
          <w:szCs w:val="24"/>
        </w:rPr>
      </w:pPr>
    </w:p>
    <w:p w14:paraId="6CD05BE1" w14:textId="0AC0B29D" w:rsidR="008C12F4" w:rsidRDefault="008C12F4" w:rsidP="00405E25">
      <w:pPr>
        <w:jc w:val="both"/>
        <w:rPr>
          <w:rFonts w:asciiTheme="majorBidi" w:eastAsiaTheme="minorEastAsia" w:hAnsiTheme="majorBidi" w:cstheme="majorBidi"/>
          <w:sz w:val="24"/>
          <w:szCs w:val="24"/>
        </w:rPr>
      </w:pPr>
    </w:p>
    <w:p w14:paraId="0EE6A23C" w14:textId="56B0E404" w:rsidR="008C12F4" w:rsidRDefault="008C12F4" w:rsidP="00405E25">
      <w:pPr>
        <w:jc w:val="both"/>
        <w:rPr>
          <w:rFonts w:asciiTheme="majorBidi" w:eastAsiaTheme="minorEastAsia" w:hAnsiTheme="majorBidi" w:cstheme="majorBidi"/>
          <w:sz w:val="24"/>
          <w:szCs w:val="24"/>
        </w:rPr>
      </w:pPr>
    </w:p>
    <w:p w14:paraId="1B7ADEE4" w14:textId="7D471D64" w:rsidR="005424F6" w:rsidRDefault="005424F6" w:rsidP="00B82EE0">
      <w:pPr>
        <w:spacing w:line="480" w:lineRule="auto"/>
        <w:jc w:val="both"/>
        <w:rPr>
          <w:rFonts w:asciiTheme="majorBidi" w:hAnsiTheme="majorBidi" w:cstheme="majorBidi"/>
          <w:sz w:val="24"/>
          <w:szCs w:val="24"/>
        </w:rPr>
      </w:pPr>
      <w:r w:rsidRPr="00B82EE0">
        <w:rPr>
          <w:rFonts w:asciiTheme="majorBidi" w:hAnsiTheme="majorBidi" w:cstheme="majorBidi"/>
          <w:b/>
          <w:bCs/>
          <w:i/>
          <w:iCs/>
          <w:sz w:val="24"/>
          <w:szCs w:val="24"/>
        </w:rPr>
        <w:t>In vitro</w:t>
      </w:r>
      <w:r w:rsidRPr="005424F6">
        <w:rPr>
          <w:rFonts w:asciiTheme="majorBidi" w:hAnsiTheme="majorBidi" w:cstheme="majorBidi"/>
          <w:b/>
          <w:bCs/>
          <w:sz w:val="24"/>
          <w:szCs w:val="24"/>
        </w:rPr>
        <w:t xml:space="preserve"> study of NPTT</w:t>
      </w:r>
    </w:p>
    <w:p w14:paraId="7E1BCA1D" w14:textId="4B68DF89" w:rsidR="00BF2BD3" w:rsidRPr="00840CC6" w:rsidRDefault="00840CC6" w:rsidP="00840CC6">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0026526B" w:rsidRPr="0026526B">
        <w:rPr>
          <w:rFonts w:asciiTheme="majorBidi" w:hAnsiTheme="majorBidi" w:cstheme="majorBidi"/>
          <w:sz w:val="24"/>
          <w:szCs w:val="24"/>
        </w:rPr>
        <w:t xml:space="preserve">We assessed the cytotoxicity of the </w:t>
      </w:r>
      <w:r w:rsidR="00B82EE0">
        <w:rPr>
          <w:rFonts w:asciiTheme="majorBidi" w:hAnsiTheme="majorBidi" w:cstheme="majorBidi"/>
          <w:sz w:val="24"/>
          <w:szCs w:val="24"/>
        </w:rPr>
        <w:t>nanohybrids</w:t>
      </w:r>
      <w:r w:rsidR="0026526B" w:rsidRPr="0026526B">
        <w:rPr>
          <w:rFonts w:asciiTheme="majorBidi" w:hAnsiTheme="majorBidi" w:cstheme="majorBidi"/>
          <w:sz w:val="24"/>
          <w:szCs w:val="24"/>
        </w:rPr>
        <w:t xml:space="preserve"> using the methyl thiazolyl tetrazolium (MTT) assay. Briefly, we seeded a suspension of CT26 cells at a concentration of </w:t>
      </w:r>
      <w:sdt>
        <w:sdtPr>
          <w:tag w:val="goog_rdk_0"/>
          <w:id w:val="1087047646"/>
        </w:sdtPr>
        <w:sdtContent/>
      </w:sdt>
      <w:sdt>
        <w:sdtPr>
          <w:tag w:val="goog_rdk_2"/>
          <w:id w:val="755092575"/>
        </w:sdtPr>
        <w:sdtContent/>
      </w:sdt>
      <w:r w:rsidR="0026526B" w:rsidRPr="0026526B">
        <w:rPr>
          <w:rFonts w:asciiTheme="majorBidi" w:hAnsiTheme="majorBidi" w:cstheme="majorBidi"/>
          <w:sz w:val="24"/>
          <w:szCs w:val="24"/>
        </w:rPr>
        <w:t>5 × 10</w:t>
      </w:r>
      <w:r w:rsidR="0026526B" w:rsidRPr="005424F6">
        <w:rPr>
          <w:rFonts w:asciiTheme="majorBidi" w:hAnsiTheme="majorBidi" w:cstheme="majorBidi"/>
          <w:sz w:val="24"/>
          <w:szCs w:val="24"/>
          <w:vertAlign w:val="superscript"/>
        </w:rPr>
        <w:t>4</w:t>
      </w:r>
      <w:r w:rsidR="0026526B" w:rsidRPr="0026526B">
        <w:rPr>
          <w:rFonts w:asciiTheme="majorBidi" w:hAnsiTheme="majorBidi" w:cstheme="majorBidi"/>
          <w:sz w:val="24"/>
          <w:szCs w:val="24"/>
        </w:rPr>
        <w:t xml:space="preserve"> cells/mL in complete RPMI medium into a 96-well plate and allowed them to adhere for 24 </w:t>
      </w:r>
      <w:r w:rsidR="0026526B" w:rsidRPr="0026526B">
        <w:rPr>
          <w:rFonts w:asciiTheme="majorBidi" w:hAnsiTheme="majorBidi" w:cstheme="majorBidi"/>
          <w:sz w:val="24"/>
          <w:szCs w:val="24"/>
        </w:rPr>
        <w:lastRenderedPageBreak/>
        <w:t xml:space="preserve">hours. We then replaced the medium with a fresh one containing nanohybrids with varying gold concentrations. After incubation for 4, 12, and 24 hours at 37°C, we added 50 μL of MTT solution (1.0 mg/mL in PBS) to each well. Following an additional 4 hours of incubation, we removed the medium and added 100 μL of dimethyl sulfoxide (DMSO) to each well to dissolve the formazan crystals. We measured the absorbance of the formazan crystals at 570 nm using a Bio-Rad ELISA </w:t>
      </w:r>
      <w:r w:rsidR="0026526B" w:rsidRPr="00EF7898">
        <w:rPr>
          <w:rFonts w:asciiTheme="majorBidi" w:hAnsiTheme="majorBidi" w:cstheme="majorBidi"/>
          <w:sz w:val="24"/>
          <w:szCs w:val="24"/>
        </w:rPr>
        <w:t>reader</w:t>
      </w:r>
      <w:r>
        <w:rPr>
          <w:rFonts w:asciiTheme="majorBidi" w:hAnsiTheme="majorBidi" w:cstheme="majorBidi"/>
          <w:sz w:val="24"/>
          <w:szCs w:val="24"/>
        </w:rPr>
        <w:t xml:space="preserve">. </w:t>
      </w:r>
      <w:r w:rsidR="00EF7898" w:rsidRPr="00EF7898">
        <w:rPr>
          <w:rFonts w:asciiTheme="majorBidi" w:hAnsiTheme="majorBidi" w:cstheme="majorBidi"/>
          <w:sz w:val="24"/>
          <w:szCs w:val="24"/>
        </w:rPr>
        <w:t>Fig. S2a</w:t>
      </w:r>
      <w:r w:rsidR="00EF7898">
        <w:rPr>
          <w:rFonts w:asciiTheme="majorBidi" w:hAnsiTheme="majorBidi" w:cstheme="majorBidi"/>
          <w:sz w:val="24"/>
          <w:szCs w:val="24"/>
        </w:rPr>
        <w:t xml:space="preserve"> </w:t>
      </w:r>
      <w:r w:rsidR="00EF7898" w:rsidRPr="00EF7898">
        <w:rPr>
          <w:rFonts w:asciiTheme="majorBidi" w:hAnsiTheme="majorBidi" w:cstheme="majorBidi"/>
          <w:sz w:val="24"/>
          <w:szCs w:val="24"/>
        </w:rPr>
        <w:t>shows the viability of CT26 cells treated with nanohybrids at varying gold concentrations over 4, 12, and 24 hours</w:t>
      </w:r>
      <w:r w:rsidR="0026526B" w:rsidRPr="0026526B">
        <w:rPr>
          <w:rFonts w:asciiTheme="majorBidi" w:hAnsiTheme="majorBidi" w:cstheme="majorBidi"/>
          <w:sz w:val="24"/>
          <w:szCs w:val="24"/>
        </w:rPr>
        <w:t>.</w:t>
      </w:r>
      <w:r w:rsidR="005424F6" w:rsidRPr="00EF7898">
        <w:rPr>
          <w:rFonts w:asciiTheme="majorBidi" w:hAnsiTheme="majorBidi" w:cstheme="majorBidi"/>
          <w:sz w:val="24"/>
          <w:szCs w:val="24"/>
        </w:rPr>
        <w:t xml:space="preserve"> </w:t>
      </w:r>
      <w:r w:rsidR="00EF7898" w:rsidRPr="00EF7898">
        <w:rPr>
          <w:rFonts w:asciiTheme="majorBidi" w:hAnsiTheme="majorBidi" w:cstheme="majorBidi"/>
          <w:sz w:val="24"/>
          <w:szCs w:val="24"/>
        </w:rPr>
        <w:t xml:space="preserve">Based on MTT assay results, </w:t>
      </w:r>
      <w:r w:rsidR="005424F6">
        <w:rPr>
          <w:rFonts w:asciiTheme="majorBidi" w:hAnsiTheme="majorBidi" w:cstheme="majorBidi"/>
          <w:sz w:val="24"/>
          <w:szCs w:val="24"/>
        </w:rPr>
        <w:t>C</w:t>
      </w:r>
      <w:r w:rsidR="005424F6" w:rsidRPr="005424F6">
        <w:rPr>
          <w:rFonts w:asciiTheme="majorBidi" w:hAnsiTheme="majorBidi" w:cstheme="majorBidi"/>
          <w:sz w:val="24"/>
          <w:szCs w:val="24"/>
        </w:rPr>
        <w:t>T26 cancer cells were incubated with nanohybrid at the concentration of 2</w:t>
      </w:r>
      <w:r w:rsidR="00EF7898">
        <w:rPr>
          <w:rFonts w:asciiTheme="majorBidi" w:hAnsiTheme="majorBidi" w:cstheme="majorBidi"/>
          <w:sz w:val="24"/>
          <w:szCs w:val="24"/>
        </w:rPr>
        <w:t>0</w:t>
      </w:r>
      <w:r w:rsidR="005424F6" w:rsidRPr="005424F6">
        <w:rPr>
          <w:rFonts w:asciiTheme="majorBidi" w:hAnsiTheme="majorBidi" w:cstheme="majorBidi"/>
          <w:sz w:val="24"/>
          <w:szCs w:val="24"/>
        </w:rPr>
        <w:t xml:space="preserve"> μg/mL for 12h and then irradiated by the 808 nm laser at different laser power densities</w:t>
      </w:r>
      <w:r>
        <w:rPr>
          <w:rFonts w:asciiTheme="majorBidi" w:hAnsiTheme="majorBidi" w:cstheme="majorBidi"/>
          <w:sz w:val="24"/>
          <w:szCs w:val="24"/>
        </w:rPr>
        <w:t xml:space="preserve"> for 5 min. </w:t>
      </w:r>
      <w:r w:rsidRPr="00840CC6">
        <w:rPr>
          <w:rFonts w:asciiTheme="majorBidi" w:hAnsiTheme="majorBidi" w:cstheme="majorBidi"/>
          <w:sz w:val="24"/>
          <w:szCs w:val="24"/>
        </w:rPr>
        <w:t>An MTT assay was also</w:t>
      </w:r>
      <w:r>
        <w:rPr>
          <w:rFonts w:asciiTheme="majorBidi" w:hAnsiTheme="majorBidi" w:cstheme="majorBidi"/>
          <w:sz w:val="24"/>
          <w:szCs w:val="24"/>
        </w:rPr>
        <w:t xml:space="preserve"> </w:t>
      </w:r>
      <w:r w:rsidRPr="00840CC6">
        <w:rPr>
          <w:rFonts w:asciiTheme="majorBidi" w:hAnsiTheme="majorBidi" w:cstheme="majorBidi"/>
          <w:sz w:val="24"/>
          <w:szCs w:val="24"/>
        </w:rPr>
        <w:t xml:space="preserve">performed to quantitatively measure the cell viabilities after </w:t>
      </w:r>
      <w:r>
        <w:rPr>
          <w:rFonts w:asciiTheme="majorBidi" w:hAnsiTheme="majorBidi" w:cstheme="majorBidi"/>
          <w:sz w:val="24"/>
          <w:szCs w:val="24"/>
        </w:rPr>
        <w:t>N</w:t>
      </w:r>
      <w:r w:rsidRPr="00840CC6">
        <w:rPr>
          <w:rFonts w:asciiTheme="majorBidi" w:hAnsiTheme="majorBidi" w:cstheme="majorBidi"/>
          <w:sz w:val="24"/>
          <w:szCs w:val="24"/>
        </w:rPr>
        <w:t xml:space="preserve">PTT under different laser powers </w:t>
      </w:r>
      <w:r>
        <w:rPr>
          <w:rFonts w:asciiTheme="majorBidi" w:hAnsiTheme="majorBidi" w:cstheme="majorBidi"/>
          <w:sz w:val="24"/>
          <w:szCs w:val="24"/>
        </w:rPr>
        <w:t>(</w:t>
      </w:r>
      <w:r w:rsidRPr="00EF7898">
        <w:rPr>
          <w:rFonts w:asciiTheme="majorBidi" w:hAnsiTheme="majorBidi" w:cstheme="majorBidi"/>
          <w:sz w:val="24"/>
          <w:szCs w:val="24"/>
        </w:rPr>
        <w:t>Fig. S2</w:t>
      </w:r>
      <w:r>
        <w:rPr>
          <w:rFonts w:asciiTheme="majorBidi" w:hAnsiTheme="majorBidi" w:cstheme="majorBidi"/>
          <w:sz w:val="24"/>
          <w:szCs w:val="24"/>
        </w:rPr>
        <w:t>b)</w:t>
      </w:r>
      <w:r w:rsidR="005424F6" w:rsidRPr="005424F6">
        <w:rPr>
          <w:rFonts w:asciiTheme="majorBidi" w:hAnsiTheme="majorBidi" w:cstheme="majorBidi"/>
          <w:sz w:val="24"/>
          <w:szCs w:val="24"/>
        </w:rPr>
        <w:t xml:space="preserve">. </w:t>
      </w:r>
    </w:p>
    <w:p w14:paraId="1E305838" w14:textId="21FC1202" w:rsidR="00B762A6" w:rsidRDefault="00B82EE0" w:rsidP="00B762A6">
      <w:pPr>
        <w:jc w:val="center"/>
        <w:rPr>
          <w:rFonts w:asciiTheme="majorBidi" w:hAnsiTheme="majorBidi" w:cstheme="majorBidi"/>
          <w:b/>
          <w:bCs/>
          <w:sz w:val="24"/>
          <w:szCs w:val="24"/>
        </w:rPr>
      </w:pPr>
      <w:r>
        <w:rPr>
          <w:rFonts w:asciiTheme="majorBidi" w:hAnsiTheme="majorBidi" w:cstheme="majorBidi"/>
          <w:b/>
          <w:bCs/>
          <w:noProof/>
          <w:sz w:val="24"/>
          <w:szCs w:val="24"/>
        </w:rPr>
        <w:drawing>
          <wp:anchor distT="0" distB="0" distL="114300" distR="114300" simplePos="0" relativeHeight="251658240" behindDoc="0" locked="0" layoutInCell="1" allowOverlap="1" wp14:anchorId="15C9D1B6" wp14:editId="502391DF">
            <wp:simplePos x="0" y="0"/>
            <wp:positionH relativeFrom="margin">
              <wp:align>right</wp:align>
            </wp:positionH>
            <wp:positionV relativeFrom="paragraph">
              <wp:posOffset>231775</wp:posOffset>
            </wp:positionV>
            <wp:extent cx="5734050" cy="2466975"/>
            <wp:effectExtent l="0" t="0" r="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4050" cy="2466975"/>
                    </a:xfrm>
                    <a:prstGeom prst="rect">
                      <a:avLst/>
                    </a:prstGeom>
                    <a:noFill/>
                    <a:ln>
                      <a:noFill/>
                    </a:ln>
                  </pic:spPr>
                </pic:pic>
              </a:graphicData>
            </a:graphic>
          </wp:anchor>
        </w:drawing>
      </w:r>
    </w:p>
    <w:p w14:paraId="367E24D3" w14:textId="77777777" w:rsidR="00B82EE0" w:rsidRDefault="00B82EE0" w:rsidP="005424F6">
      <w:pPr>
        <w:jc w:val="both"/>
        <w:rPr>
          <w:rFonts w:asciiTheme="majorBidi" w:eastAsiaTheme="minorEastAsia" w:hAnsiTheme="majorBidi" w:cstheme="majorBidi"/>
        </w:rPr>
      </w:pPr>
    </w:p>
    <w:p w14:paraId="218B6D2F" w14:textId="6E93D666" w:rsidR="00B762A6" w:rsidRDefault="00534AD3" w:rsidP="005424F6">
      <w:pPr>
        <w:jc w:val="both"/>
        <w:rPr>
          <w:rFonts w:asciiTheme="majorBidi" w:hAnsiTheme="majorBidi" w:cstheme="majorBidi"/>
        </w:rPr>
      </w:pPr>
      <w:r w:rsidRPr="00786286">
        <w:rPr>
          <w:rFonts w:asciiTheme="majorBidi" w:eastAsiaTheme="minorEastAsia" w:hAnsiTheme="majorBidi" w:cstheme="majorBidi"/>
          <w:b/>
          <w:bCs/>
        </w:rPr>
        <w:t>Fig</w:t>
      </w:r>
      <w:r w:rsidR="00786286" w:rsidRPr="00786286">
        <w:rPr>
          <w:rFonts w:asciiTheme="majorBidi" w:eastAsiaTheme="minorEastAsia" w:hAnsiTheme="majorBidi" w:cstheme="majorBidi"/>
          <w:b/>
          <w:bCs/>
        </w:rPr>
        <w:t>.</w:t>
      </w:r>
      <w:r w:rsidRPr="00786286">
        <w:rPr>
          <w:rFonts w:asciiTheme="majorBidi" w:eastAsiaTheme="minorEastAsia" w:hAnsiTheme="majorBidi" w:cstheme="majorBidi"/>
          <w:b/>
          <w:bCs/>
        </w:rPr>
        <w:t xml:space="preserve"> S2:</w:t>
      </w:r>
      <w:r w:rsidRPr="004D2AA9">
        <w:rPr>
          <w:rFonts w:asciiTheme="majorBidi" w:eastAsiaTheme="minorEastAsia" w:hAnsiTheme="majorBidi" w:cstheme="majorBidi"/>
        </w:rPr>
        <w:t xml:space="preserve"> </w:t>
      </w:r>
      <w:r w:rsidR="005424F6" w:rsidRPr="00B82EE0">
        <w:rPr>
          <w:rFonts w:asciiTheme="majorBidi" w:eastAsiaTheme="minorEastAsia" w:hAnsiTheme="majorBidi" w:cstheme="majorBidi"/>
          <w:i/>
          <w:iCs/>
        </w:rPr>
        <w:t>In vitro</w:t>
      </w:r>
      <w:r w:rsidR="005424F6" w:rsidRPr="005424F6">
        <w:rPr>
          <w:rFonts w:asciiTheme="majorBidi" w:eastAsiaTheme="minorEastAsia" w:hAnsiTheme="majorBidi" w:cstheme="majorBidi"/>
        </w:rPr>
        <w:t xml:space="preserve"> cell experiments.</w:t>
      </w:r>
      <w:r w:rsidR="005424F6">
        <w:rPr>
          <w:rFonts w:asciiTheme="majorBidi" w:eastAsiaTheme="minorEastAsia" w:hAnsiTheme="majorBidi" w:cstheme="majorBidi"/>
        </w:rPr>
        <w:t xml:space="preserve"> </w:t>
      </w:r>
      <w:r w:rsidR="005424F6" w:rsidRPr="005424F6">
        <w:rPr>
          <w:rFonts w:asciiTheme="majorBidi" w:eastAsiaTheme="minorEastAsia" w:hAnsiTheme="majorBidi" w:cstheme="majorBidi"/>
        </w:rPr>
        <w:t>(a)</w:t>
      </w:r>
      <w:r w:rsidR="005424F6">
        <w:rPr>
          <w:rFonts w:asciiTheme="majorBidi" w:eastAsiaTheme="minorEastAsia" w:hAnsiTheme="majorBidi" w:cstheme="majorBidi"/>
        </w:rPr>
        <w:t xml:space="preserve"> </w:t>
      </w:r>
      <w:r w:rsidR="00B762A6" w:rsidRPr="00B762A6">
        <w:rPr>
          <w:rFonts w:asciiTheme="majorBidi" w:hAnsiTheme="majorBidi" w:cstheme="majorBidi"/>
        </w:rPr>
        <w:t xml:space="preserve">This chart shows </w:t>
      </w:r>
      <w:bookmarkStart w:id="1" w:name="_Hlk129384520"/>
      <w:r w:rsidR="00B762A6" w:rsidRPr="00B762A6">
        <w:rPr>
          <w:rFonts w:asciiTheme="majorBidi" w:hAnsiTheme="majorBidi" w:cstheme="majorBidi"/>
        </w:rPr>
        <w:t xml:space="preserve">the viability of CT26 cells treated with </w:t>
      </w:r>
      <w:r w:rsidR="004F4939">
        <w:rPr>
          <w:rFonts w:asciiTheme="majorBidi" w:hAnsiTheme="majorBidi" w:cstheme="majorBidi"/>
        </w:rPr>
        <w:t>n</w:t>
      </w:r>
      <w:r w:rsidR="00B762A6" w:rsidRPr="00B762A6">
        <w:rPr>
          <w:rFonts w:asciiTheme="majorBidi" w:hAnsiTheme="majorBidi" w:cstheme="majorBidi"/>
        </w:rPr>
        <w:t>anohybrids at varying gold concentrations over 4, 12, and 24 hours</w:t>
      </w:r>
      <w:bookmarkEnd w:id="1"/>
      <w:r w:rsidR="00B762A6" w:rsidRPr="00B762A6">
        <w:rPr>
          <w:rFonts w:asciiTheme="majorBidi" w:hAnsiTheme="majorBidi" w:cstheme="majorBidi"/>
        </w:rPr>
        <w:t xml:space="preserve">. </w:t>
      </w:r>
      <w:r w:rsidR="005424F6" w:rsidRPr="005424F6">
        <w:rPr>
          <w:rFonts w:asciiTheme="majorBidi" w:hAnsiTheme="majorBidi" w:cstheme="majorBidi"/>
        </w:rPr>
        <w:t>(b)</w:t>
      </w:r>
      <w:r w:rsidR="005424F6">
        <w:rPr>
          <w:rFonts w:asciiTheme="majorBidi" w:hAnsiTheme="majorBidi" w:cstheme="majorBidi"/>
        </w:rPr>
        <w:t xml:space="preserve"> </w:t>
      </w:r>
      <w:r w:rsidR="00B82EE0">
        <w:rPr>
          <w:rFonts w:asciiTheme="majorBidi" w:hAnsiTheme="majorBidi" w:cstheme="majorBidi"/>
        </w:rPr>
        <w:t>V</w:t>
      </w:r>
      <w:r w:rsidR="005424F6" w:rsidRPr="005424F6">
        <w:rPr>
          <w:rFonts w:asciiTheme="majorBidi" w:hAnsiTheme="majorBidi" w:cstheme="majorBidi"/>
        </w:rPr>
        <w:t xml:space="preserve">iabilities </w:t>
      </w:r>
      <w:r w:rsidR="00B82EE0">
        <w:rPr>
          <w:rFonts w:asciiTheme="majorBidi" w:hAnsiTheme="majorBidi" w:cstheme="majorBidi"/>
        </w:rPr>
        <w:t xml:space="preserve">of </w:t>
      </w:r>
      <w:r w:rsidR="005424F6" w:rsidRPr="005424F6">
        <w:rPr>
          <w:rFonts w:asciiTheme="majorBidi" w:hAnsiTheme="majorBidi" w:cstheme="majorBidi"/>
        </w:rPr>
        <w:t xml:space="preserve">CT26 cells after NPTT at different laser power densities. Error bars were based on the standard deviations of </w:t>
      </w:r>
      <w:r w:rsidR="00B82EE0">
        <w:rPr>
          <w:rFonts w:asciiTheme="majorBidi" w:hAnsiTheme="majorBidi" w:cstheme="majorBidi"/>
        </w:rPr>
        <w:t>three</w:t>
      </w:r>
      <w:r w:rsidR="005424F6" w:rsidRPr="005424F6">
        <w:rPr>
          <w:rFonts w:asciiTheme="majorBidi" w:hAnsiTheme="majorBidi" w:cstheme="majorBidi"/>
        </w:rPr>
        <w:t xml:space="preserve"> parallel samples.</w:t>
      </w:r>
    </w:p>
    <w:p w14:paraId="5E70DBBD" w14:textId="06B15E1A" w:rsidR="00840CC6" w:rsidRDefault="00840CC6" w:rsidP="005424F6">
      <w:pPr>
        <w:jc w:val="both"/>
        <w:rPr>
          <w:rFonts w:asciiTheme="majorBidi" w:hAnsiTheme="majorBidi" w:cstheme="majorBidi"/>
        </w:rPr>
      </w:pPr>
    </w:p>
    <w:p w14:paraId="5D73AFC9" w14:textId="68E50D40" w:rsidR="00840CC6" w:rsidRDefault="00840CC6" w:rsidP="005424F6">
      <w:pPr>
        <w:jc w:val="both"/>
        <w:rPr>
          <w:rFonts w:asciiTheme="majorBidi" w:hAnsiTheme="majorBidi" w:cstheme="majorBidi"/>
        </w:rPr>
      </w:pPr>
    </w:p>
    <w:p w14:paraId="363A30D5" w14:textId="71703A63" w:rsidR="00840CC6" w:rsidRDefault="00840CC6" w:rsidP="005424F6">
      <w:pPr>
        <w:jc w:val="both"/>
        <w:rPr>
          <w:rFonts w:asciiTheme="majorBidi" w:hAnsiTheme="majorBidi" w:cstheme="majorBidi"/>
        </w:rPr>
      </w:pPr>
    </w:p>
    <w:p w14:paraId="797CCE17" w14:textId="43FB3860" w:rsidR="00840CC6" w:rsidRDefault="00840CC6" w:rsidP="005424F6">
      <w:pPr>
        <w:jc w:val="both"/>
        <w:rPr>
          <w:rFonts w:asciiTheme="majorBidi" w:hAnsiTheme="majorBidi" w:cstheme="majorBidi"/>
        </w:rPr>
      </w:pPr>
    </w:p>
    <w:p w14:paraId="453E4B02" w14:textId="350A3689" w:rsidR="00483E56" w:rsidRDefault="00000000" w:rsidP="005424F6">
      <w:pPr>
        <w:rPr>
          <w:rFonts w:asciiTheme="majorBidi" w:hAnsiTheme="majorBidi" w:cstheme="majorBidi"/>
          <w:sz w:val="24"/>
          <w:szCs w:val="24"/>
        </w:rPr>
      </w:pPr>
      <w:sdt>
        <w:sdtPr>
          <w:tag w:val="goog_rdk_1"/>
          <w:id w:val="-391963249"/>
          <w:showingPlcHdr/>
        </w:sdtPr>
        <w:sdtContent>
          <w:r w:rsidR="005424F6">
            <w:t xml:space="preserve">     </w:t>
          </w:r>
        </w:sdtContent>
      </w:sdt>
    </w:p>
    <w:p w14:paraId="1649C0B2" w14:textId="0FC5EA6E" w:rsidR="00381210" w:rsidRDefault="00381210" w:rsidP="00786286">
      <w:pPr>
        <w:rPr>
          <w:rFonts w:asciiTheme="majorBidi" w:hAnsiTheme="majorBidi" w:cstheme="majorBidi"/>
          <w:b/>
          <w:bCs/>
          <w:sz w:val="24"/>
          <w:szCs w:val="24"/>
        </w:rPr>
      </w:pPr>
      <w:r>
        <w:rPr>
          <w:rFonts w:asciiTheme="majorBidi" w:hAnsiTheme="majorBidi" w:cstheme="majorBidi"/>
          <w:b/>
          <w:bCs/>
          <w:sz w:val="24"/>
          <w:szCs w:val="24"/>
        </w:rPr>
        <w:t xml:space="preserve">References </w:t>
      </w:r>
    </w:p>
    <w:p w14:paraId="14C68C30" w14:textId="77777777" w:rsidR="00CF6E2E" w:rsidRPr="00CF6E2E" w:rsidRDefault="00381210" w:rsidP="00CF6E2E">
      <w:pPr>
        <w:pStyle w:val="EndNoteBibliography"/>
        <w:ind w:left="720" w:hanging="720"/>
      </w:pPr>
      <w:r>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ADDIN EN.REFLIST </w:instrText>
      </w:r>
      <w:r>
        <w:rPr>
          <w:rFonts w:asciiTheme="majorBidi" w:hAnsiTheme="majorBidi" w:cstheme="majorBidi"/>
          <w:b/>
          <w:bCs/>
          <w:sz w:val="24"/>
          <w:szCs w:val="24"/>
        </w:rPr>
        <w:fldChar w:fldCharType="separate"/>
      </w:r>
      <w:r w:rsidR="00CF6E2E" w:rsidRPr="00CF6E2E">
        <w:t>1.</w:t>
      </w:r>
      <w:r w:rsidR="00CF6E2E" w:rsidRPr="00CF6E2E">
        <w:tab/>
        <w:t xml:space="preserve">Tian Q, Jiang F, Zou R, Liu Q, Chen Z, Zhu M, Yang S, Wang J, Wang J, Hu J: </w:t>
      </w:r>
      <w:r w:rsidR="00CF6E2E" w:rsidRPr="00CF6E2E">
        <w:rPr>
          <w:b/>
        </w:rPr>
        <w:t>Hydrophilic Cu9S5 nanocrystals: a photothermal agent with a 25.7% heat conversion efficiency for photothermal ablation of cancer cells in vivo.</w:t>
      </w:r>
      <w:r w:rsidR="00CF6E2E" w:rsidRPr="00CF6E2E">
        <w:t xml:space="preserve"> </w:t>
      </w:r>
      <w:r w:rsidR="00CF6E2E" w:rsidRPr="00CF6E2E">
        <w:rPr>
          <w:i/>
        </w:rPr>
        <w:t xml:space="preserve">ACS nano </w:t>
      </w:r>
      <w:r w:rsidR="00CF6E2E" w:rsidRPr="00CF6E2E">
        <w:t xml:space="preserve">2011, </w:t>
      </w:r>
      <w:r w:rsidR="00CF6E2E" w:rsidRPr="00CF6E2E">
        <w:rPr>
          <w:b/>
        </w:rPr>
        <w:t>5</w:t>
      </w:r>
      <w:r w:rsidR="00CF6E2E" w:rsidRPr="00CF6E2E">
        <w:t>(12):9761-9771.</w:t>
      </w:r>
    </w:p>
    <w:p w14:paraId="40F29C69" w14:textId="3504D0AF" w:rsidR="00BF2BD3" w:rsidRPr="00EF13EF" w:rsidRDefault="00381210" w:rsidP="00CF6E2E">
      <w:pPr>
        <w:rPr>
          <w:rFonts w:asciiTheme="majorBidi" w:hAnsiTheme="majorBidi" w:cstheme="majorBidi"/>
          <w:b/>
          <w:bCs/>
          <w:sz w:val="24"/>
          <w:szCs w:val="24"/>
        </w:rPr>
      </w:pPr>
      <w:r>
        <w:rPr>
          <w:rFonts w:asciiTheme="majorBidi" w:hAnsiTheme="majorBidi" w:cstheme="majorBidi"/>
          <w:b/>
          <w:bCs/>
          <w:sz w:val="24"/>
          <w:szCs w:val="24"/>
        </w:rPr>
        <w:fldChar w:fldCharType="end"/>
      </w:r>
    </w:p>
    <w:sectPr w:rsidR="00BF2BD3" w:rsidRPr="00EF13EF" w:rsidSect="00BF2BD3">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57B9" w14:textId="77777777" w:rsidR="00796AEF" w:rsidRDefault="00796AEF" w:rsidP="00840CC6">
      <w:pPr>
        <w:spacing w:after="0" w:line="240" w:lineRule="auto"/>
      </w:pPr>
      <w:r>
        <w:separator/>
      </w:r>
    </w:p>
  </w:endnote>
  <w:endnote w:type="continuationSeparator" w:id="0">
    <w:p w14:paraId="03BB48A8" w14:textId="77777777" w:rsidR="00796AEF" w:rsidRDefault="00796AEF" w:rsidP="00840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E4F1" w14:textId="77777777" w:rsidR="00796AEF" w:rsidRDefault="00796AEF" w:rsidP="00840CC6">
      <w:pPr>
        <w:spacing w:after="0" w:line="240" w:lineRule="auto"/>
      </w:pPr>
      <w:r>
        <w:separator/>
      </w:r>
    </w:p>
  </w:footnote>
  <w:footnote w:type="continuationSeparator" w:id="0">
    <w:p w14:paraId="070D33CD" w14:textId="77777777" w:rsidR="00796AEF" w:rsidRDefault="00796AEF" w:rsidP="00840C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3MzcyN7E0sTCyNDJW0lEKTi0uzszPAykwrwUA3wyEPiwAAAA="/>
    <w:docVar w:name="EN.InstantFormat" w:val="&lt;ENInstantFormat&gt;&lt;Enabled&gt;1&lt;/Enabled&gt;&lt;ScanUnformatted&gt;1&lt;/ScanUnformatted&gt;&lt;ScanChanges&gt;1&lt;/ScanChanges&gt;&lt;Suspended&gt;0&lt;/Suspended&gt;&lt;/ENInstantFormat&gt;"/>
    <w:docVar w:name="EN.Layout" w:val="&lt;ENLayout&gt;&lt;Style&gt;Biomed Eng OnL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sdxtt9gxrss6e02x3595pozss50pdv5t9x&quot;&gt;My EndNote Library&lt;record-ids&gt;&lt;item&gt;23&lt;/item&gt;&lt;/record-ids&gt;&lt;/item&gt;&lt;/Libraries&gt;"/>
  </w:docVars>
  <w:rsids>
    <w:rsidRoot w:val="00AC682A"/>
    <w:rsid w:val="000647A8"/>
    <w:rsid w:val="000B6B4D"/>
    <w:rsid w:val="000E3829"/>
    <w:rsid w:val="0010306D"/>
    <w:rsid w:val="00107770"/>
    <w:rsid w:val="0016350C"/>
    <w:rsid w:val="001E1D9A"/>
    <w:rsid w:val="0021300B"/>
    <w:rsid w:val="0026526B"/>
    <w:rsid w:val="002678C2"/>
    <w:rsid w:val="0027655C"/>
    <w:rsid w:val="002C73CC"/>
    <w:rsid w:val="002F2836"/>
    <w:rsid w:val="002F3C01"/>
    <w:rsid w:val="00311DA8"/>
    <w:rsid w:val="00315EE3"/>
    <w:rsid w:val="00381210"/>
    <w:rsid w:val="003B234F"/>
    <w:rsid w:val="003D65A3"/>
    <w:rsid w:val="00405E25"/>
    <w:rsid w:val="004175A9"/>
    <w:rsid w:val="00447546"/>
    <w:rsid w:val="00454F51"/>
    <w:rsid w:val="0045597F"/>
    <w:rsid w:val="00483E56"/>
    <w:rsid w:val="004B08D6"/>
    <w:rsid w:val="004D2AA9"/>
    <w:rsid w:val="004F4939"/>
    <w:rsid w:val="00504EA0"/>
    <w:rsid w:val="00516C12"/>
    <w:rsid w:val="005206D2"/>
    <w:rsid w:val="00522E9F"/>
    <w:rsid w:val="00534AD3"/>
    <w:rsid w:val="005420AE"/>
    <w:rsid w:val="005424F6"/>
    <w:rsid w:val="005B3055"/>
    <w:rsid w:val="005C5075"/>
    <w:rsid w:val="005D620A"/>
    <w:rsid w:val="006663A5"/>
    <w:rsid w:val="006C436C"/>
    <w:rsid w:val="007041E3"/>
    <w:rsid w:val="007410F3"/>
    <w:rsid w:val="007743F5"/>
    <w:rsid w:val="00775F0B"/>
    <w:rsid w:val="00786286"/>
    <w:rsid w:val="00794058"/>
    <w:rsid w:val="00796AB2"/>
    <w:rsid w:val="00796AEF"/>
    <w:rsid w:val="007B4E04"/>
    <w:rsid w:val="007B5D4F"/>
    <w:rsid w:val="007C3238"/>
    <w:rsid w:val="007C510A"/>
    <w:rsid w:val="007E5EC8"/>
    <w:rsid w:val="0083288A"/>
    <w:rsid w:val="00840CC6"/>
    <w:rsid w:val="0088443D"/>
    <w:rsid w:val="008C12F4"/>
    <w:rsid w:val="009F44CD"/>
    <w:rsid w:val="00A006B5"/>
    <w:rsid w:val="00A05016"/>
    <w:rsid w:val="00AB55D8"/>
    <w:rsid w:val="00AC682A"/>
    <w:rsid w:val="00AF33D5"/>
    <w:rsid w:val="00B762A6"/>
    <w:rsid w:val="00B82EE0"/>
    <w:rsid w:val="00BF2BD3"/>
    <w:rsid w:val="00C17DDD"/>
    <w:rsid w:val="00C720E0"/>
    <w:rsid w:val="00CE01C7"/>
    <w:rsid w:val="00CF6E2E"/>
    <w:rsid w:val="00D06E98"/>
    <w:rsid w:val="00D4577E"/>
    <w:rsid w:val="00DA6BFB"/>
    <w:rsid w:val="00E011BC"/>
    <w:rsid w:val="00E40F34"/>
    <w:rsid w:val="00E45D01"/>
    <w:rsid w:val="00E55899"/>
    <w:rsid w:val="00EA70DC"/>
    <w:rsid w:val="00EB5300"/>
    <w:rsid w:val="00ED63F2"/>
    <w:rsid w:val="00EF13EF"/>
    <w:rsid w:val="00EF7898"/>
    <w:rsid w:val="00F054CB"/>
    <w:rsid w:val="00F71866"/>
    <w:rsid w:val="00F91672"/>
    <w:rsid w:val="00F91B62"/>
    <w:rsid w:val="00FB0B13"/>
    <w:rsid w:val="00FD592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EE2D"/>
  <w15:chartTrackingRefBased/>
  <w15:docId w15:val="{9246BCCD-2906-4567-A6EE-CB8599A9F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fa-IR"/>
        <w14:ligatures w14:val="standardContextual"/>
      </w:rPr>
    </w:rPrDefault>
    <w:pPrDefault>
      <w:pPr>
        <w:bidi/>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val="0"/>
      <w:spacing w:line="259" w:lineRule="auto"/>
      <w:jc w:val="left"/>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55C"/>
    <w:rPr>
      <w:color w:val="808080"/>
    </w:rPr>
  </w:style>
  <w:style w:type="paragraph" w:styleId="Title">
    <w:name w:val="Title"/>
    <w:basedOn w:val="Normal"/>
    <w:next w:val="Normal"/>
    <w:link w:val="TitleChar"/>
    <w:uiPriority w:val="10"/>
    <w:qFormat/>
    <w:rsid w:val="00A050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016"/>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38121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81210"/>
    <w:rPr>
      <w:rFonts w:ascii="Calibri" w:hAnsi="Calibri" w:cs="Calibri"/>
      <w:noProof/>
    </w:rPr>
  </w:style>
  <w:style w:type="paragraph" w:customStyle="1" w:styleId="EndNoteBibliography">
    <w:name w:val="EndNote Bibliography"/>
    <w:basedOn w:val="Normal"/>
    <w:link w:val="EndNoteBibliographyChar"/>
    <w:rsid w:val="00381210"/>
    <w:pPr>
      <w:spacing w:line="240" w:lineRule="auto"/>
      <w:jc w:val="center"/>
    </w:pPr>
    <w:rPr>
      <w:rFonts w:ascii="Calibri" w:hAnsi="Calibri" w:cs="Calibri"/>
      <w:noProof/>
    </w:rPr>
  </w:style>
  <w:style w:type="character" w:customStyle="1" w:styleId="EndNoteBibliographyChar">
    <w:name w:val="EndNote Bibliography Char"/>
    <w:basedOn w:val="DefaultParagraphFont"/>
    <w:link w:val="EndNoteBibliography"/>
    <w:rsid w:val="00381210"/>
    <w:rPr>
      <w:rFonts w:ascii="Calibri" w:hAnsi="Calibri" w:cs="Calibri"/>
      <w:noProof/>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Header">
    <w:name w:val="header"/>
    <w:basedOn w:val="Normal"/>
    <w:link w:val="HeaderChar"/>
    <w:uiPriority w:val="99"/>
    <w:unhideWhenUsed/>
    <w:rsid w:val="00840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CC6"/>
  </w:style>
  <w:style w:type="paragraph" w:styleId="Footer">
    <w:name w:val="footer"/>
    <w:basedOn w:val="Normal"/>
    <w:link w:val="FooterChar"/>
    <w:uiPriority w:val="99"/>
    <w:unhideWhenUsed/>
    <w:rsid w:val="00840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ghaznavi@zaums.ac.i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hoei.s@iums.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r="http://schemas.openxmlformats.org/officeDocument/2006/relationships" xmlns:go="http://customooxmlschemas.google.com/" uri="GoogleDocsCustomDataVersion1">
  <go:docsCustomData xmlns:go="http://customooxmlschemas.google.com/" roundtripDataSignature="AMtx7mg9LDHZ/RLs0/uYMd/jbteg4U0aXw==">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</go:docsCustomData>
</go:gDocsCustomXmlDataStorage>
</file>

<file path=customXml/itemProps1.xml><?xml version="1.0" encoding="utf-8"?>
<ds:datastoreItem xmlns:ds="http://schemas.openxmlformats.org/officeDocument/2006/customXml" ds:itemID="{5E6494D5-3939-4371-BF36-5B443DCE593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1297</TotalTime>
  <Pages>1</Pages>
  <Words>1032</Words>
  <Characters>5886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zahed tavangari</dc:creator>
  <cp:keywords/>
  <dc:description/>
  <cp:lastModifiedBy>zahed tavangari</cp:lastModifiedBy>
  <cp:revision>20</cp:revision>
  <dcterms:created xsi:type="dcterms:W3CDTF">2023-03-08T10:13:00Z</dcterms:created>
  <dcterms:modified xsi:type="dcterms:W3CDTF">2023-05-17T14:01:00Z</dcterms:modified>
</cp:coreProperties>
</file>