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3EA" w:rsidRPr="006453EA" w:rsidRDefault="006453EA" w:rsidP="006453EA">
      <w:pPr>
        <w:ind w:firstLine="720"/>
        <w:jc w:val="center"/>
        <w:rPr>
          <w:rFonts w:ascii="Times New Roman" w:eastAsia="Times New Roman" w:hAnsi="Times New Roman" w:cs="Times New Roman"/>
          <w:b/>
          <w:sz w:val="32"/>
          <w:szCs w:val="32"/>
        </w:rPr>
      </w:pPr>
    </w:p>
    <w:p w:rsidR="006453EA" w:rsidRPr="006453EA" w:rsidRDefault="006453EA" w:rsidP="006453EA">
      <w:pPr>
        <w:ind w:firstLine="720"/>
        <w:jc w:val="center"/>
        <w:rPr>
          <w:rFonts w:ascii="Times New Roman" w:eastAsia="Times New Roman" w:hAnsi="Times New Roman" w:cs="Times New Roman"/>
          <w:b/>
          <w:sz w:val="32"/>
          <w:szCs w:val="32"/>
        </w:rPr>
      </w:pPr>
      <w:r w:rsidRPr="006453EA">
        <w:rPr>
          <w:rFonts w:ascii="Times New Roman" w:eastAsia="Times New Roman" w:hAnsi="Times New Roman" w:cs="Times New Roman"/>
          <w:b/>
          <w:sz w:val="32"/>
          <w:szCs w:val="32"/>
        </w:rPr>
        <w:t>Supplementary information</w:t>
      </w:r>
    </w:p>
    <w:p w:rsidR="006453EA" w:rsidRDefault="006453EA">
      <w:pPr>
        <w:ind w:firstLine="720"/>
        <w:jc w:val="both"/>
        <w:rPr>
          <w:rFonts w:ascii="Times New Roman" w:eastAsia="Times New Roman" w:hAnsi="Times New Roman" w:cs="Times New Roman"/>
          <w:sz w:val="24"/>
          <w:szCs w:val="24"/>
        </w:rPr>
      </w:pPr>
    </w:p>
    <w:p w:rsidR="006453EA" w:rsidRDefault="006453EA">
      <w:pPr>
        <w:ind w:firstLine="720"/>
        <w:jc w:val="both"/>
        <w:rPr>
          <w:rFonts w:ascii="Times New Roman" w:eastAsia="Times New Roman" w:hAnsi="Times New Roman" w:cs="Times New Roman"/>
          <w:sz w:val="24"/>
          <w:szCs w:val="24"/>
        </w:rPr>
      </w:pPr>
    </w:p>
    <w:p w:rsidR="006453EA" w:rsidRPr="003E012F" w:rsidRDefault="006453EA" w:rsidP="006453EA">
      <w:pPr>
        <w:rPr>
          <w:rFonts w:ascii="Times New Roman" w:eastAsia="Times New Roman" w:hAnsi="Times New Roman" w:cs="Times New Roman"/>
          <w:b/>
          <w:color w:val="222222"/>
          <w:sz w:val="28"/>
          <w:szCs w:val="28"/>
          <w:highlight w:val="white"/>
        </w:rPr>
      </w:pPr>
      <w:r w:rsidRPr="003E012F">
        <w:rPr>
          <w:rFonts w:ascii="Times New Roman" w:eastAsia="Times New Roman" w:hAnsi="Times New Roman" w:cs="Times New Roman"/>
          <w:b/>
          <w:color w:val="222222"/>
          <w:sz w:val="28"/>
          <w:szCs w:val="28"/>
          <w:highlight w:val="white"/>
        </w:rPr>
        <w:t>Targeted metabolomic profiling as a tool for diagnostics of patients with non-small-cell lung cancer</w:t>
      </w:r>
    </w:p>
    <w:p w:rsidR="006453EA" w:rsidRPr="00D81F79" w:rsidRDefault="006453EA" w:rsidP="006453EA">
      <w:pPr>
        <w:rPr>
          <w:rFonts w:ascii="Times New Roman" w:eastAsia="Times New Roman" w:hAnsi="Times New Roman" w:cs="Times New Roman"/>
          <w:color w:val="222222"/>
          <w:sz w:val="24"/>
          <w:szCs w:val="24"/>
          <w:highlight w:val="white"/>
        </w:rPr>
      </w:pPr>
    </w:p>
    <w:p w:rsidR="006453EA" w:rsidRPr="00D81F79" w:rsidRDefault="006453EA" w:rsidP="006453EA">
      <w:pPr>
        <w:rPr>
          <w:rFonts w:ascii="Times New Roman" w:eastAsia="Times New Roman" w:hAnsi="Times New Roman" w:cs="Times New Roman"/>
          <w:color w:val="222222"/>
          <w:sz w:val="24"/>
          <w:szCs w:val="24"/>
          <w:highlight w:val="white"/>
        </w:rPr>
      </w:pPr>
      <w:r w:rsidRPr="00D81F79">
        <w:rPr>
          <w:rFonts w:ascii="Times New Roman" w:eastAsia="Times New Roman" w:hAnsi="Times New Roman" w:cs="Times New Roman"/>
          <w:color w:val="222222"/>
          <w:sz w:val="24"/>
          <w:szCs w:val="24"/>
          <w:highlight w:val="white"/>
        </w:rPr>
        <w:t xml:space="preserve">Ksenia M. Shestakova (1), Natalia E. Moskaleva (1), </w:t>
      </w:r>
      <w:r w:rsidRPr="00D81F79">
        <w:rPr>
          <w:rFonts w:ascii="Times New Roman" w:eastAsia="Times New Roman" w:hAnsi="Times New Roman" w:cs="Times New Roman"/>
          <w:sz w:val="24"/>
          <w:szCs w:val="24"/>
          <w:highlight w:val="white"/>
        </w:rPr>
        <w:t>Andrey A. Boldin (2,3)</w:t>
      </w:r>
      <w:r w:rsidRPr="00D81F79">
        <w:rPr>
          <w:rFonts w:ascii="Times New Roman" w:eastAsia="Times New Roman" w:hAnsi="Times New Roman" w:cs="Times New Roman"/>
          <w:color w:val="222222"/>
          <w:sz w:val="24"/>
          <w:szCs w:val="24"/>
          <w:highlight w:val="white"/>
        </w:rPr>
        <w:t>, Pavel M. Rezvanov (2,3)</w:t>
      </w:r>
      <w:r w:rsidRPr="00D81F79">
        <w:rPr>
          <w:rFonts w:ascii="Times New Roman" w:eastAsia="Times New Roman" w:hAnsi="Times New Roman" w:cs="Times New Roman"/>
          <w:sz w:val="24"/>
          <w:szCs w:val="24"/>
          <w:highlight w:val="white"/>
        </w:rPr>
        <w:t xml:space="preserve">, </w:t>
      </w:r>
      <w:r w:rsidRPr="00D81F79">
        <w:rPr>
          <w:rFonts w:ascii="Times New Roman" w:eastAsia="Times New Roman" w:hAnsi="Times New Roman" w:cs="Times New Roman"/>
          <w:color w:val="222222"/>
          <w:sz w:val="24"/>
          <w:szCs w:val="24"/>
          <w:highlight w:val="white"/>
        </w:rPr>
        <w:t>Alexandr V. Shestopalov (4), Sergey A. Rumyantsev (4), Elena Yu. Zlatnik (5), Inna A. Novikova (5), Alexander B. Sagakyants (5), Sofya V. Timofeeva (5), Yuriy Simonov (2), Sabina N. Baskhanova (1) , Elena Tobolkina (6)*, Serge Rudaz (6) and Svetlana A. Appolonova (2,3)</w:t>
      </w:r>
    </w:p>
    <w:p w:rsidR="006453EA" w:rsidRPr="00D81F79" w:rsidRDefault="006453EA" w:rsidP="006453EA">
      <w:pPr>
        <w:rPr>
          <w:rFonts w:ascii="Times New Roman" w:eastAsia="Times New Roman" w:hAnsi="Times New Roman" w:cs="Times New Roman"/>
          <w:color w:val="222222"/>
          <w:sz w:val="24"/>
          <w:szCs w:val="24"/>
          <w:highlight w:val="white"/>
        </w:rPr>
      </w:pPr>
    </w:p>
    <w:p w:rsidR="006453EA" w:rsidRDefault="006453EA" w:rsidP="006453EA">
      <w:pPr>
        <w:rPr>
          <w:rFonts w:ascii="Times New Roman" w:eastAsia="Times New Roman" w:hAnsi="Times New Roman" w:cs="Times New Roman"/>
          <w:color w:val="222222"/>
          <w:sz w:val="24"/>
          <w:szCs w:val="24"/>
          <w:highlight w:val="white"/>
        </w:rPr>
      </w:pPr>
    </w:p>
    <w:p w:rsidR="006453EA" w:rsidRPr="00D81F79" w:rsidRDefault="006453EA" w:rsidP="006453EA">
      <w:pPr>
        <w:numPr>
          <w:ilvl w:val="0"/>
          <w:numId w:val="1"/>
        </w:numPr>
        <w:ind w:left="566"/>
        <w:jc w:val="both"/>
        <w:rPr>
          <w:rFonts w:ascii="Times New Roman" w:eastAsia="Times New Roman" w:hAnsi="Times New Roman" w:cs="Times New Roman"/>
          <w:color w:val="222222"/>
          <w:sz w:val="24"/>
          <w:szCs w:val="24"/>
        </w:rPr>
      </w:pPr>
      <w:r w:rsidRPr="00D81F79">
        <w:rPr>
          <w:rFonts w:ascii="Times New Roman" w:eastAsia="Times New Roman" w:hAnsi="Times New Roman" w:cs="Times New Roman"/>
          <w:color w:val="222222"/>
          <w:sz w:val="24"/>
          <w:szCs w:val="24"/>
        </w:rPr>
        <w:t>World-Class Research Center Digital Biodesign and Personalized Healthcare, I.M. Sechenov First Moscow State Medical University, 119435 Moscow, Russia</w:t>
      </w:r>
    </w:p>
    <w:p w:rsidR="006453EA" w:rsidRPr="00D81F79" w:rsidRDefault="006453EA" w:rsidP="006453EA">
      <w:pPr>
        <w:numPr>
          <w:ilvl w:val="0"/>
          <w:numId w:val="1"/>
        </w:numPr>
        <w:ind w:left="566"/>
        <w:jc w:val="both"/>
        <w:rPr>
          <w:rFonts w:ascii="Times New Roman" w:eastAsia="Times New Roman" w:hAnsi="Times New Roman" w:cs="Times New Roman"/>
          <w:color w:val="222222"/>
          <w:sz w:val="24"/>
          <w:szCs w:val="24"/>
          <w:highlight w:val="white"/>
        </w:rPr>
      </w:pPr>
      <w:r w:rsidRPr="00D81F79">
        <w:rPr>
          <w:rFonts w:ascii="Times New Roman" w:eastAsia="Times New Roman" w:hAnsi="Times New Roman" w:cs="Times New Roman"/>
          <w:color w:val="222222"/>
          <w:sz w:val="24"/>
          <w:szCs w:val="24"/>
          <w:highlight w:val="white"/>
        </w:rPr>
        <w:t>Laboratory of Pharmacokinetics and Metabolomic Analysis, Institute of Translational Medicine and Biotechnology, I.M. Sechenov First Moscow Medical University, 119435 Moscow, Russia</w:t>
      </w:r>
      <w:r w:rsidRPr="00D81F79">
        <w:rPr>
          <w:rFonts w:ascii="Times New Roman" w:eastAsia="Times New Roman" w:hAnsi="Times New Roman" w:cs="Times New Roman"/>
          <w:color w:val="222222"/>
          <w:sz w:val="24"/>
          <w:szCs w:val="24"/>
        </w:rPr>
        <w:t xml:space="preserve"> </w:t>
      </w:r>
    </w:p>
    <w:p w:rsidR="006453EA" w:rsidRPr="00D81F79" w:rsidRDefault="006453EA" w:rsidP="006453EA">
      <w:pPr>
        <w:numPr>
          <w:ilvl w:val="0"/>
          <w:numId w:val="1"/>
        </w:numPr>
        <w:ind w:left="566"/>
        <w:jc w:val="both"/>
        <w:rPr>
          <w:rFonts w:ascii="Times New Roman" w:eastAsia="Times New Roman" w:hAnsi="Times New Roman" w:cs="Times New Roman"/>
          <w:color w:val="222222"/>
          <w:sz w:val="24"/>
          <w:szCs w:val="24"/>
          <w:highlight w:val="white"/>
        </w:rPr>
      </w:pPr>
      <w:r w:rsidRPr="00D81F79">
        <w:rPr>
          <w:rFonts w:ascii="Times New Roman" w:eastAsia="Times New Roman" w:hAnsi="Times New Roman" w:cs="Times New Roman"/>
          <w:color w:val="212121"/>
          <w:sz w:val="24"/>
          <w:szCs w:val="24"/>
          <w:highlight w:val="white"/>
        </w:rPr>
        <w:t>I.M. Sechenov First Moscow State Medical University, 119435 Moscow, Russia.</w:t>
      </w:r>
    </w:p>
    <w:p w:rsidR="006453EA" w:rsidRPr="00D81F79" w:rsidRDefault="006453EA" w:rsidP="006453EA">
      <w:pPr>
        <w:numPr>
          <w:ilvl w:val="0"/>
          <w:numId w:val="1"/>
        </w:numPr>
        <w:ind w:left="566"/>
        <w:jc w:val="both"/>
        <w:rPr>
          <w:rFonts w:ascii="Times New Roman" w:eastAsia="Times New Roman" w:hAnsi="Times New Roman" w:cs="Times New Roman"/>
          <w:color w:val="222222"/>
          <w:sz w:val="24"/>
          <w:szCs w:val="24"/>
          <w:highlight w:val="white"/>
        </w:rPr>
      </w:pPr>
      <w:r w:rsidRPr="00D81F79">
        <w:rPr>
          <w:rFonts w:ascii="Times New Roman" w:eastAsia="Times New Roman" w:hAnsi="Times New Roman" w:cs="Times New Roman"/>
          <w:color w:val="212121"/>
          <w:sz w:val="24"/>
          <w:szCs w:val="24"/>
          <w:highlight w:val="white"/>
        </w:rPr>
        <w:t xml:space="preserve"> Pirogov Russian National Research Medical University, Moscow, 117997 Russia</w:t>
      </w:r>
    </w:p>
    <w:p w:rsidR="006453EA" w:rsidRDefault="006453EA" w:rsidP="006453EA">
      <w:pPr>
        <w:numPr>
          <w:ilvl w:val="0"/>
          <w:numId w:val="1"/>
        </w:numPr>
        <w:ind w:left="566"/>
        <w:jc w:val="both"/>
        <w:rPr>
          <w:rFonts w:ascii="Times New Roman" w:eastAsia="Times New Roman" w:hAnsi="Times New Roman" w:cs="Times New Roman"/>
          <w:color w:val="212121"/>
          <w:sz w:val="24"/>
          <w:szCs w:val="24"/>
          <w:highlight w:val="white"/>
        </w:rPr>
      </w:pPr>
      <w:r w:rsidRPr="00D81F79">
        <w:rPr>
          <w:rFonts w:ascii="Times New Roman" w:eastAsia="Times New Roman" w:hAnsi="Times New Roman" w:cs="Times New Roman"/>
          <w:color w:val="212121"/>
          <w:sz w:val="24"/>
          <w:szCs w:val="24"/>
          <w:highlight w:val="white"/>
        </w:rPr>
        <w:t xml:space="preserve">National Medical Research Centre for Oncology (Rostov-on-Don, Russia). </w:t>
      </w:r>
      <w:r>
        <w:rPr>
          <w:rFonts w:ascii="Times New Roman" w:eastAsia="Times New Roman" w:hAnsi="Times New Roman" w:cs="Times New Roman"/>
          <w:color w:val="212121"/>
          <w:sz w:val="24"/>
          <w:szCs w:val="24"/>
          <w:highlight w:val="white"/>
        </w:rPr>
        <w:t>344019, Rostov-on-Don, 14 Liniya, 63</w:t>
      </w:r>
    </w:p>
    <w:p w:rsidR="006453EA" w:rsidRDefault="006453EA" w:rsidP="006453EA">
      <w:pPr>
        <w:numPr>
          <w:ilvl w:val="0"/>
          <w:numId w:val="1"/>
        </w:numPr>
        <w:ind w:left="566"/>
        <w:jc w:val="both"/>
        <w:rPr>
          <w:rFonts w:ascii="Times New Roman" w:eastAsia="Times New Roman" w:hAnsi="Times New Roman" w:cs="Times New Roman"/>
          <w:color w:val="212121"/>
          <w:sz w:val="24"/>
          <w:szCs w:val="24"/>
          <w:highlight w:val="white"/>
        </w:rPr>
      </w:pPr>
      <w:r w:rsidRPr="00D81F79">
        <w:rPr>
          <w:rFonts w:ascii="Times New Roman" w:eastAsia="Times New Roman" w:hAnsi="Times New Roman" w:cs="Times New Roman"/>
          <w:color w:val="212121"/>
          <w:sz w:val="24"/>
          <w:szCs w:val="24"/>
          <w:highlight w:val="white"/>
        </w:rPr>
        <w:t>Institute of Pharmaceutical Sciences of Western Switzerland, University of Geneva, 1206 Geneva, Switzerland</w:t>
      </w:r>
    </w:p>
    <w:p w:rsidR="006453EA" w:rsidRDefault="006453EA">
      <w:pPr>
        <w:ind w:firstLine="720"/>
        <w:jc w:val="both"/>
        <w:rPr>
          <w:rFonts w:ascii="Times New Roman" w:eastAsia="Times New Roman" w:hAnsi="Times New Roman" w:cs="Times New Roman"/>
          <w:sz w:val="24"/>
          <w:szCs w:val="24"/>
        </w:rPr>
      </w:pPr>
    </w:p>
    <w:p w:rsidR="006453EA" w:rsidRDefault="006453EA">
      <w:pPr>
        <w:ind w:firstLine="720"/>
        <w:jc w:val="both"/>
        <w:rPr>
          <w:rFonts w:ascii="Times New Roman" w:eastAsia="Times New Roman" w:hAnsi="Times New Roman" w:cs="Times New Roman"/>
          <w:sz w:val="24"/>
          <w:szCs w:val="24"/>
        </w:rPr>
      </w:pPr>
    </w:p>
    <w:p w:rsidR="006453EA" w:rsidRDefault="006453EA">
      <w:pPr>
        <w:ind w:firstLine="720"/>
        <w:jc w:val="both"/>
        <w:rPr>
          <w:rFonts w:ascii="Times New Roman" w:eastAsia="Times New Roman" w:hAnsi="Times New Roman" w:cs="Times New Roman"/>
          <w:sz w:val="24"/>
          <w:szCs w:val="24"/>
        </w:rPr>
      </w:pPr>
    </w:p>
    <w:p w:rsidR="006453EA" w:rsidRPr="002679FD" w:rsidRDefault="006453EA" w:rsidP="006453EA">
      <w:pPr>
        <w:spacing w:before="240" w:after="240" w:line="240" w:lineRule="auto"/>
        <w:jc w:val="both"/>
        <w:rPr>
          <w:rFonts w:ascii="Times New Roman" w:eastAsia="Times New Roman" w:hAnsi="Times New Roman" w:cs="Times New Roman"/>
          <w:sz w:val="24"/>
          <w:szCs w:val="24"/>
        </w:rPr>
      </w:pPr>
      <w:r w:rsidRPr="002679FD">
        <w:rPr>
          <w:rFonts w:ascii="Times New Roman" w:eastAsia="Times New Roman" w:hAnsi="Times New Roman" w:cs="Times New Roman"/>
          <w:color w:val="222222"/>
          <w:sz w:val="24"/>
          <w:szCs w:val="24"/>
          <w:shd w:val="clear" w:color="auto" w:fill="FFFFFF"/>
        </w:rPr>
        <w:t>*Correspondence should be addressed to the following author(s):</w:t>
      </w:r>
    </w:p>
    <w:p w:rsidR="006453EA" w:rsidRPr="002679FD" w:rsidRDefault="006453EA" w:rsidP="006453EA">
      <w:pPr>
        <w:spacing w:line="360" w:lineRule="auto"/>
        <w:rPr>
          <w:rFonts w:ascii="Times New Roman" w:eastAsia="Times New Roman" w:hAnsi="Times New Roman" w:cs="Times New Roman"/>
        </w:rPr>
      </w:pPr>
      <w:r>
        <w:rPr>
          <w:rFonts w:ascii="Times New Roman" w:eastAsia="Times New Roman" w:hAnsi="Times New Roman" w:cs="Times New Roman"/>
          <w:color w:val="000000"/>
        </w:rPr>
        <w:t>D</w:t>
      </w:r>
      <w:r w:rsidRPr="002679FD">
        <w:rPr>
          <w:rFonts w:ascii="Times New Roman" w:eastAsia="Times New Roman" w:hAnsi="Times New Roman" w:cs="Times New Roman"/>
          <w:color w:val="000000"/>
        </w:rPr>
        <w:t xml:space="preserve">r. </w:t>
      </w:r>
      <w:r>
        <w:rPr>
          <w:rFonts w:ascii="Times New Roman" w:eastAsia="Times New Roman" w:hAnsi="Times New Roman" w:cs="Times New Roman"/>
          <w:color w:val="000000"/>
        </w:rPr>
        <w:t>Elena Tobolkina</w:t>
      </w:r>
    </w:p>
    <w:p w:rsidR="006453EA" w:rsidRPr="002679FD" w:rsidRDefault="006453EA" w:rsidP="006453EA">
      <w:pPr>
        <w:spacing w:line="360" w:lineRule="auto"/>
        <w:rPr>
          <w:rFonts w:ascii="Times New Roman" w:eastAsia="Times New Roman" w:hAnsi="Times New Roman" w:cs="Times New Roman"/>
        </w:rPr>
      </w:pPr>
      <w:r w:rsidRPr="002679FD">
        <w:rPr>
          <w:rFonts w:ascii="Times New Roman" w:eastAsia="Times New Roman" w:hAnsi="Times New Roman" w:cs="Times New Roman"/>
          <w:color w:val="000000"/>
        </w:rPr>
        <w:t>Institute of Pharmaceutical Sciences of Western Switzerland,</w:t>
      </w:r>
    </w:p>
    <w:p w:rsidR="006453EA" w:rsidRPr="002679FD" w:rsidRDefault="006453EA" w:rsidP="006453EA">
      <w:pPr>
        <w:spacing w:line="360" w:lineRule="auto"/>
        <w:rPr>
          <w:rFonts w:ascii="Times New Roman" w:eastAsia="Times New Roman" w:hAnsi="Times New Roman" w:cs="Times New Roman"/>
        </w:rPr>
      </w:pPr>
      <w:r w:rsidRPr="002679FD">
        <w:rPr>
          <w:rFonts w:ascii="Times New Roman" w:eastAsia="Times New Roman" w:hAnsi="Times New Roman" w:cs="Times New Roman"/>
          <w:color w:val="000000"/>
        </w:rPr>
        <w:t>University of Geneva,</w:t>
      </w:r>
    </w:p>
    <w:p w:rsidR="006453EA" w:rsidRPr="002679FD" w:rsidRDefault="006453EA" w:rsidP="006453EA">
      <w:pPr>
        <w:spacing w:line="360" w:lineRule="auto"/>
        <w:rPr>
          <w:rFonts w:ascii="Times New Roman" w:eastAsia="Times New Roman" w:hAnsi="Times New Roman" w:cs="Times New Roman"/>
        </w:rPr>
      </w:pPr>
      <w:r w:rsidRPr="002679FD">
        <w:rPr>
          <w:rFonts w:ascii="Times New Roman" w:eastAsia="Times New Roman" w:hAnsi="Times New Roman" w:cs="Times New Roman"/>
          <w:color w:val="000000"/>
        </w:rPr>
        <w:t>Geneva 4, Switzerland</w:t>
      </w:r>
    </w:p>
    <w:p w:rsidR="006453EA" w:rsidRDefault="006453EA" w:rsidP="006453EA">
      <w:pPr>
        <w:jc w:val="both"/>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000000"/>
        </w:rPr>
        <w:t>elena.tobolkina@unige.ch</w:t>
      </w:r>
    </w:p>
    <w:p w:rsidR="006453EA" w:rsidRDefault="006453EA">
      <w:pPr>
        <w:ind w:firstLine="720"/>
        <w:jc w:val="both"/>
        <w:rPr>
          <w:rFonts w:ascii="Times New Roman" w:eastAsia="Times New Roman" w:hAnsi="Times New Roman" w:cs="Times New Roman"/>
          <w:sz w:val="24"/>
          <w:szCs w:val="24"/>
        </w:rPr>
      </w:pPr>
    </w:p>
    <w:p w:rsidR="006453EA" w:rsidRDefault="006453EA">
      <w:pPr>
        <w:ind w:firstLine="720"/>
        <w:jc w:val="both"/>
        <w:rPr>
          <w:rFonts w:ascii="Times New Roman" w:eastAsia="Times New Roman" w:hAnsi="Times New Roman" w:cs="Times New Roman"/>
          <w:sz w:val="24"/>
          <w:szCs w:val="24"/>
        </w:rPr>
      </w:pPr>
    </w:p>
    <w:p w:rsidR="006453EA" w:rsidRDefault="006453EA">
      <w:pPr>
        <w:ind w:firstLine="720"/>
        <w:jc w:val="both"/>
        <w:rPr>
          <w:rFonts w:ascii="Times New Roman" w:eastAsia="Times New Roman" w:hAnsi="Times New Roman" w:cs="Times New Roman"/>
          <w:sz w:val="24"/>
          <w:szCs w:val="24"/>
        </w:rPr>
      </w:pPr>
    </w:p>
    <w:p w:rsidR="006453EA" w:rsidRDefault="006453EA">
      <w:pPr>
        <w:ind w:firstLine="720"/>
        <w:jc w:val="both"/>
        <w:rPr>
          <w:rFonts w:ascii="Times New Roman" w:eastAsia="Times New Roman" w:hAnsi="Times New Roman" w:cs="Times New Roman"/>
          <w:sz w:val="24"/>
          <w:szCs w:val="24"/>
        </w:rPr>
      </w:pPr>
    </w:p>
    <w:p w:rsidR="006453EA" w:rsidRDefault="006453EA">
      <w:pPr>
        <w:ind w:firstLine="720"/>
        <w:jc w:val="both"/>
        <w:rPr>
          <w:rFonts w:ascii="Times New Roman" w:eastAsia="Times New Roman" w:hAnsi="Times New Roman" w:cs="Times New Roman"/>
          <w:sz w:val="24"/>
          <w:szCs w:val="24"/>
        </w:rPr>
      </w:pPr>
    </w:p>
    <w:p w:rsidR="006453EA" w:rsidRDefault="006453EA">
      <w:pPr>
        <w:ind w:firstLine="720"/>
        <w:jc w:val="both"/>
        <w:rPr>
          <w:rFonts w:ascii="Times New Roman" w:eastAsia="Times New Roman" w:hAnsi="Times New Roman" w:cs="Times New Roman"/>
          <w:sz w:val="24"/>
          <w:szCs w:val="24"/>
        </w:rPr>
      </w:pPr>
    </w:p>
    <w:p w:rsidR="006453EA" w:rsidRDefault="006453EA" w:rsidP="000E3ABE">
      <w:pPr>
        <w:jc w:val="both"/>
        <w:rPr>
          <w:rFonts w:ascii="Times New Roman" w:eastAsia="Times New Roman" w:hAnsi="Times New Roman" w:cs="Times New Roman"/>
          <w:sz w:val="24"/>
          <w:szCs w:val="24"/>
        </w:rPr>
      </w:pPr>
      <w:bookmarkStart w:id="0" w:name="_GoBack"/>
      <w:bookmarkEnd w:id="0"/>
    </w:p>
    <w:p w:rsidR="006453EA" w:rsidRDefault="006453EA">
      <w:pPr>
        <w:ind w:firstLine="720"/>
        <w:jc w:val="both"/>
        <w:rPr>
          <w:rFonts w:ascii="Times New Roman" w:eastAsia="Times New Roman" w:hAnsi="Times New Roman" w:cs="Times New Roman"/>
          <w:sz w:val="24"/>
          <w:szCs w:val="24"/>
        </w:rPr>
      </w:pPr>
    </w:p>
    <w:p w:rsidR="00E82D24" w:rsidRDefault="000E3AB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S1. The list of the analyzed metabolites during the performed metabolomic screening</w:t>
      </w:r>
    </w:p>
    <w:p w:rsidR="00E82D24" w:rsidRDefault="00E82D24">
      <w:pPr>
        <w:ind w:firstLine="720"/>
        <w:jc w:val="both"/>
        <w:rPr>
          <w:rFonts w:ascii="Times New Roman" w:eastAsia="Times New Roman" w:hAnsi="Times New Roman" w:cs="Times New Roman"/>
          <w:sz w:val="24"/>
          <w:szCs w:val="24"/>
        </w:rPr>
      </w:pPr>
    </w:p>
    <w:tbl>
      <w:tblPr>
        <w:tblStyle w:val="a"/>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5"/>
        <w:gridCol w:w="6795"/>
      </w:tblGrid>
      <w:tr w:rsidR="00E82D24">
        <w:tc>
          <w:tcPr>
            <w:tcW w:w="22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E82D24" w:rsidRDefault="000E3AB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Profiling</w:t>
            </w:r>
          </w:p>
        </w:tc>
        <w:tc>
          <w:tcPr>
            <w:tcW w:w="6795" w:type="dxa"/>
            <w:shd w:val="clear" w:color="auto" w:fill="auto"/>
            <w:tcMar>
              <w:top w:w="100" w:type="dxa"/>
              <w:left w:w="100" w:type="dxa"/>
              <w:bottom w:w="100" w:type="dxa"/>
              <w:right w:w="100" w:type="dxa"/>
            </w:tcMar>
          </w:tcPr>
          <w:p w:rsidR="00E82D24" w:rsidRDefault="000E3AB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Metabolites</w:t>
            </w:r>
          </w:p>
        </w:tc>
      </w:tr>
      <w:tr w:rsidR="00E82D24">
        <w:tc>
          <w:tcPr>
            <w:tcW w:w="2205" w:type="dxa"/>
            <w:shd w:val="clear" w:color="auto" w:fill="auto"/>
            <w:tcMar>
              <w:top w:w="100" w:type="dxa"/>
              <w:left w:w="100" w:type="dxa"/>
              <w:bottom w:w="100" w:type="dxa"/>
              <w:right w:w="100" w:type="dxa"/>
            </w:tcMar>
          </w:tcPr>
          <w:p w:rsidR="00E82D24" w:rsidRDefault="000E3AB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Amino Acid profiling</w:t>
            </w:r>
          </w:p>
        </w:tc>
        <w:tc>
          <w:tcPr>
            <w:tcW w:w="6795" w:type="dxa"/>
            <w:shd w:val="clear" w:color="auto" w:fill="auto"/>
            <w:tcMar>
              <w:top w:w="100" w:type="dxa"/>
              <w:left w:w="100" w:type="dxa"/>
              <w:bottom w:w="100" w:type="dxa"/>
              <w:right w:w="100" w:type="dxa"/>
            </w:tcMar>
          </w:tcPr>
          <w:p w:rsidR="00E82D24" w:rsidRDefault="000E3AB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Glycine (Gly),</w:t>
            </w:r>
            <w:r>
              <w:rPr>
                <w:rFonts w:ascii="Times New Roman" w:eastAsia="Times New Roman" w:hAnsi="Times New Roman" w:cs="Times New Roman"/>
                <w:sz w:val="24"/>
                <w:szCs w:val="24"/>
              </w:rPr>
              <w:tab/>
              <w:t>alanine (Ala),</w:t>
            </w:r>
            <w:r>
              <w:rPr>
                <w:rFonts w:ascii="Times New Roman" w:eastAsia="Times New Roman" w:hAnsi="Times New Roman" w:cs="Times New Roman"/>
                <w:sz w:val="24"/>
                <w:szCs w:val="24"/>
              </w:rPr>
              <w:tab/>
              <w:t>proline (Pro),</w:t>
            </w:r>
            <w:r>
              <w:rPr>
                <w:rFonts w:ascii="Times New Roman" w:eastAsia="Times New Roman" w:hAnsi="Times New Roman" w:cs="Times New Roman"/>
                <w:sz w:val="24"/>
                <w:szCs w:val="24"/>
              </w:rPr>
              <w:tab/>
              <w:t>valine (Val), leucine (Leu),</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isoleucine (Ile), ornithine (Orn), aspartate (Asp), phenylalanine (Phe),</w:t>
            </w:r>
            <w:r>
              <w:rPr>
                <w:rFonts w:ascii="Times New Roman" w:eastAsia="Times New Roman" w:hAnsi="Times New Roman" w:cs="Times New Roman"/>
                <w:sz w:val="24"/>
                <w:szCs w:val="24"/>
              </w:rPr>
              <w:tab/>
              <w:t>arginine (Arg), citrulline (Cit), serine (Ser),</w:t>
            </w:r>
            <w:r>
              <w:rPr>
                <w:rFonts w:ascii="Times New Roman" w:eastAsia="Times New Roman" w:hAnsi="Times New Roman" w:cs="Times New Roman"/>
                <w:sz w:val="24"/>
                <w:szCs w:val="24"/>
              </w:rPr>
              <w:tab/>
              <w:t>threonine (Thr), lysine (Lys),</w:t>
            </w:r>
            <w:r>
              <w:rPr>
                <w:rFonts w:ascii="Times New Roman" w:eastAsia="Times New Roman" w:hAnsi="Times New Roman" w:cs="Times New Roman"/>
                <w:sz w:val="24"/>
                <w:szCs w:val="24"/>
              </w:rPr>
              <w:tab/>
              <w:t>tryptophan (Trp), tyrosine (Tyr), methionine (Meth)</w:t>
            </w:r>
          </w:p>
        </w:tc>
      </w:tr>
      <w:tr w:rsidR="00E82D24">
        <w:tc>
          <w:tcPr>
            <w:tcW w:w="2205" w:type="dxa"/>
            <w:shd w:val="clear" w:color="auto" w:fill="auto"/>
            <w:tcMar>
              <w:top w:w="100" w:type="dxa"/>
              <w:left w:w="100" w:type="dxa"/>
              <w:bottom w:w="100" w:type="dxa"/>
              <w:right w:w="100" w:type="dxa"/>
            </w:tcMar>
          </w:tcPr>
          <w:p w:rsidR="00E82D24" w:rsidRDefault="000E3AB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Asymmetric Dimethylarginine, Symmetric Dimethylarginine and Сholine</w:t>
            </w:r>
          </w:p>
        </w:tc>
        <w:tc>
          <w:tcPr>
            <w:tcW w:w="6795" w:type="dxa"/>
            <w:shd w:val="clear" w:color="auto" w:fill="auto"/>
            <w:tcMar>
              <w:top w:w="100" w:type="dxa"/>
              <w:left w:w="100" w:type="dxa"/>
              <w:bottom w:w="100" w:type="dxa"/>
              <w:right w:w="100" w:type="dxa"/>
            </w:tcMar>
          </w:tcPr>
          <w:p w:rsidR="00E82D24" w:rsidRDefault="000E3AB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ADMA, SDMA, Choline</w:t>
            </w:r>
          </w:p>
          <w:p w:rsidR="00E82D24" w:rsidRDefault="00E82D2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E82D24">
        <w:tc>
          <w:tcPr>
            <w:tcW w:w="2205" w:type="dxa"/>
            <w:shd w:val="clear" w:color="auto" w:fill="auto"/>
            <w:tcMar>
              <w:top w:w="100" w:type="dxa"/>
              <w:left w:w="100" w:type="dxa"/>
              <w:bottom w:w="100" w:type="dxa"/>
              <w:right w:w="100" w:type="dxa"/>
            </w:tcMar>
          </w:tcPr>
          <w:p w:rsidR="00E82D24" w:rsidRDefault="000E3AB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Acylcarnitine profiling</w:t>
            </w:r>
          </w:p>
        </w:tc>
        <w:tc>
          <w:tcPr>
            <w:tcW w:w="6795" w:type="dxa"/>
            <w:shd w:val="clear" w:color="auto" w:fill="auto"/>
            <w:tcMar>
              <w:top w:w="100" w:type="dxa"/>
              <w:left w:w="100" w:type="dxa"/>
              <w:bottom w:w="100" w:type="dxa"/>
              <w:right w:w="100" w:type="dxa"/>
            </w:tcMar>
          </w:tcPr>
          <w:p w:rsidR="00E82D24" w:rsidRDefault="000E3AB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Carnitine (C0), acetylcarnitine (C2),</w:t>
            </w:r>
            <w:r>
              <w:rPr>
                <w:rFonts w:ascii="Times New Roman" w:eastAsia="Times New Roman" w:hAnsi="Times New Roman" w:cs="Times New Roman"/>
                <w:sz w:val="24"/>
                <w:szCs w:val="24"/>
              </w:rPr>
              <w:tab/>
              <w:t>propionylcarnitine (C3),</w:t>
            </w:r>
            <w:r>
              <w:rPr>
                <w:rFonts w:ascii="Times New Roman" w:eastAsia="Times New Roman" w:hAnsi="Times New Roman" w:cs="Times New Roman"/>
                <w:sz w:val="24"/>
                <w:szCs w:val="24"/>
              </w:rPr>
              <w:tab/>
              <w:t>butirylcarnitine (C4),</w:t>
            </w:r>
            <w:r>
              <w:rPr>
                <w:rFonts w:ascii="Times New Roman" w:eastAsia="Times New Roman" w:hAnsi="Times New Roman" w:cs="Times New Roman"/>
                <w:sz w:val="24"/>
                <w:szCs w:val="24"/>
              </w:rPr>
              <w:tab/>
              <w:t>tiglycarnitine (C5-1), isovalerylcarnitine</w:t>
            </w:r>
            <w:r>
              <w:rPr>
                <w:rFonts w:ascii="Times New Roman" w:eastAsia="Times New Roman" w:hAnsi="Times New Roman" w:cs="Times New Roman"/>
                <w:sz w:val="24"/>
                <w:szCs w:val="24"/>
              </w:rPr>
              <w:tab/>
              <w:t>(C5), hexanoy</w:t>
            </w:r>
            <w:r>
              <w:rPr>
                <w:rFonts w:ascii="Times New Roman" w:eastAsia="Times New Roman" w:hAnsi="Times New Roman" w:cs="Times New Roman"/>
                <w:sz w:val="24"/>
                <w:szCs w:val="24"/>
              </w:rPr>
              <w:t>lcarnitine (C6), hydroxyisovalerylcarnitine (C5-OH), glutarylcarnitine (C5-DC), octenoylcarnitine (C8-1), adypoylcarnitine (C6-DC), decadienoylcarnitine (C10-2), decenoylcarnitine (C10-1), decanoylcarnitine (C10), dodecenoylcarnitine (C12-1), dodecanoylcar</w:t>
            </w:r>
            <w:r>
              <w:rPr>
                <w:rFonts w:ascii="Times New Roman" w:eastAsia="Times New Roman" w:hAnsi="Times New Roman" w:cs="Times New Roman"/>
                <w:sz w:val="24"/>
                <w:szCs w:val="24"/>
              </w:rPr>
              <w:t>nitine (C12), tetradecadienoylcarnitine (C14-2), tetradecenoylcarnitine (C14-1), tetradecanoylcarnitine</w:t>
            </w:r>
            <w:r>
              <w:rPr>
                <w:rFonts w:ascii="Times New Roman" w:eastAsia="Times New Roman" w:hAnsi="Times New Roman" w:cs="Times New Roman"/>
                <w:sz w:val="24"/>
                <w:szCs w:val="24"/>
              </w:rPr>
              <w:tab/>
              <w:t>(C14),</w:t>
            </w:r>
            <w:r>
              <w:rPr>
                <w:rFonts w:ascii="Times New Roman" w:eastAsia="Times New Roman" w:hAnsi="Times New Roman" w:cs="Times New Roman"/>
                <w:sz w:val="24"/>
                <w:szCs w:val="24"/>
              </w:rPr>
              <w:tab/>
              <w:t>hydroxytetradecanoylcarnitine (C14-OH), palmitoleylcarnitine (C16-1), palmitoylcarnitine</w:t>
            </w:r>
            <w:r>
              <w:rPr>
                <w:rFonts w:ascii="Times New Roman" w:eastAsia="Times New Roman" w:hAnsi="Times New Roman" w:cs="Times New Roman"/>
                <w:sz w:val="24"/>
                <w:szCs w:val="24"/>
              </w:rPr>
              <w:tab/>
              <w:t>(C16), hydroxyhexadecenoylcarnitine (C16-1-OH), hydroxyh</w:t>
            </w:r>
            <w:r>
              <w:rPr>
                <w:rFonts w:ascii="Times New Roman" w:eastAsia="Times New Roman" w:hAnsi="Times New Roman" w:cs="Times New Roman"/>
                <w:sz w:val="24"/>
                <w:szCs w:val="24"/>
              </w:rPr>
              <w:t>exadecanoylcarnitine (C16-OH), linoleylcarnitine</w:t>
            </w:r>
            <w:r>
              <w:rPr>
                <w:rFonts w:ascii="Times New Roman" w:eastAsia="Times New Roman" w:hAnsi="Times New Roman" w:cs="Times New Roman"/>
                <w:sz w:val="24"/>
                <w:szCs w:val="24"/>
              </w:rPr>
              <w:tab/>
              <w:t>(C18-2), oleyoylcarnitine (C18-1), stearoylcarnitine (C18), hydroxyoleyoylcarnitine(C18-1-OH), hydroxystearoylcarnitine (C18-OH)</w:t>
            </w:r>
          </w:p>
        </w:tc>
      </w:tr>
      <w:tr w:rsidR="00E82D24">
        <w:tc>
          <w:tcPr>
            <w:tcW w:w="2205" w:type="dxa"/>
            <w:shd w:val="clear" w:color="auto" w:fill="auto"/>
            <w:tcMar>
              <w:top w:w="100" w:type="dxa"/>
              <w:left w:w="100" w:type="dxa"/>
              <w:bottom w:w="100" w:type="dxa"/>
              <w:right w:w="100" w:type="dxa"/>
            </w:tcMar>
          </w:tcPr>
          <w:p w:rsidR="00E82D24" w:rsidRDefault="000E3AB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Tryptophan metabolites prifling</w:t>
            </w:r>
          </w:p>
        </w:tc>
        <w:tc>
          <w:tcPr>
            <w:tcW w:w="6795" w:type="dxa"/>
            <w:shd w:val="clear" w:color="auto" w:fill="auto"/>
            <w:tcMar>
              <w:top w:w="100" w:type="dxa"/>
              <w:left w:w="100" w:type="dxa"/>
              <w:bottom w:w="100" w:type="dxa"/>
              <w:right w:w="100" w:type="dxa"/>
            </w:tcMar>
          </w:tcPr>
          <w:p w:rsidR="00E82D24" w:rsidRDefault="000E3ABE">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Kynurenine, Serotonin, Quinolinic acid, HIAA,</w:t>
            </w:r>
            <w:r>
              <w:rPr>
                <w:rFonts w:ascii="Times New Roman" w:eastAsia="Times New Roman" w:hAnsi="Times New Roman" w:cs="Times New Roman"/>
                <w:sz w:val="24"/>
                <w:szCs w:val="24"/>
              </w:rPr>
              <w:t xml:space="preserve"> Tryptamin, Antranillic acid, Indole-3-lactic acid,</w:t>
            </w:r>
            <w:r>
              <w:rPr>
                <w:rFonts w:ascii="Times New Roman" w:eastAsia="Times New Roman" w:hAnsi="Times New Roman" w:cs="Times New Roman"/>
                <w:sz w:val="24"/>
                <w:szCs w:val="24"/>
              </w:rPr>
              <w:tab/>
              <w:t>Indole-3-acetic acid, Indole-3-carboxaldehyde, Indole-3-acrylic acid, Indole-3-propionic acid, Indole-3-butyric acid, Xanturenic acid, Kynurenic acid</w:t>
            </w:r>
          </w:p>
        </w:tc>
      </w:tr>
    </w:tbl>
    <w:p w:rsidR="00E82D24" w:rsidRDefault="000E3AB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82D24" w:rsidRDefault="00E82D24">
      <w:pPr>
        <w:ind w:firstLine="720"/>
        <w:jc w:val="both"/>
        <w:rPr>
          <w:rFonts w:ascii="Times New Roman" w:eastAsia="Times New Roman" w:hAnsi="Times New Roman" w:cs="Times New Roman"/>
          <w:sz w:val="24"/>
          <w:szCs w:val="24"/>
        </w:rPr>
      </w:pPr>
    </w:p>
    <w:p w:rsidR="00E82D24" w:rsidRDefault="00E82D24">
      <w:pPr>
        <w:ind w:firstLine="720"/>
        <w:jc w:val="both"/>
        <w:rPr>
          <w:rFonts w:ascii="Times New Roman" w:eastAsia="Times New Roman" w:hAnsi="Times New Roman" w:cs="Times New Roman"/>
          <w:sz w:val="24"/>
          <w:szCs w:val="24"/>
        </w:rPr>
      </w:pPr>
    </w:p>
    <w:p w:rsidR="00E82D24" w:rsidRDefault="00E82D24">
      <w:pPr>
        <w:ind w:firstLine="720"/>
        <w:jc w:val="both"/>
        <w:rPr>
          <w:rFonts w:ascii="Times New Roman" w:eastAsia="Times New Roman" w:hAnsi="Times New Roman" w:cs="Times New Roman"/>
          <w:sz w:val="24"/>
          <w:szCs w:val="24"/>
        </w:rPr>
      </w:pPr>
    </w:p>
    <w:p w:rsidR="00E82D24" w:rsidRDefault="00E82D24">
      <w:pPr>
        <w:jc w:val="both"/>
        <w:rPr>
          <w:rFonts w:ascii="Times New Roman" w:eastAsia="Times New Roman" w:hAnsi="Times New Roman" w:cs="Times New Roman"/>
          <w:sz w:val="24"/>
          <w:szCs w:val="24"/>
        </w:rPr>
      </w:pPr>
    </w:p>
    <w:p w:rsidR="00E82D24" w:rsidRDefault="00E82D24">
      <w:pPr>
        <w:jc w:val="both"/>
        <w:rPr>
          <w:rFonts w:ascii="Times New Roman" w:eastAsia="Times New Roman" w:hAnsi="Times New Roman" w:cs="Times New Roman"/>
          <w:sz w:val="24"/>
          <w:szCs w:val="24"/>
        </w:rPr>
      </w:pPr>
    </w:p>
    <w:p w:rsidR="00E82D24" w:rsidRDefault="00E82D24">
      <w:pPr>
        <w:jc w:val="both"/>
        <w:rPr>
          <w:rFonts w:ascii="Times New Roman" w:eastAsia="Times New Roman" w:hAnsi="Times New Roman" w:cs="Times New Roman"/>
          <w:sz w:val="24"/>
          <w:szCs w:val="24"/>
        </w:rPr>
      </w:pPr>
    </w:p>
    <w:p w:rsidR="00E82D24" w:rsidRDefault="00E82D24">
      <w:pPr>
        <w:jc w:val="both"/>
        <w:rPr>
          <w:rFonts w:ascii="Times New Roman" w:eastAsia="Times New Roman" w:hAnsi="Times New Roman" w:cs="Times New Roman"/>
          <w:sz w:val="24"/>
          <w:szCs w:val="24"/>
        </w:rPr>
      </w:pPr>
    </w:p>
    <w:p w:rsidR="00E82D24" w:rsidRDefault="00E82D24">
      <w:pPr>
        <w:jc w:val="both"/>
        <w:rPr>
          <w:rFonts w:ascii="Times New Roman" w:eastAsia="Times New Roman" w:hAnsi="Times New Roman" w:cs="Times New Roman"/>
          <w:sz w:val="24"/>
          <w:szCs w:val="24"/>
        </w:rPr>
      </w:pPr>
    </w:p>
    <w:p w:rsidR="00E82D24" w:rsidRDefault="00E82D24">
      <w:pPr>
        <w:ind w:firstLine="720"/>
        <w:jc w:val="both"/>
        <w:rPr>
          <w:rFonts w:ascii="Times New Roman" w:eastAsia="Times New Roman" w:hAnsi="Times New Roman" w:cs="Times New Roman"/>
          <w:sz w:val="24"/>
          <w:szCs w:val="24"/>
        </w:rPr>
      </w:pPr>
    </w:p>
    <w:p w:rsidR="00E82D24" w:rsidRDefault="000E3ABE">
      <w:pPr>
        <w:spacing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A.</w:t>
      </w:r>
    </w:p>
    <w:p w:rsidR="00E82D24" w:rsidRDefault="000E3ABE">
      <w:pPr>
        <w:spacing w:line="240" w:lineRule="auto"/>
        <w:jc w:val="right"/>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noProof/>
          <w:color w:val="222222"/>
          <w:sz w:val="24"/>
          <w:szCs w:val="24"/>
          <w:highlight w:val="white"/>
          <w:lang w:val="en-US"/>
        </w:rPr>
        <w:drawing>
          <wp:inline distT="114300" distB="114300" distL="114300" distR="114300">
            <wp:extent cx="5391863" cy="3035154"/>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5391863" cy="3035154"/>
                    </a:xfrm>
                    <a:prstGeom prst="rect">
                      <a:avLst/>
                    </a:prstGeom>
                    <a:ln/>
                  </pic:spPr>
                </pic:pic>
              </a:graphicData>
            </a:graphic>
          </wp:inline>
        </w:drawing>
      </w:r>
    </w:p>
    <w:p w:rsidR="00E82D24" w:rsidRDefault="000E3ABE">
      <w:pPr>
        <w:spacing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B.</w:t>
      </w:r>
    </w:p>
    <w:p w:rsidR="00E82D24" w:rsidRDefault="000E3ABE">
      <w:pPr>
        <w:spacing w:line="240" w:lineRule="auto"/>
        <w:jc w:val="right"/>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noProof/>
          <w:color w:val="222222"/>
          <w:sz w:val="24"/>
          <w:szCs w:val="24"/>
          <w:highlight w:val="white"/>
          <w:lang w:val="en-US"/>
        </w:rPr>
        <w:drawing>
          <wp:inline distT="114300" distB="114300" distL="114300" distR="114300">
            <wp:extent cx="5731200" cy="3225800"/>
            <wp:effectExtent l="0" t="0" r="0" b="0"/>
            <wp:docPr id="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6"/>
                    <a:srcRect/>
                    <a:stretch>
                      <a:fillRect/>
                    </a:stretch>
                  </pic:blipFill>
                  <pic:spPr>
                    <a:xfrm>
                      <a:off x="0" y="0"/>
                      <a:ext cx="5731200" cy="3225800"/>
                    </a:xfrm>
                    <a:prstGeom prst="rect">
                      <a:avLst/>
                    </a:prstGeom>
                    <a:ln/>
                  </pic:spPr>
                </pic:pic>
              </a:graphicData>
            </a:graphic>
          </wp:inline>
        </w:drawing>
      </w:r>
    </w:p>
    <w:p w:rsidR="00E82D24" w:rsidRDefault="000E3ABE">
      <w:pPr>
        <w:spacing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C.</w:t>
      </w:r>
    </w:p>
    <w:p w:rsidR="00E82D24" w:rsidRDefault="000E3ABE">
      <w:pPr>
        <w:spacing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noProof/>
          <w:color w:val="222222"/>
          <w:sz w:val="24"/>
          <w:szCs w:val="24"/>
          <w:highlight w:val="white"/>
          <w:lang w:val="en-US"/>
        </w:rPr>
        <w:lastRenderedPageBreak/>
        <w:drawing>
          <wp:inline distT="114300" distB="114300" distL="114300" distR="114300">
            <wp:extent cx="5731200" cy="3225800"/>
            <wp:effectExtent l="0" t="0" r="0" b="0"/>
            <wp:docPr id="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7"/>
                    <a:srcRect/>
                    <a:stretch>
                      <a:fillRect/>
                    </a:stretch>
                  </pic:blipFill>
                  <pic:spPr>
                    <a:xfrm>
                      <a:off x="0" y="0"/>
                      <a:ext cx="5731200" cy="3225800"/>
                    </a:xfrm>
                    <a:prstGeom prst="rect">
                      <a:avLst/>
                    </a:prstGeom>
                    <a:ln/>
                  </pic:spPr>
                </pic:pic>
              </a:graphicData>
            </a:graphic>
          </wp:inline>
        </w:drawing>
      </w:r>
    </w:p>
    <w:p w:rsidR="00E82D24" w:rsidRDefault="000E3ABE">
      <w:pPr>
        <w:spacing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D.</w:t>
      </w:r>
    </w:p>
    <w:p w:rsidR="00E82D24" w:rsidRDefault="000E3A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5731200" cy="3225800"/>
            <wp:effectExtent l="0" t="0" r="0" b="0"/>
            <wp:docPr id="7"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8"/>
                    <a:srcRect/>
                    <a:stretch>
                      <a:fillRect/>
                    </a:stretch>
                  </pic:blipFill>
                  <pic:spPr>
                    <a:xfrm>
                      <a:off x="0" y="0"/>
                      <a:ext cx="5731200" cy="3225800"/>
                    </a:xfrm>
                    <a:prstGeom prst="rect">
                      <a:avLst/>
                    </a:prstGeom>
                    <a:ln/>
                  </pic:spPr>
                </pic:pic>
              </a:graphicData>
            </a:graphic>
          </wp:inline>
        </w:drawing>
      </w:r>
    </w:p>
    <w:p w:rsidR="00E82D24" w:rsidRDefault="000E3AB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S1. Box-plots of the significantly altered metabolites in serum samples of the patients with </w:t>
      </w:r>
      <w:r>
        <w:rPr>
          <w:rFonts w:ascii="Times New Roman" w:eastAsia="Times New Roman" w:hAnsi="Times New Roman" w:cs="Times New Roman"/>
          <w:color w:val="222222"/>
          <w:sz w:val="24"/>
          <w:szCs w:val="24"/>
          <w:highlight w:val="white"/>
        </w:rPr>
        <w:t>NSCLC and the NC individuals</w:t>
      </w:r>
      <w:r>
        <w:rPr>
          <w:rFonts w:ascii="Times New Roman" w:eastAsia="Times New Roman" w:hAnsi="Times New Roman" w:cs="Times New Roman"/>
          <w:sz w:val="24"/>
          <w:szCs w:val="24"/>
        </w:rPr>
        <w:t>, related to:   А - NO-cycle intermediates; B - amino acids; C - tryptophan metabolism intermediates; D - Acylcarnitines; * - p-</w:t>
      </w:r>
      <w:r>
        <w:rPr>
          <w:rFonts w:ascii="Times New Roman" w:eastAsia="Times New Roman" w:hAnsi="Times New Roman" w:cs="Times New Roman"/>
          <w:sz w:val="24"/>
          <w:szCs w:val="24"/>
        </w:rPr>
        <w:t>value &lt; 0.05, ** - p-value &lt;0.01, *** - p-value &lt; 0.001.</w:t>
      </w:r>
    </w:p>
    <w:p w:rsidR="00E82D24" w:rsidRDefault="00E82D24">
      <w:pPr>
        <w:ind w:firstLine="720"/>
        <w:jc w:val="both"/>
        <w:rPr>
          <w:rFonts w:ascii="Times New Roman" w:eastAsia="Times New Roman" w:hAnsi="Times New Roman" w:cs="Times New Roman"/>
          <w:sz w:val="24"/>
          <w:szCs w:val="24"/>
        </w:rPr>
      </w:pPr>
    </w:p>
    <w:p w:rsidR="00E82D24" w:rsidRDefault="00E82D24">
      <w:pPr>
        <w:ind w:firstLine="720"/>
        <w:jc w:val="both"/>
        <w:rPr>
          <w:rFonts w:ascii="Times New Roman" w:eastAsia="Times New Roman" w:hAnsi="Times New Roman" w:cs="Times New Roman"/>
          <w:sz w:val="24"/>
          <w:szCs w:val="24"/>
        </w:rPr>
      </w:pPr>
    </w:p>
    <w:p w:rsidR="00E82D24" w:rsidRDefault="00E82D24">
      <w:pPr>
        <w:ind w:firstLine="720"/>
        <w:jc w:val="both"/>
        <w:rPr>
          <w:rFonts w:ascii="Times New Roman" w:eastAsia="Times New Roman" w:hAnsi="Times New Roman" w:cs="Times New Roman"/>
          <w:sz w:val="24"/>
          <w:szCs w:val="24"/>
        </w:rPr>
      </w:pPr>
    </w:p>
    <w:p w:rsidR="00E82D24" w:rsidRDefault="00E82D24">
      <w:pPr>
        <w:ind w:firstLine="720"/>
        <w:jc w:val="both"/>
        <w:rPr>
          <w:rFonts w:ascii="Times New Roman" w:eastAsia="Times New Roman" w:hAnsi="Times New Roman" w:cs="Times New Roman"/>
          <w:sz w:val="24"/>
          <w:szCs w:val="24"/>
        </w:rPr>
      </w:pPr>
    </w:p>
    <w:p w:rsidR="00E82D24" w:rsidRDefault="00E82D24">
      <w:pPr>
        <w:ind w:firstLine="720"/>
        <w:jc w:val="both"/>
        <w:rPr>
          <w:rFonts w:ascii="Times New Roman" w:eastAsia="Times New Roman" w:hAnsi="Times New Roman" w:cs="Times New Roman"/>
          <w:sz w:val="24"/>
          <w:szCs w:val="24"/>
        </w:rPr>
      </w:pPr>
    </w:p>
    <w:p w:rsidR="00E82D24" w:rsidRDefault="00E82D24">
      <w:pPr>
        <w:ind w:firstLine="720"/>
        <w:jc w:val="both"/>
        <w:rPr>
          <w:rFonts w:ascii="Times New Roman" w:eastAsia="Times New Roman" w:hAnsi="Times New Roman" w:cs="Times New Roman"/>
          <w:sz w:val="24"/>
          <w:szCs w:val="24"/>
        </w:rPr>
      </w:pPr>
    </w:p>
    <w:p w:rsidR="00E82D24" w:rsidRDefault="00E82D24">
      <w:pPr>
        <w:ind w:firstLine="720"/>
        <w:jc w:val="both"/>
        <w:rPr>
          <w:rFonts w:ascii="Times New Roman" w:eastAsia="Times New Roman" w:hAnsi="Times New Roman" w:cs="Times New Roman"/>
          <w:sz w:val="24"/>
          <w:szCs w:val="24"/>
        </w:rPr>
      </w:pPr>
    </w:p>
    <w:p w:rsidR="00E82D24" w:rsidRDefault="000E3ABE">
      <w:pPr>
        <w:ind w:left="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extent cx="4326134" cy="271145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326134" cy="2711450"/>
                    </a:xfrm>
                    <a:prstGeom prst="rect">
                      <a:avLst/>
                    </a:prstGeom>
                    <a:ln/>
                  </pic:spPr>
                </pic:pic>
              </a:graphicData>
            </a:graphic>
          </wp:inline>
        </w:drawing>
      </w:r>
    </w:p>
    <w:p w:rsidR="00E82D24" w:rsidRDefault="00E82D24">
      <w:pPr>
        <w:ind w:firstLine="720"/>
        <w:jc w:val="both"/>
        <w:rPr>
          <w:rFonts w:ascii="Times New Roman" w:eastAsia="Times New Roman" w:hAnsi="Times New Roman" w:cs="Times New Roman"/>
          <w:sz w:val="24"/>
          <w:szCs w:val="24"/>
        </w:rPr>
      </w:pPr>
    </w:p>
    <w:p w:rsidR="00E82D24" w:rsidRDefault="000E3ABE">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S2. PCA score plot based on the results of the wide-scaled targeted metabolomic profiling </w:t>
      </w:r>
    </w:p>
    <w:p w:rsidR="00E82D24" w:rsidRDefault="00E82D24">
      <w:pPr>
        <w:ind w:firstLine="720"/>
        <w:jc w:val="both"/>
        <w:rPr>
          <w:rFonts w:ascii="Times New Roman" w:eastAsia="Times New Roman" w:hAnsi="Times New Roman" w:cs="Times New Roman"/>
          <w:sz w:val="24"/>
          <w:szCs w:val="24"/>
        </w:rPr>
      </w:pPr>
    </w:p>
    <w:p w:rsidR="00E82D24" w:rsidRDefault="000E3ABE">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5325310" cy="2299153"/>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325310" cy="2299153"/>
                    </a:xfrm>
                    <a:prstGeom prst="rect">
                      <a:avLst/>
                    </a:prstGeom>
                    <a:ln/>
                  </pic:spPr>
                </pic:pic>
              </a:graphicData>
            </a:graphic>
          </wp:inline>
        </w:drawing>
      </w:r>
    </w:p>
    <w:p w:rsidR="00E82D24" w:rsidRDefault="000E3AB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Figure S3. OPLS-DA scores plot for the model discriminating blood samples from NCLC pati</w:t>
      </w:r>
      <w:r>
        <w:rPr>
          <w:rFonts w:ascii="Times New Roman" w:eastAsia="Times New Roman" w:hAnsi="Times New Roman" w:cs="Times New Roman"/>
          <w:sz w:val="24"/>
          <w:szCs w:val="24"/>
        </w:rPr>
        <w:t>ents and NC patients</w:t>
      </w:r>
    </w:p>
    <w:p w:rsidR="00E82D24" w:rsidRDefault="00E82D24">
      <w:pPr>
        <w:spacing w:line="240" w:lineRule="auto"/>
        <w:rPr>
          <w:rFonts w:ascii="Times New Roman" w:eastAsia="Times New Roman" w:hAnsi="Times New Roman" w:cs="Times New Roman"/>
          <w:sz w:val="24"/>
          <w:szCs w:val="24"/>
        </w:rPr>
      </w:pPr>
    </w:p>
    <w:p w:rsidR="00E82D24" w:rsidRDefault="000E3ABE">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rPr>
        <w:lastRenderedPageBreak/>
        <w:drawing>
          <wp:inline distT="114300" distB="114300" distL="114300" distR="114300">
            <wp:extent cx="4498936" cy="3667125"/>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4498936" cy="3667125"/>
                    </a:xfrm>
                    <a:prstGeom prst="rect">
                      <a:avLst/>
                    </a:prstGeom>
                    <a:ln/>
                  </pic:spPr>
                </pic:pic>
              </a:graphicData>
            </a:graphic>
          </wp:inline>
        </w:drawing>
      </w:r>
    </w:p>
    <w:p w:rsidR="00E82D24" w:rsidRDefault="000E3AB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S4. Comparison of the applied ML algorithms for the dataset of the absolute values of the selected metabolites and their ratios </w:t>
      </w:r>
    </w:p>
    <w:p w:rsidR="00E82D24" w:rsidRDefault="00E82D24">
      <w:pPr>
        <w:spacing w:line="240" w:lineRule="auto"/>
        <w:jc w:val="both"/>
        <w:rPr>
          <w:rFonts w:ascii="Times New Roman" w:eastAsia="Times New Roman" w:hAnsi="Times New Roman" w:cs="Times New Roman"/>
          <w:sz w:val="24"/>
          <w:szCs w:val="24"/>
        </w:rPr>
      </w:pPr>
    </w:p>
    <w:p w:rsidR="00E82D24" w:rsidRDefault="000E3AB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4532798" cy="36957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532798" cy="3695700"/>
                    </a:xfrm>
                    <a:prstGeom prst="rect">
                      <a:avLst/>
                    </a:prstGeom>
                    <a:ln/>
                  </pic:spPr>
                </pic:pic>
              </a:graphicData>
            </a:graphic>
          </wp:inline>
        </w:drawing>
      </w:r>
    </w:p>
    <w:p w:rsidR="00E82D24" w:rsidRDefault="000E3AB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S5. Comparison of the applied ML algorithms for the dataset of the absolute values of </w:t>
      </w:r>
      <w:r>
        <w:rPr>
          <w:rFonts w:ascii="Times New Roman" w:eastAsia="Times New Roman" w:hAnsi="Times New Roman" w:cs="Times New Roman"/>
          <w:sz w:val="24"/>
          <w:szCs w:val="24"/>
        </w:rPr>
        <w:t xml:space="preserve">the selected metabolites and their ratios </w:t>
      </w:r>
    </w:p>
    <w:sectPr w:rsidR="00E82D2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31AF9"/>
    <w:multiLevelType w:val="multilevel"/>
    <w:tmpl w:val="100032E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D24"/>
    <w:rsid w:val="000E3ABE"/>
    <w:rsid w:val="006453EA"/>
    <w:rsid w:val="00E82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514AD"/>
  <w15:docId w15:val="{98EDABFB-28C7-4E88-AB91-3E7A3DDC8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5" Type="http://schemas.openxmlformats.org/officeDocument/2006/relationships/image" Target="media/image1.jp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584</Words>
  <Characters>3330</Characters>
  <Application>Microsoft Office Word</Application>
  <DocSecurity>0</DocSecurity>
  <Lines>27</Lines>
  <Paragraphs>7</Paragraphs>
  <ScaleCrop>false</ScaleCrop>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Elena Tobolkina</cp:lastModifiedBy>
  <cp:revision>3</cp:revision>
  <dcterms:created xsi:type="dcterms:W3CDTF">2023-05-15T11:26:00Z</dcterms:created>
  <dcterms:modified xsi:type="dcterms:W3CDTF">2023-05-15T11:28:00Z</dcterms:modified>
</cp:coreProperties>
</file>