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FC7" w:rsidRPr="00775A28" w:rsidRDefault="00775A28">
      <w:pPr>
        <w:rPr>
          <w:b/>
          <w:bCs/>
          <w:u w:val="single"/>
          <w:lang w:val="el-GR"/>
        </w:rPr>
      </w:pPr>
      <w:r>
        <w:rPr>
          <w:b/>
          <w:bCs/>
          <w:u w:val="single"/>
          <w:lang w:val="en-GB"/>
        </w:rPr>
        <w:t xml:space="preserve">FDDA. </w:t>
      </w:r>
      <w:r w:rsidR="00475800" w:rsidRPr="00475800">
        <w:rPr>
          <w:b/>
          <w:bCs/>
          <w:u w:val="single"/>
          <w:lang w:val="en-GB"/>
        </w:rPr>
        <w:t xml:space="preserve">Supplementary </w:t>
      </w:r>
      <w:r>
        <w:rPr>
          <w:b/>
          <w:bCs/>
          <w:u w:val="single"/>
          <w:lang w:val="en-GB"/>
        </w:rPr>
        <w:t>table and figures</w:t>
      </w:r>
    </w:p>
    <w:p w:rsidR="00475800" w:rsidRDefault="00475800">
      <w:pPr>
        <w:rPr>
          <w:lang w:val="en-GB"/>
        </w:rPr>
      </w:pPr>
    </w:p>
    <w:p w:rsidR="00775A28" w:rsidRPr="00B9171B" w:rsidRDefault="00775A28" w:rsidP="00775A28">
      <w:pPr>
        <w:pStyle w:val="Body12"/>
        <w:spacing w:line="276" w:lineRule="auto"/>
        <w:rPr>
          <w:color w:val="0000FF"/>
          <w:sz w:val="22"/>
          <w:szCs w:val="22"/>
        </w:rPr>
      </w:pPr>
      <w:r w:rsidRPr="00B9171B">
        <w:rPr>
          <w:color w:val="0000FF"/>
          <w:sz w:val="22"/>
          <w:szCs w:val="22"/>
        </w:rPr>
        <w:t>Supplementa</w:t>
      </w:r>
      <w:r>
        <w:rPr>
          <w:color w:val="0000FF"/>
          <w:sz w:val="22"/>
          <w:szCs w:val="22"/>
        </w:rPr>
        <w:t>ry</w:t>
      </w:r>
      <w:r w:rsidRPr="00B9171B">
        <w:rPr>
          <w:color w:val="0000FF"/>
          <w:sz w:val="22"/>
          <w:szCs w:val="22"/>
        </w:rPr>
        <w:t xml:space="preserve"> Table 1</w:t>
      </w:r>
      <w:r>
        <w:rPr>
          <w:color w:val="0000FF"/>
          <w:sz w:val="22"/>
          <w:szCs w:val="22"/>
        </w:rPr>
        <w:t>.</w:t>
      </w:r>
      <w:r w:rsidRPr="00DB4A9E">
        <w:rPr>
          <w:color w:val="000000" w:themeColor="text1"/>
          <w:sz w:val="22"/>
          <w:szCs w:val="22"/>
        </w:rPr>
        <w:t xml:space="preserve"> Results for pre-defined endpoints</w:t>
      </w:r>
    </w:p>
    <w:tbl>
      <w:tblPr>
        <w:tblpPr w:leftFromText="180" w:rightFromText="180" w:vertAnchor="text" w:tblpY="1"/>
        <w:tblOverlap w:val="never"/>
        <w:tblW w:w="905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3"/>
        <w:gridCol w:w="3827"/>
        <w:gridCol w:w="2693"/>
        <w:gridCol w:w="1549"/>
      </w:tblGrid>
      <w:tr w:rsidR="00775A28" w:rsidRPr="001C0E44" w:rsidTr="00845C38">
        <w:trPr>
          <w:trHeight w:val="531"/>
          <w:tblHeader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b/>
                <w:bCs/>
                <w:sz w:val="22"/>
                <w:szCs w:val="22"/>
              </w:rPr>
            </w:pPr>
            <w:r w:rsidRPr="00B9171B">
              <w:rPr>
                <w:b/>
                <w:bCs/>
                <w:sz w:val="22"/>
                <w:szCs w:val="22"/>
              </w:rPr>
              <w:t xml:space="preserve">EP No. 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2"/>
                <w:szCs w:val="22"/>
              </w:rPr>
            </w:pPr>
            <w:r w:rsidRPr="00B9171B">
              <w:rPr>
                <w:b/>
                <w:bCs/>
                <w:sz w:val="22"/>
                <w:szCs w:val="22"/>
              </w:rPr>
              <w:t xml:space="preserve">Endpoints 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B7C6A" w:rsidRDefault="00775A28" w:rsidP="00845C38">
            <w:pPr>
              <w:pStyle w:val="Body12"/>
              <w:spacing w:after="0" w:line="276" w:lineRule="auto"/>
              <w:jc w:val="left"/>
              <w:rPr>
                <w:sz w:val="22"/>
                <w:szCs w:val="22"/>
                <w:lang w:val="pt-PT"/>
              </w:rPr>
            </w:pPr>
            <w:r w:rsidRPr="00BB7C6A">
              <w:rPr>
                <w:b/>
                <w:bCs/>
                <w:sz w:val="22"/>
                <w:szCs w:val="22"/>
                <w:lang w:val="pt-PT"/>
              </w:rPr>
              <w:t xml:space="preserve">FDDA (n=40) </w:t>
            </w:r>
            <w:proofErr w:type="spellStart"/>
            <w:r w:rsidRPr="00BB7C6A">
              <w:rPr>
                <w:b/>
                <w:bCs/>
                <w:sz w:val="22"/>
                <w:szCs w:val="22"/>
                <w:lang w:val="pt-PT"/>
              </w:rPr>
              <w:t>vs</w:t>
            </w:r>
            <w:proofErr w:type="spellEnd"/>
            <w:r w:rsidRPr="00BB7C6A">
              <w:rPr>
                <w:b/>
                <w:bCs/>
                <w:sz w:val="22"/>
                <w:szCs w:val="22"/>
                <w:lang w:val="pt-PT"/>
              </w:rPr>
              <w:t xml:space="preserve"> </w:t>
            </w:r>
            <w:r w:rsidRPr="00BB7C6A">
              <w:rPr>
                <w:b/>
                <w:bCs/>
                <w:sz w:val="22"/>
                <w:szCs w:val="22"/>
                <w:lang w:val="pt-PT"/>
              </w:rPr>
              <w:br/>
              <w:t xml:space="preserve">Usual </w:t>
            </w:r>
            <w:proofErr w:type="spellStart"/>
            <w:r w:rsidRPr="00BB7C6A">
              <w:rPr>
                <w:b/>
                <w:bCs/>
                <w:sz w:val="22"/>
                <w:szCs w:val="22"/>
                <w:lang w:val="pt-PT"/>
              </w:rPr>
              <w:t>care</w:t>
            </w:r>
            <w:proofErr w:type="spellEnd"/>
            <w:r w:rsidRPr="00BB7C6A">
              <w:rPr>
                <w:b/>
                <w:bCs/>
                <w:sz w:val="22"/>
                <w:szCs w:val="22"/>
                <w:lang w:val="pt-PT"/>
              </w:rPr>
              <w:t xml:space="preserve"> (n=53) 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2"/>
                <w:szCs w:val="22"/>
              </w:rPr>
            </w:pPr>
            <w:r w:rsidRPr="00B9171B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(1) P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PGIC at 3 months, 7-point scale</w:t>
            </w:r>
            <w:r w:rsidRPr="00B9171B">
              <w:rPr>
                <w:i/>
                <w:iCs/>
                <w:sz w:val="20"/>
                <w:szCs w:val="20"/>
              </w:rPr>
              <w:t>, Mean (95%CI, range)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E44840" w:rsidRDefault="00775A28" w:rsidP="00845C38">
            <w:pPr>
              <w:pStyle w:val="Body12"/>
              <w:spacing w:after="0" w:line="276" w:lineRule="auto"/>
              <w:jc w:val="left"/>
              <w:rPr>
                <w:sz w:val="22"/>
                <w:szCs w:val="22"/>
                <w:lang w:val="fr-CH"/>
              </w:rPr>
            </w:pPr>
            <w:r w:rsidRPr="00E44840">
              <w:rPr>
                <w:sz w:val="20"/>
                <w:szCs w:val="20"/>
                <w:lang w:val="fr-CH"/>
              </w:rPr>
              <w:t>2.7 (</w:t>
            </w:r>
            <w:r w:rsidRPr="00E44840">
              <w:rPr>
                <w:sz w:val="20"/>
                <w:szCs w:val="20"/>
                <w:lang w:val="fr-CH" w:eastAsia="de-DE"/>
              </w:rPr>
              <w:t>95%</w:t>
            </w:r>
            <w:proofErr w:type="gramStart"/>
            <w:r w:rsidRPr="00E44840">
              <w:rPr>
                <w:sz w:val="20"/>
                <w:szCs w:val="20"/>
                <w:lang w:val="fr-CH" w:eastAsia="de-DE"/>
              </w:rPr>
              <w:t>CI:</w:t>
            </w:r>
            <w:proofErr w:type="gramEnd"/>
            <w:r w:rsidRPr="00E44840">
              <w:rPr>
                <w:sz w:val="20"/>
                <w:szCs w:val="20"/>
                <w:lang w:val="fr-CH" w:eastAsia="de-DE"/>
              </w:rPr>
              <w:t xml:space="preserve"> </w:t>
            </w:r>
            <w:r w:rsidRPr="00E44840">
              <w:rPr>
                <w:sz w:val="20"/>
                <w:szCs w:val="20"/>
                <w:lang w:val="fr-CH"/>
              </w:rPr>
              <w:t>2.34-3.07, range: 1-6) vs. 2.6 (</w:t>
            </w:r>
            <w:r w:rsidRPr="00E44840">
              <w:rPr>
                <w:sz w:val="20"/>
                <w:szCs w:val="20"/>
                <w:lang w:val="fr-CH" w:eastAsia="de-DE"/>
              </w:rPr>
              <w:t>95%</w:t>
            </w:r>
            <w:proofErr w:type="gramStart"/>
            <w:r w:rsidRPr="00E44840">
              <w:rPr>
                <w:sz w:val="20"/>
                <w:szCs w:val="20"/>
                <w:lang w:val="fr-CH" w:eastAsia="de-DE"/>
              </w:rPr>
              <w:t>CI:</w:t>
            </w:r>
            <w:proofErr w:type="gramEnd"/>
            <w:r w:rsidRPr="00E44840">
              <w:rPr>
                <w:sz w:val="20"/>
                <w:szCs w:val="20"/>
                <w:lang w:val="fr-CH" w:eastAsia="de-DE"/>
              </w:rPr>
              <w:t xml:space="preserve"> </w:t>
            </w:r>
            <w:r w:rsidRPr="00E44840">
              <w:rPr>
                <w:sz w:val="20"/>
                <w:szCs w:val="20"/>
                <w:lang w:val="fr-CH"/>
              </w:rPr>
              <w:t>2.33-2.96, range: 1-5</w:t>
            </w:r>
            <w:r w:rsidRPr="00E44840">
              <w:rPr>
                <w:sz w:val="22"/>
                <w:szCs w:val="22"/>
                <w:lang w:val="fr-CH"/>
              </w:rPr>
              <w:t>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E44840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  <w:lang w:val="fr-CH" w:eastAsia="de-DE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  <w:lang w:eastAsia="de-DE"/>
              </w:rPr>
              <w:t>0.802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(2)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PGIC at 6 months 7-point scale</w:t>
            </w:r>
            <w:r w:rsidRPr="00B9171B">
              <w:rPr>
                <w:i/>
                <w:iCs/>
                <w:sz w:val="20"/>
                <w:szCs w:val="20"/>
              </w:rPr>
              <w:t>, Mean (95%CI, range)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E44840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  <w:lang w:val="fr-CH"/>
              </w:rPr>
            </w:pPr>
            <w:r w:rsidRPr="00E44840">
              <w:rPr>
                <w:sz w:val="20"/>
                <w:szCs w:val="20"/>
                <w:lang w:val="fr-CH"/>
              </w:rPr>
              <w:t>2.6 (</w:t>
            </w:r>
            <w:r w:rsidRPr="00E44840">
              <w:rPr>
                <w:sz w:val="20"/>
                <w:szCs w:val="20"/>
                <w:lang w:val="fr-CH" w:eastAsia="de-DE"/>
              </w:rPr>
              <w:t>95%</w:t>
            </w:r>
            <w:proofErr w:type="gramStart"/>
            <w:r w:rsidRPr="00E44840">
              <w:rPr>
                <w:sz w:val="20"/>
                <w:szCs w:val="20"/>
                <w:lang w:val="fr-CH" w:eastAsia="de-DE"/>
              </w:rPr>
              <w:t>CI:</w:t>
            </w:r>
            <w:proofErr w:type="gramEnd"/>
            <w:r w:rsidRPr="00E44840">
              <w:rPr>
                <w:sz w:val="20"/>
                <w:szCs w:val="20"/>
                <w:lang w:val="fr-CH" w:eastAsia="de-DE"/>
              </w:rPr>
              <w:t xml:space="preserve"> </w:t>
            </w:r>
            <w:r w:rsidRPr="00E44840">
              <w:rPr>
                <w:sz w:val="20"/>
                <w:szCs w:val="20"/>
                <w:lang w:val="fr-CH"/>
              </w:rPr>
              <w:t>2.30-2.83, range: 1-4) vs. 2.5 (</w:t>
            </w:r>
            <w:r w:rsidRPr="00E44840">
              <w:rPr>
                <w:sz w:val="20"/>
                <w:szCs w:val="20"/>
                <w:lang w:val="fr-CH" w:eastAsia="de-DE"/>
              </w:rPr>
              <w:t>95%</w:t>
            </w:r>
            <w:proofErr w:type="gramStart"/>
            <w:r w:rsidRPr="00E44840">
              <w:rPr>
                <w:sz w:val="20"/>
                <w:szCs w:val="20"/>
                <w:lang w:val="fr-CH" w:eastAsia="de-DE"/>
              </w:rPr>
              <w:t>CI:</w:t>
            </w:r>
            <w:proofErr w:type="gramEnd"/>
            <w:r w:rsidRPr="00E44840">
              <w:rPr>
                <w:sz w:val="20"/>
                <w:szCs w:val="20"/>
                <w:lang w:val="fr-CH" w:eastAsia="de-DE"/>
              </w:rPr>
              <w:t xml:space="preserve"> </w:t>
            </w:r>
            <w:r w:rsidRPr="00E44840">
              <w:rPr>
                <w:sz w:val="20"/>
                <w:szCs w:val="20"/>
                <w:lang w:val="fr-CH"/>
              </w:rPr>
              <w:t>2.26-2.82, range: 1-5)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E44840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  <w:lang w:val="fr-CH" w:eastAsia="de-DE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  <w:lang w:eastAsia="de-DE"/>
              </w:rPr>
            </w:pPr>
            <w:r w:rsidRPr="00B9171B">
              <w:rPr>
                <w:sz w:val="20"/>
                <w:szCs w:val="20"/>
                <w:lang w:eastAsia="de-DE"/>
              </w:rPr>
              <w:t>0.890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(3)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Patients experiencing a reduction in fatigue ≥1 point on a 1-10 scale, at 3 or 6 </w:t>
            </w:r>
            <w:proofErr w:type="gramStart"/>
            <w:r w:rsidRPr="00B9171B">
              <w:rPr>
                <w:sz w:val="20"/>
                <w:szCs w:val="20"/>
              </w:rPr>
              <w:t>months,*</w:t>
            </w:r>
            <w:proofErr w:type="gramEnd"/>
            <w:r w:rsidRPr="00B9171B">
              <w:rPr>
                <w:sz w:val="20"/>
                <w:szCs w:val="20"/>
              </w:rPr>
              <w:t xml:space="preserve"> </w:t>
            </w:r>
            <w:r w:rsidRPr="00B9171B">
              <w:rPr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97.4(37/</w:t>
            </w:r>
            <w:proofErr w:type="gramStart"/>
            <w:r w:rsidRPr="00B9171B">
              <w:rPr>
                <w:sz w:val="20"/>
                <w:szCs w:val="20"/>
              </w:rPr>
              <w:t>38 )</w:t>
            </w:r>
            <w:proofErr w:type="gramEnd"/>
            <w:r w:rsidRPr="00B9171B">
              <w:rPr>
                <w:sz w:val="20"/>
                <w:szCs w:val="20"/>
              </w:rPr>
              <w:t xml:space="preserve"> vs. 78.4(40/51)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b/>
                <w:bCs/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b/>
                <w:bCs/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b/>
                <w:bCs/>
                <w:sz w:val="20"/>
                <w:szCs w:val="20"/>
              </w:rPr>
              <w:t xml:space="preserve">0.011 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(4)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Time until an improvement of fatigue1 point on a 1-10 NRS</w:t>
            </w:r>
            <w:r w:rsidRPr="00B9171B">
              <w:rPr>
                <w:i/>
                <w:iCs/>
                <w:sz w:val="20"/>
                <w:szCs w:val="20"/>
              </w:rPr>
              <w:t>, Median (Q</w:t>
            </w:r>
            <w:proofErr w:type="gramStart"/>
            <w:r w:rsidRPr="00B9171B">
              <w:rPr>
                <w:i/>
                <w:iCs/>
                <w:sz w:val="20"/>
                <w:szCs w:val="20"/>
              </w:rPr>
              <w:t>1,Q</w:t>
            </w:r>
            <w:proofErr w:type="gramEnd"/>
            <w:r w:rsidRPr="00B9171B">
              <w:rPr>
                <w:i/>
                <w:iCs/>
                <w:sz w:val="20"/>
                <w:szCs w:val="20"/>
              </w:rPr>
              <w:t>3)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14.0 (10,21) vs. 14.0 (7,21)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0.741 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(5)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Mean number of points of fatigue reduction on a 1-10 NRS, </w:t>
            </w:r>
            <w:r w:rsidRPr="00B9171B">
              <w:rPr>
                <w:i/>
                <w:iCs/>
                <w:sz w:val="20"/>
                <w:szCs w:val="20"/>
              </w:rPr>
              <w:t>Mean (range)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-2.0 (-6-1) vs. -2.1 (-7-1)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0.885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(6)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Patients with a PGIC response (=any improvement),</w:t>
            </w:r>
            <w:r w:rsidRPr="00B9171B">
              <w:rPr>
                <w:i/>
                <w:iCs/>
                <w:sz w:val="20"/>
                <w:szCs w:val="20"/>
              </w:rPr>
              <w:t xml:space="preserve"> %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at 3 months 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at 6 months </w:t>
            </w:r>
            <w:r w:rsidRPr="00B9171B">
              <w:rPr>
                <w:sz w:val="20"/>
                <w:szCs w:val="20"/>
              </w:rPr>
              <w:br/>
              <w:t>at 3 or 6 months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78.4(29/37) vs. 78.6(33/43) </w:t>
            </w:r>
            <w:r w:rsidRPr="00B9171B">
              <w:rPr>
                <w:sz w:val="20"/>
                <w:szCs w:val="20"/>
              </w:rPr>
              <w:br/>
              <w:t>89.2(33/37) vs. 84.0(42/50)</w:t>
            </w:r>
            <w:r w:rsidRPr="00B9171B">
              <w:rPr>
                <w:sz w:val="20"/>
                <w:szCs w:val="20"/>
              </w:rPr>
              <w:br/>
              <w:t xml:space="preserve">92.1(35/38) vs. 94.1(48/51) 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1.000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0.546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1.000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(7)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i/>
                <w:iCs/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PCP’s confidence in the established diagnosis**, M</w:t>
            </w:r>
            <w:r w:rsidRPr="00B9171B">
              <w:rPr>
                <w:i/>
                <w:iCs/>
                <w:sz w:val="20"/>
                <w:szCs w:val="20"/>
              </w:rPr>
              <w:t xml:space="preserve">ean (range) 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Month 1 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Month 3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0.7 (0-3) vs. 0.8 (0-3)</w:t>
            </w: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0.6 (0-2) vs. 0.6 (0-3)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0.609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0.750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(8)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i/>
                <w:iCs/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PCP’s assessment of patient improvement (CGIC response), M</w:t>
            </w:r>
            <w:r w:rsidRPr="00B9171B">
              <w:rPr>
                <w:i/>
                <w:iCs/>
                <w:sz w:val="20"/>
                <w:szCs w:val="20"/>
              </w:rPr>
              <w:t>ean (range)</w:t>
            </w:r>
          </w:p>
          <w:p w:rsidR="00775A28" w:rsidRPr="00B9171B" w:rsidRDefault="00775A28" w:rsidP="00845C38">
            <w:pPr>
              <w:pStyle w:val="Body12"/>
              <w:spacing w:after="0" w:line="240" w:lineRule="auto"/>
              <w:ind w:left="274"/>
              <w:jc w:val="left"/>
              <w:rPr>
                <w:sz w:val="20"/>
                <w:szCs w:val="20"/>
                <w:highlight w:val="yellow"/>
              </w:rPr>
            </w:pPr>
            <w:r w:rsidRPr="00B9171B">
              <w:rPr>
                <w:sz w:val="20"/>
                <w:szCs w:val="20"/>
              </w:rPr>
              <w:t>Month 1</w:t>
            </w:r>
          </w:p>
          <w:p w:rsidR="00775A28" w:rsidRPr="00B9171B" w:rsidRDefault="00775A28" w:rsidP="00845C38">
            <w:pPr>
              <w:pStyle w:val="Body12"/>
              <w:spacing w:after="0" w:line="240" w:lineRule="auto"/>
              <w:ind w:left="274"/>
              <w:jc w:val="left"/>
              <w:rPr>
                <w:sz w:val="20"/>
                <w:szCs w:val="20"/>
                <w:highlight w:val="yellow"/>
              </w:rPr>
            </w:pPr>
            <w:r w:rsidRPr="00B9171B">
              <w:rPr>
                <w:sz w:val="20"/>
                <w:szCs w:val="20"/>
              </w:rPr>
              <w:t>Month 3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3.1 (2-5) vs. 2.9 (1-4)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2.7 (1-6) vs. 2.4 (1-4)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0.318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0.231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(9a)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i/>
                <w:iCs/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Patients satisfied or very satisfied with diagnosis ***, %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Month 1 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Month 2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Month 3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Month 6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50.0(19/38) vs. 29.8(14/47)</w:t>
            </w: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50.0(19/38) vs. 40.0(20/50)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45.9(17/37) vs. 31.7(13/41)</w:t>
            </w:r>
            <w:r w:rsidRPr="00B9171B">
              <w:rPr>
                <w:sz w:val="20"/>
                <w:szCs w:val="20"/>
              </w:rPr>
              <w:br/>
              <w:t>64.9(24/37) vs. 52.0(26/50)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0.074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0.391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0.246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0.276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(9b)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i/>
                <w:iCs/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Patients satisfied or very satisfied with </w:t>
            </w:r>
            <w:r w:rsidRPr="00B9171B">
              <w:rPr>
                <w:sz w:val="20"/>
                <w:szCs w:val="20"/>
              </w:rPr>
              <w:br/>
              <w:t>treatment ***, %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Month 1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Month 2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Month 3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lastRenderedPageBreak/>
              <w:t>Month 6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56.8(21/37) vs. 25.0(12/48)</w:t>
            </w: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44.7(17/38) vs. 36.0(18/50)</w:t>
            </w: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64.9(24/37) vs. 31.0(13/42)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lastRenderedPageBreak/>
              <w:t>59.5(22/37) vs. 48.0(24/50)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b/>
                <w:bCs/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b/>
                <w:bCs/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b/>
                <w:bCs/>
                <w:sz w:val="20"/>
                <w:szCs w:val="20"/>
              </w:rPr>
              <w:t>0.004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0.510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b/>
                <w:bCs/>
                <w:sz w:val="20"/>
                <w:szCs w:val="20"/>
              </w:rPr>
              <w:t>0.003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lastRenderedPageBreak/>
              <w:t>0.385</w:t>
            </w: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lastRenderedPageBreak/>
              <w:t>(10)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PCP-reported visits per patient for the same condition (fatigue), last available value, n (</w:t>
            </w:r>
            <w:r w:rsidRPr="00B9171B">
              <w:rPr>
                <w:i/>
                <w:iCs/>
                <w:sz w:val="20"/>
                <w:szCs w:val="20"/>
              </w:rPr>
              <w:t>median Q</w:t>
            </w:r>
            <w:proofErr w:type="gramStart"/>
            <w:r w:rsidRPr="00B9171B">
              <w:rPr>
                <w:i/>
                <w:iCs/>
                <w:sz w:val="20"/>
                <w:szCs w:val="20"/>
              </w:rPr>
              <w:t>1,Q</w:t>
            </w:r>
            <w:proofErr w:type="gramEnd"/>
            <w:r w:rsidRPr="00B9171B">
              <w:rPr>
                <w:i/>
                <w:iCs/>
                <w:sz w:val="20"/>
                <w:szCs w:val="20"/>
              </w:rPr>
              <w:t>3)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4.0 (3,4) vs. 3.0 (3,4) 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b/>
                <w:bCs/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b/>
                <w:bCs/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b/>
                <w:bCs/>
                <w:sz w:val="20"/>
                <w:szCs w:val="20"/>
              </w:rPr>
              <w:t>&lt;0.001</w:t>
            </w:r>
          </w:p>
        </w:tc>
      </w:tr>
      <w:tr w:rsidR="00775A28" w:rsidRPr="00F710A5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(11)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ind w:left="143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Referrals (Imaging (MRI, X-ray, etc.) or other health services, n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Free text data. Not analysable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775A28" w:rsidRPr="001C0E44" w:rsidTr="00845C38">
        <w:trPr>
          <w:trHeight w:val="531"/>
        </w:trPr>
        <w:tc>
          <w:tcPr>
            <w:tcW w:w="98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(12) S</w:t>
            </w:r>
          </w:p>
        </w:tc>
        <w:tc>
          <w:tcPr>
            <w:tcW w:w="38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 xml:space="preserve">Time to final </w:t>
            </w:r>
            <w:proofErr w:type="gramStart"/>
            <w:r w:rsidRPr="00B9171B">
              <w:rPr>
                <w:sz w:val="20"/>
                <w:szCs w:val="20"/>
              </w:rPr>
              <w:t>diagnosis,*</w:t>
            </w:r>
            <w:proofErr w:type="gramEnd"/>
            <w:r w:rsidRPr="00B9171B">
              <w:rPr>
                <w:sz w:val="20"/>
                <w:szCs w:val="20"/>
              </w:rPr>
              <w:t>*** [days],</w:t>
            </w:r>
            <w:r w:rsidRPr="00B9171B">
              <w:rPr>
                <w:i/>
                <w:iCs/>
                <w:sz w:val="20"/>
                <w:szCs w:val="20"/>
              </w:rPr>
              <w:t xml:space="preserve"> Median(Q1,Q3)</w:t>
            </w:r>
          </w:p>
          <w:p w:rsidR="00775A28" w:rsidRPr="00B9171B" w:rsidRDefault="00775A28" w:rsidP="00845C38">
            <w:pPr>
              <w:pStyle w:val="Body12"/>
              <w:spacing w:after="0" w:line="240" w:lineRule="auto"/>
              <w:ind w:left="274"/>
              <w:jc w:val="left"/>
              <w:rPr>
                <w:sz w:val="20"/>
                <w:szCs w:val="20"/>
                <w:highlight w:val="yellow"/>
              </w:rPr>
            </w:pPr>
            <w:r w:rsidRPr="00B9171B">
              <w:rPr>
                <w:sz w:val="20"/>
                <w:szCs w:val="20"/>
              </w:rPr>
              <w:t>Month 1</w:t>
            </w:r>
          </w:p>
          <w:p w:rsidR="00775A28" w:rsidRPr="00B9171B" w:rsidRDefault="00775A28" w:rsidP="00845C38">
            <w:pPr>
              <w:pStyle w:val="Body12"/>
              <w:spacing w:after="0" w:line="240" w:lineRule="auto"/>
              <w:ind w:left="274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Month 3</w:t>
            </w:r>
          </w:p>
        </w:tc>
        <w:tc>
          <w:tcPr>
            <w:tcW w:w="26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40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8.0(4,30) vs. 7.0(2,28)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jc w:val="left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14.0(7,30) vs. 7.0(2,30)</w:t>
            </w:r>
          </w:p>
        </w:tc>
        <w:tc>
          <w:tcPr>
            <w:tcW w:w="15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0.499</w:t>
            </w:r>
          </w:p>
          <w:p w:rsidR="00775A28" w:rsidRPr="00B9171B" w:rsidRDefault="00775A28" w:rsidP="00845C38">
            <w:pPr>
              <w:pStyle w:val="Body12"/>
              <w:spacing w:after="0" w:line="276" w:lineRule="auto"/>
              <w:rPr>
                <w:sz w:val="20"/>
                <w:szCs w:val="20"/>
              </w:rPr>
            </w:pPr>
            <w:r w:rsidRPr="00B9171B">
              <w:rPr>
                <w:sz w:val="20"/>
                <w:szCs w:val="20"/>
              </w:rPr>
              <w:t>0.060</w:t>
            </w:r>
          </w:p>
        </w:tc>
      </w:tr>
    </w:tbl>
    <w:p w:rsidR="00775A28" w:rsidRPr="00B9171B" w:rsidRDefault="00775A28" w:rsidP="00775A28">
      <w:pPr>
        <w:tabs>
          <w:tab w:val="left" w:pos="1620"/>
        </w:tabs>
        <w:spacing w:after="40"/>
        <w:rPr>
          <w:rFonts w:cstheme="minorHAnsi"/>
          <w:sz w:val="20"/>
          <w:szCs w:val="20"/>
          <w:lang w:val="en-GB"/>
        </w:rPr>
      </w:pPr>
      <w:r w:rsidRPr="00B9171B">
        <w:rPr>
          <w:rFonts w:cstheme="minorHAnsi"/>
          <w:sz w:val="20"/>
          <w:szCs w:val="20"/>
          <w:lang w:val="en-GB"/>
        </w:rPr>
        <w:br w:type="textWrapping" w:clear="all"/>
        <w:t xml:space="preserve">CGIC, Clinical global impression of change; EP, endpoint; NRS, numerical rating scale; PCP, primary care practitioner; PGIC, Patient global impression of change; P, primary; S, secondary </w:t>
      </w:r>
    </w:p>
    <w:p w:rsidR="00775A28" w:rsidRPr="00B9171B" w:rsidRDefault="00775A28" w:rsidP="00775A28">
      <w:pPr>
        <w:pStyle w:val="CommentText"/>
        <w:spacing w:after="40"/>
        <w:rPr>
          <w:rFonts w:cstheme="minorHAnsi"/>
          <w:lang w:val="en-GB"/>
        </w:rPr>
      </w:pPr>
      <w:r w:rsidRPr="00B9171B">
        <w:rPr>
          <w:rFonts w:cstheme="minorHAnsi"/>
          <w:lang w:val="en-GB"/>
        </w:rPr>
        <w:t>* A patient experiencing a fatigue reduction ≥1 point 3 or 6 months after the first visit, if at least at one visit was made (either at V4 or V5), was reported.</w:t>
      </w:r>
    </w:p>
    <w:p w:rsidR="00775A28" w:rsidRPr="00B9171B" w:rsidRDefault="00775A28" w:rsidP="00775A28">
      <w:pPr>
        <w:pStyle w:val="CommentText"/>
        <w:spacing w:after="40"/>
        <w:rPr>
          <w:rFonts w:cstheme="minorHAnsi"/>
          <w:lang w:val="en-GB"/>
        </w:rPr>
      </w:pPr>
      <w:r w:rsidRPr="00B9171B">
        <w:rPr>
          <w:rFonts w:cstheme="minorHAnsi"/>
          <w:lang w:val="en-GB"/>
        </w:rPr>
        <w:t>** The PCP expressed confidence in established diagnosis on a scale from 0 to 4: 0="valid"; 1="probably"; 2="possible"; 3="maybe"</w:t>
      </w:r>
    </w:p>
    <w:p w:rsidR="00775A28" w:rsidRPr="00B9171B" w:rsidRDefault="00775A28" w:rsidP="00775A28">
      <w:pPr>
        <w:pStyle w:val="CommentText"/>
        <w:spacing w:after="40"/>
        <w:rPr>
          <w:rFonts w:cstheme="minorHAnsi"/>
          <w:lang w:val="en-GB"/>
        </w:rPr>
      </w:pPr>
      <w:r w:rsidRPr="00B9171B">
        <w:rPr>
          <w:rFonts w:cstheme="minorHAnsi"/>
          <w:lang w:val="en-GB"/>
        </w:rPr>
        <w:t>*** Patient satisfaction was measured on a scale from 0 to 4: 0='Very unsatisfied'; 1='Unsatisfied'; 2='Neutral'; 3='Satisfied'; 4='Very satisfied'.</w:t>
      </w:r>
    </w:p>
    <w:p w:rsidR="00775A28" w:rsidRPr="00B9171B" w:rsidRDefault="00775A28" w:rsidP="00775A28">
      <w:pPr>
        <w:pStyle w:val="CommentText"/>
        <w:spacing w:after="40"/>
        <w:rPr>
          <w:rFonts w:cstheme="minorHAnsi"/>
          <w:lang w:val="en-GB"/>
        </w:rPr>
      </w:pPr>
      <w:r w:rsidRPr="00B9171B">
        <w:rPr>
          <w:rFonts w:cstheme="minorHAnsi"/>
          <w:lang w:val="en-GB"/>
        </w:rPr>
        <w:t>**** Physician-reported number of days at 1 and 3 months.</w:t>
      </w:r>
    </w:p>
    <w:p w:rsidR="00775A28" w:rsidRDefault="00775A28">
      <w:pPr>
        <w:rPr>
          <w:lang w:val="en-GB"/>
        </w:rPr>
      </w:pPr>
    </w:p>
    <w:p w:rsidR="00F54C3C" w:rsidRPr="00475800" w:rsidRDefault="00F54C3C">
      <w:pPr>
        <w:rPr>
          <w:lang w:val="en-GB"/>
        </w:rPr>
      </w:pPr>
    </w:p>
    <w:p w:rsidR="00475800" w:rsidRDefault="00475800">
      <w:pPr>
        <w:rPr>
          <w:lang w:val="en-GB"/>
        </w:rPr>
      </w:pPr>
      <w:r w:rsidRPr="00775A28">
        <w:rPr>
          <w:rFonts w:eastAsia="SimSun" w:cstheme="minorHAnsi"/>
          <w:color w:val="0000FF"/>
          <w:kern w:val="0"/>
          <w:sz w:val="22"/>
          <w:szCs w:val="22"/>
          <w:lang w:val="en-GB" w:eastAsia="zh-CN"/>
          <w14:ligatures w14:val="none"/>
        </w:rPr>
        <w:t>Supplementary Figure 1.</w:t>
      </w:r>
      <w:r>
        <w:rPr>
          <w:lang w:val="en-GB"/>
        </w:rPr>
        <w:t xml:space="preserve"> Patient treatment patterns at 1 and 3 months.</w:t>
      </w:r>
    </w:p>
    <w:p w:rsidR="00475800" w:rsidRDefault="00475800">
      <w:pPr>
        <w:rPr>
          <w:lang w:val="en-GB"/>
        </w:rPr>
      </w:pPr>
    </w:p>
    <w:p w:rsidR="00475800" w:rsidRDefault="00475800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4054053" cy="1832992"/>
            <wp:effectExtent l="0" t="0" r="0" b="0"/>
            <wp:docPr id="420468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68827" name="Picture 4204688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919" cy="18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A54" w:rsidRDefault="00BC3A54" w:rsidP="00475800">
      <w:pPr>
        <w:tabs>
          <w:tab w:val="left" w:pos="1620"/>
        </w:tabs>
        <w:spacing w:line="480" w:lineRule="auto"/>
        <w:rPr>
          <w:sz w:val="20"/>
          <w:szCs w:val="20"/>
          <w:lang w:val="en-GB"/>
        </w:rPr>
      </w:pPr>
    </w:p>
    <w:p w:rsidR="00BC3A54" w:rsidRPr="00A87FE0" w:rsidRDefault="00BC3A54" w:rsidP="00BC3A54">
      <w:pPr>
        <w:tabs>
          <w:tab w:val="left" w:pos="1620"/>
        </w:tabs>
        <w:spacing w:line="480" w:lineRule="auto"/>
        <w:rPr>
          <w:b/>
          <w:bCs/>
          <w:lang w:val="en-GB"/>
        </w:rPr>
      </w:pPr>
      <w:r>
        <w:rPr>
          <w:sz w:val="20"/>
          <w:szCs w:val="20"/>
          <w:lang w:val="en-GB"/>
        </w:rPr>
        <w:t>Patient treatments</w:t>
      </w:r>
      <w:r w:rsidRPr="00257F42">
        <w:rPr>
          <w:sz w:val="20"/>
          <w:szCs w:val="20"/>
          <w:lang w:val="en-GB"/>
        </w:rPr>
        <w:t xml:space="preserve"> at 1 and 3 months. </w:t>
      </w:r>
      <w:r>
        <w:rPr>
          <w:sz w:val="20"/>
          <w:szCs w:val="20"/>
          <w:lang w:val="en-GB"/>
        </w:rPr>
        <w:t>Light grey bars: FDDA. Dark grey bars: usual care.</w:t>
      </w:r>
      <w:r w:rsidRPr="00257F42">
        <w:rPr>
          <w:sz w:val="20"/>
          <w:szCs w:val="20"/>
          <w:lang w:val="en-GB"/>
        </w:rPr>
        <w:t xml:space="preserve"> </w:t>
      </w:r>
    </w:p>
    <w:p w:rsidR="00BC3A54" w:rsidRDefault="00BC3A54" w:rsidP="00475800">
      <w:pPr>
        <w:tabs>
          <w:tab w:val="left" w:pos="1620"/>
        </w:tabs>
        <w:spacing w:line="480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Use of the Fatigue Differential Diagnostic Aid resulted in </w:t>
      </w:r>
      <w:r w:rsidR="00F54C3C">
        <w:rPr>
          <w:sz w:val="20"/>
          <w:szCs w:val="20"/>
          <w:lang w:val="en-GB"/>
        </w:rPr>
        <w:t xml:space="preserve">less </w:t>
      </w:r>
      <w:r>
        <w:rPr>
          <w:sz w:val="20"/>
          <w:szCs w:val="20"/>
          <w:lang w:val="en-GB"/>
        </w:rPr>
        <w:t>patients receiving no treatment or iron treatment</w:t>
      </w:r>
      <w:r w:rsidR="00F54C3C">
        <w:rPr>
          <w:sz w:val="20"/>
          <w:szCs w:val="20"/>
          <w:lang w:val="en-GB"/>
        </w:rPr>
        <w:t xml:space="preserve"> at 1 and 3 months</w:t>
      </w:r>
      <w:r>
        <w:rPr>
          <w:sz w:val="20"/>
          <w:szCs w:val="20"/>
          <w:lang w:val="en-GB"/>
        </w:rPr>
        <w:t xml:space="preserve">, but </w:t>
      </w:r>
      <w:r w:rsidR="00F54C3C">
        <w:rPr>
          <w:sz w:val="20"/>
          <w:szCs w:val="20"/>
          <w:lang w:val="en-GB"/>
        </w:rPr>
        <w:t xml:space="preserve">receiving </w:t>
      </w:r>
      <w:r>
        <w:rPr>
          <w:sz w:val="20"/>
          <w:szCs w:val="20"/>
          <w:lang w:val="en-GB"/>
        </w:rPr>
        <w:t xml:space="preserve">more other, </w:t>
      </w:r>
      <w:r w:rsidRPr="00BC3A54">
        <w:rPr>
          <w:sz w:val="20"/>
          <w:szCs w:val="20"/>
          <w:lang w:val="en-GB"/>
        </w:rPr>
        <w:t>non-iron replacement treatments, such as vitamins + micronutrients, natural medicine, lipid lowering, sleep, thyroid gland, depression, asthma, antibiotics.</w:t>
      </w:r>
      <w:r>
        <w:rPr>
          <w:sz w:val="20"/>
          <w:szCs w:val="20"/>
          <w:lang w:val="en-GB"/>
        </w:rPr>
        <w:t xml:space="preserve"> </w:t>
      </w:r>
    </w:p>
    <w:p w:rsidR="00475800" w:rsidRDefault="00475800">
      <w:pPr>
        <w:rPr>
          <w:lang w:val="en-GB"/>
        </w:rPr>
      </w:pPr>
    </w:p>
    <w:p w:rsidR="00475800" w:rsidRDefault="00475800">
      <w:pPr>
        <w:rPr>
          <w:lang w:val="en-GB"/>
        </w:rPr>
      </w:pPr>
    </w:p>
    <w:p w:rsidR="00475800" w:rsidRDefault="00475800">
      <w:pPr>
        <w:rPr>
          <w:rFonts w:cstheme="minorHAnsi"/>
          <w:lang w:val="en-GB"/>
        </w:rPr>
      </w:pPr>
      <w:r w:rsidRPr="00775A28">
        <w:rPr>
          <w:rFonts w:eastAsia="SimSun" w:cstheme="minorHAnsi"/>
          <w:color w:val="0000FF"/>
          <w:kern w:val="0"/>
          <w:sz w:val="22"/>
          <w:szCs w:val="22"/>
          <w:lang w:val="en-GB" w:eastAsia="zh-CN"/>
          <w14:ligatures w14:val="none"/>
        </w:rPr>
        <w:t>Supplementary Figure 2.</w:t>
      </w:r>
      <w:r>
        <w:rPr>
          <w:lang w:val="en-GB"/>
        </w:rPr>
        <w:t xml:space="preserve"> </w:t>
      </w:r>
      <w:r w:rsidR="00F953EF" w:rsidRPr="00B9171B">
        <w:rPr>
          <w:rFonts w:cstheme="minorHAnsi"/>
          <w:lang w:val="en-GB"/>
        </w:rPr>
        <w:t xml:space="preserve">Classification of treatments </w:t>
      </w:r>
      <w:r w:rsidR="00F54C3C">
        <w:rPr>
          <w:rFonts w:cstheme="minorHAnsi"/>
          <w:lang w:val="en-GB"/>
        </w:rPr>
        <w:t xml:space="preserve">delivered </w:t>
      </w:r>
      <w:r w:rsidR="00F953EF" w:rsidRPr="00B9171B">
        <w:rPr>
          <w:rFonts w:cstheme="minorHAnsi"/>
          <w:lang w:val="en-GB"/>
        </w:rPr>
        <w:t>against fatigue at 1 month.</w:t>
      </w:r>
    </w:p>
    <w:p w:rsidR="00F54C3C" w:rsidRDefault="00F54C3C">
      <w:pPr>
        <w:rPr>
          <w:lang w:val="en-GB"/>
        </w:rPr>
      </w:pPr>
    </w:p>
    <w:p w:rsidR="00475800" w:rsidRDefault="00475800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3721544" cy="1790679"/>
            <wp:effectExtent l="0" t="0" r="0" b="635"/>
            <wp:docPr id="19293803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80358" name="Picture 19293803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477" cy="18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D20" w:rsidRDefault="006A3D20" w:rsidP="00F54C3C">
      <w:pPr>
        <w:pStyle w:val="CommentText"/>
        <w:spacing w:line="480" w:lineRule="auto"/>
        <w:rPr>
          <w:rFonts w:cstheme="minorHAnsi"/>
          <w:lang w:val="en-GB"/>
        </w:rPr>
      </w:pPr>
      <w:r>
        <w:rPr>
          <w:rFonts w:eastAsiaTheme="minorHAnsi" w:cstheme="minorHAnsi"/>
          <w:color w:val="000000" w:themeColor="text1"/>
          <w:lang w:val="en-GB" w:eastAsia="en-US"/>
        </w:rPr>
        <w:t>D</w:t>
      </w:r>
      <w:r w:rsidRPr="00F953EF">
        <w:rPr>
          <w:rFonts w:eastAsiaTheme="minorHAnsi" w:cstheme="minorHAnsi"/>
          <w:color w:val="000000" w:themeColor="text1"/>
          <w:lang w:val="en-GB" w:eastAsia="en-US"/>
        </w:rPr>
        <w:t>ot</w:t>
      </w:r>
      <w:r>
        <w:rPr>
          <w:rFonts w:eastAsiaTheme="minorHAnsi" w:cstheme="minorHAnsi"/>
          <w:color w:val="000000" w:themeColor="text1"/>
          <w:lang w:val="en-GB" w:eastAsia="en-US"/>
        </w:rPr>
        <w:t>ted shading</w:t>
      </w:r>
      <w:r w:rsidRPr="00F953EF">
        <w:rPr>
          <w:rFonts w:eastAsiaTheme="minorHAnsi" w:cstheme="minorHAnsi"/>
          <w:color w:val="000000" w:themeColor="text1"/>
          <w:lang w:val="en-GB" w:eastAsia="en-US"/>
        </w:rPr>
        <w:t>:</w:t>
      </w:r>
      <w:r w:rsidRPr="005524D1">
        <w:rPr>
          <w:rFonts w:cstheme="minorHAnsi"/>
          <w:lang w:val="en-GB"/>
        </w:rPr>
        <w:t xml:space="preserve"> no treatment</w:t>
      </w:r>
      <w:r>
        <w:rPr>
          <w:rFonts w:cstheme="minorHAnsi"/>
          <w:lang w:val="en-GB"/>
        </w:rPr>
        <w:t>.</w:t>
      </w:r>
      <w:r w:rsidRPr="005524D1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S</w:t>
      </w:r>
      <w:r w:rsidRPr="00F953EF">
        <w:rPr>
          <w:rFonts w:cstheme="minorHAnsi"/>
          <w:color w:val="000000" w:themeColor="text1"/>
          <w:lang w:val="en-GB"/>
        </w:rPr>
        <w:t>tripe</w:t>
      </w:r>
      <w:r>
        <w:rPr>
          <w:rFonts w:cstheme="minorHAnsi"/>
          <w:color w:val="000000" w:themeColor="text1"/>
          <w:lang w:val="en-GB"/>
        </w:rPr>
        <w:t>d shading</w:t>
      </w:r>
      <w:r w:rsidRPr="005524D1">
        <w:rPr>
          <w:rFonts w:cstheme="minorHAnsi"/>
          <w:lang w:val="en-GB"/>
        </w:rPr>
        <w:t>: iron replacement therapy</w:t>
      </w:r>
      <w:r>
        <w:rPr>
          <w:rFonts w:cstheme="minorHAnsi"/>
          <w:lang w:val="en-GB"/>
        </w:rPr>
        <w:t xml:space="preserve">. </w:t>
      </w:r>
      <w:r>
        <w:rPr>
          <w:rFonts w:cstheme="minorHAnsi"/>
          <w:color w:val="000000" w:themeColor="text1"/>
          <w:lang w:val="en-GB"/>
        </w:rPr>
        <w:t>B</w:t>
      </w:r>
      <w:r w:rsidRPr="00F953EF">
        <w:rPr>
          <w:rFonts w:cstheme="minorHAnsi"/>
          <w:color w:val="000000" w:themeColor="text1"/>
          <w:lang w:val="en-GB"/>
        </w:rPr>
        <w:t>lock shaded grey areas</w:t>
      </w:r>
      <w:r w:rsidRPr="005524D1">
        <w:rPr>
          <w:rFonts w:cstheme="minorHAnsi"/>
          <w:lang w:val="en-GB"/>
        </w:rPr>
        <w:t>: non-iron replacement treatments</w:t>
      </w:r>
      <w:r>
        <w:rPr>
          <w:rFonts w:cstheme="minorHAnsi"/>
          <w:lang w:val="en-GB"/>
        </w:rPr>
        <w:t>,</w:t>
      </w:r>
      <w:r w:rsidRPr="006A3D20">
        <w:rPr>
          <w:rFonts w:cstheme="minorHAnsi"/>
          <w:lang w:val="en-GB"/>
        </w:rPr>
        <w:t xml:space="preserve"> such as vitamins + micronutrients, natural medicine, lipid lowering, sleep, thyroid gland, depression, asthma, antibiotics.</w:t>
      </w:r>
    </w:p>
    <w:p w:rsidR="00475800" w:rsidRPr="00F54C3C" w:rsidRDefault="006A3D20" w:rsidP="00F54C3C">
      <w:pPr>
        <w:pStyle w:val="CommentText"/>
        <w:spacing w:line="480" w:lineRule="auto"/>
        <w:rPr>
          <w:rFonts w:cstheme="minorHAnsi"/>
          <w:lang w:val="en-GB"/>
        </w:rPr>
      </w:pPr>
      <w:r w:rsidRPr="006A3D20">
        <w:rPr>
          <w:rFonts w:cstheme="minorHAnsi"/>
          <w:lang w:val="en-GB"/>
        </w:rPr>
        <w:t>Use of the Fatigue Differential Diagnostic Aid resulted in less patients receiving no treatment or iron treatment at 1</w:t>
      </w:r>
      <w:r w:rsidR="007B6D93">
        <w:rPr>
          <w:rFonts w:cstheme="minorHAnsi"/>
          <w:lang w:val="en-GB"/>
        </w:rPr>
        <w:t xml:space="preserve"> month</w:t>
      </w:r>
      <w:r w:rsidRPr="006A3D20">
        <w:rPr>
          <w:rFonts w:cstheme="minorHAnsi"/>
          <w:lang w:val="en-GB"/>
        </w:rPr>
        <w:t xml:space="preserve">, but </w:t>
      </w:r>
      <w:r w:rsidR="007B6D93">
        <w:rPr>
          <w:rFonts w:cstheme="minorHAnsi"/>
          <w:lang w:val="en-GB"/>
        </w:rPr>
        <w:t xml:space="preserve">in more patients </w:t>
      </w:r>
      <w:r w:rsidRPr="006A3D20">
        <w:rPr>
          <w:rFonts w:cstheme="minorHAnsi"/>
          <w:lang w:val="en-GB"/>
        </w:rPr>
        <w:t xml:space="preserve">receiving other, non-iron replacement treatments. </w:t>
      </w:r>
    </w:p>
    <w:p w:rsidR="00475800" w:rsidRDefault="00475800">
      <w:pPr>
        <w:rPr>
          <w:lang w:val="en-GB"/>
        </w:rPr>
      </w:pPr>
    </w:p>
    <w:p w:rsidR="00F54C3C" w:rsidRDefault="00F54C3C">
      <w:pPr>
        <w:rPr>
          <w:lang w:val="en-GB"/>
        </w:rPr>
      </w:pPr>
    </w:p>
    <w:p w:rsidR="00475800" w:rsidRDefault="00475800">
      <w:pPr>
        <w:rPr>
          <w:lang w:val="en-GB"/>
        </w:rPr>
      </w:pPr>
      <w:r w:rsidRPr="00775A28">
        <w:rPr>
          <w:rFonts w:eastAsia="SimSun" w:cstheme="minorHAnsi"/>
          <w:color w:val="0000FF"/>
          <w:kern w:val="0"/>
          <w:sz w:val="22"/>
          <w:szCs w:val="22"/>
          <w:lang w:val="en-GB" w:eastAsia="zh-CN"/>
          <w14:ligatures w14:val="none"/>
        </w:rPr>
        <w:t>Supplementary Figure 3.</w:t>
      </w:r>
      <w:r w:rsidR="00BC3A54" w:rsidRPr="00BC3A54">
        <w:rPr>
          <w:rFonts w:cstheme="minorHAnsi"/>
          <w:lang w:val="en-GB"/>
        </w:rPr>
        <w:t xml:space="preserve"> </w:t>
      </w:r>
      <w:r w:rsidR="00BC3A54" w:rsidRPr="00B9171B">
        <w:rPr>
          <w:rFonts w:cstheme="minorHAnsi"/>
          <w:lang w:val="en-GB"/>
        </w:rPr>
        <w:t xml:space="preserve">Classification of treatments </w:t>
      </w:r>
      <w:r w:rsidR="00F54C3C">
        <w:rPr>
          <w:rFonts w:cstheme="minorHAnsi"/>
          <w:lang w:val="en-GB"/>
        </w:rPr>
        <w:t xml:space="preserve">delivered </w:t>
      </w:r>
      <w:r w:rsidR="00BC3A54" w:rsidRPr="00B9171B">
        <w:rPr>
          <w:rFonts w:cstheme="minorHAnsi"/>
          <w:lang w:val="en-GB"/>
        </w:rPr>
        <w:t>against fatigue at 3 months.</w:t>
      </w:r>
    </w:p>
    <w:p w:rsidR="00F54C3C" w:rsidRDefault="00F54C3C">
      <w:pPr>
        <w:rPr>
          <w:lang w:val="en-GB"/>
        </w:rPr>
      </w:pPr>
    </w:p>
    <w:p w:rsidR="00475800" w:rsidRDefault="00475800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4220308" cy="2076956"/>
            <wp:effectExtent l="0" t="0" r="0" b="6350"/>
            <wp:docPr id="19170183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18345" name="Picture 19170183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180" cy="208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A54" w:rsidRDefault="00BC3A54">
      <w:pPr>
        <w:rPr>
          <w:lang w:val="en-GB"/>
        </w:rPr>
      </w:pPr>
    </w:p>
    <w:p w:rsidR="006A3D20" w:rsidRDefault="006A3D20" w:rsidP="006A3D20">
      <w:pPr>
        <w:pStyle w:val="CommentText"/>
        <w:spacing w:line="480" w:lineRule="auto"/>
        <w:rPr>
          <w:rFonts w:cstheme="minorHAnsi"/>
          <w:lang w:val="en-GB"/>
        </w:rPr>
      </w:pPr>
      <w:r>
        <w:rPr>
          <w:rFonts w:eastAsiaTheme="minorHAnsi" w:cstheme="minorHAnsi"/>
          <w:color w:val="000000" w:themeColor="text1"/>
          <w:lang w:val="en-GB" w:eastAsia="en-US"/>
        </w:rPr>
        <w:t>D</w:t>
      </w:r>
      <w:r w:rsidRPr="00F953EF">
        <w:rPr>
          <w:rFonts w:eastAsiaTheme="minorHAnsi" w:cstheme="minorHAnsi"/>
          <w:color w:val="000000" w:themeColor="text1"/>
          <w:lang w:val="en-GB" w:eastAsia="en-US"/>
        </w:rPr>
        <w:t>ot</w:t>
      </w:r>
      <w:r>
        <w:rPr>
          <w:rFonts w:eastAsiaTheme="minorHAnsi" w:cstheme="minorHAnsi"/>
          <w:color w:val="000000" w:themeColor="text1"/>
          <w:lang w:val="en-GB" w:eastAsia="en-US"/>
        </w:rPr>
        <w:t>ted shading</w:t>
      </w:r>
      <w:r w:rsidRPr="00F953EF">
        <w:rPr>
          <w:rFonts w:eastAsiaTheme="minorHAnsi" w:cstheme="minorHAnsi"/>
          <w:color w:val="000000" w:themeColor="text1"/>
          <w:lang w:val="en-GB" w:eastAsia="en-US"/>
        </w:rPr>
        <w:t>:</w:t>
      </w:r>
      <w:r w:rsidRPr="005524D1">
        <w:rPr>
          <w:rFonts w:cstheme="minorHAnsi"/>
          <w:lang w:val="en-GB"/>
        </w:rPr>
        <w:t xml:space="preserve"> no treatment</w:t>
      </w:r>
      <w:r>
        <w:rPr>
          <w:rFonts w:cstheme="minorHAnsi"/>
          <w:lang w:val="en-GB"/>
        </w:rPr>
        <w:t>.</w:t>
      </w:r>
      <w:r w:rsidRPr="005524D1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S</w:t>
      </w:r>
      <w:r w:rsidRPr="00F953EF">
        <w:rPr>
          <w:rFonts w:cstheme="minorHAnsi"/>
          <w:color w:val="000000" w:themeColor="text1"/>
          <w:lang w:val="en-GB"/>
        </w:rPr>
        <w:t>tripe</w:t>
      </w:r>
      <w:r>
        <w:rPr>
          <w:rFonts w:cstheme="minorHAnsi"/>
          <w:color w:val="000000" w:themeColor="text1"/>
          <w:lang w:val="en-GB"/>
        </w:rPr>
        <w:t>d shading</w:t>
      </w:r>
      <w:r w:rsidRPr="005524D1">
        <w:rPr>
          <w:rFonts w:cstheme="minorHAnsi"/>
          <w:lang w:val="en-GB"/>
        </w:rPr>
        <w:t>: iron replacement therapy</w:t>
      </w:r>
      <w:r>
        <w:rPr>
          <w:rFonts w:cstheme="minorHAnsi"/>
          <w:lang w:val="en-GB"/>
        </w:rPr>
        <w:t xml:space="preserve">. </w:t>
      </w:r>
      <w:r>
        <w:rPr>
          <w:rFonts w:cstheme="minorHAnsi"/>
          <w:color w:val="000000" w:themeColor="text1"/>
          <w:lang w:val="en-GB"/>
        </w:rPr>
        <w:t>B</w:t>
      </w:r>
      <w:r w:rsidRPr="00F953EF">
        <w:rPr>
          <w:rFonts w:cstheme="minorHAnsi"/>
          <w:color w:val="000000" w:themeColor="text1"/>
          <w:lang w:val="en-GB"/>
        </w:rPr>
        <w:t>lock shaded grey areas</w:t>
      </w:r>
      <w:r w:rsidRPr="005524D1">
        <w:rPr>
          <w:rFonts w:cstheme="minorHAnsi"/>
          <w:lang w:val="en-GB"/>
        </w:rPr>
        <w:t>: non-iron replacement treatments</w:t>
      </w:r>
      <w:r>
        <w:rPr>
          <w:rFonts w:cstheme="minorHAnsi"/>
          <w:lang w:val="en-GB"/>
        </w:rPr>
        <w:t xml:space="preserve">, </w:t>
      </w:r>
      <w:r w:rsidRPr="006A3D20">
        <w:rPr>
          <w:rFonts w:cstheme="minorHAnsi"/>
          <w:lang w:val="en-GB"/>
        </w:rPr>
        <w:t>such as vitamins + micronutrients, natural medicine, lipid lowering, sleep, thyroid gland, depression, asthma, antibiotics.</w:t>
      </w:r>
    </w:p>
    <w:p w:rsidR="00475800" w:rsidRPr="006A3D20" w:rsidRDefault="006A3D20" w:rsidP="006A3D20">
      <w:pPr>
        <w:pStyle w:val="CommentText"/>
        <w:spacing w:line="480" w:lineRule="auto"/>
        <w:rPr>
          <w:rFonts w:cstheme="minorHAnsi"/>
          <w:lang w:val="en-GB"/>
        </w:rPr>
      </w:pPr>
      <w:r w:rsidRPr="006A3D20">
        <w:rPr>
          <w:rFonts w:cstheme="minorHAnsi"/>
          <w:lang w:val="en-GB"/>
        </w:rPr>
        <w:t xml:space="preserve">Use of the Fatigue Differential Diagnostic Aid resulted in less patients receiving no treatment or iron treatment </w:t>
      </w:r>
      <w:r w:rsidR="007B6D93">
        <w:rPr>
          <w:rFonts w:cstheme="minorHAnsi"/>
          <w:lang w:val="en-GB"/>
        </w:rPr>
        <w:t>at</w:t>
      </w:r>
      <w:r w:rsidRPr="006A3D20">
        <w:rPr>
          <w:rFonts w:cstheme="minorHAnsi"/>
          <w:lang w:val="en-GB"/>
        </w:rPr>
        <w:t xml:space="preserve"> 3 months, but </w:t>
      </w:r>
      <w:r w:rsidR="007B6D93">
        <w:rPr>
          <w:rFonts w:cstheme="minorHAnsi"/>
          <w:lang w:val="en-GB"/>
        </w:rPr>
        <w:t xml:space="preserve">in more patients </w:t>
      </w:r>
      <w:r w:rsidRPr="006A3D20">
        <w:rPr>
          <w:rFonts w:cstheme="minorHAnsi"/>
          <w:lang w:val="en-GB"/>
        </w:rPr>
        <w:t>receiving other, non-iron replacement treatments</w:t>
      </w:r>
      <w:r>
        <w:rPr>
          <w:rFonts w:cstheme="minorHAnsi"/>
          <w:lang w:val="en-GB"/>
        </w:rPr>
        <w:t>.</w:t>
      </w:r>
      <w:r w:rsidRPr="006A3D20">
        <w:rPr>
          <w:rFonts w:cstheme="minorHAnsi"/>
          <w:lang w:val="en-GB"/>
        </w:rPr>
        <w:t xml:space="preserve"> </w:t>
      </w:r>
    </w:p>
    <w:sectPr w:rsidR="00475800" w:rsidRPr="006A3D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00"/>
    <w:rsid w:val="00222AAD"/>
    <w:rsid w:val="002D39DF"/>
    <w:rsid w:val="0036552E"/>
    <w:rsid w:val="00475800"/>
    <w:rsid w:val="004D23DB"/>
    <w:rsid w:val="00620234"/>
    <w:rsid w:val="006620A4"/>
    <w:rsid w:val="006A3D20"/>
    <w:rsid w:val="00775A28"/>
    <w:rsid w:val="007B6D93"/>
    <w:rsid w:val="008902D4"/>
    <w:rsid w:val="009211C1"/>
    <w:rsid w:val="00982691"/>
    <w:rsid w:val="009A7C0A"/>
    <w:rsid w:val="00BB5FC7"/>
    <w:rsid w:val="00BC3A54"/>
    <w:rsid w:val="00F133CE"/>
    <w:rsid w:val="00F54C3C"/>
    <w:rsid w:val="00F9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8154C"/>
  <w15:chartTrackingRefBased/>
  <w15:docId w15:val="{E5F1898C-7276-2942-99A3-971A205B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953EF"/>
    <w:pPr>
      <w:spacing w:after="200"/>
    </w:pPr>
    <w:rPr>
      <w:rFonts w:eastAsiaTheme="minorEastAsia"/>
      <w:kern w:val="0"/>
      <w:sz w:val="20"/>
      <w:szCs w:val="20"/>
      <w:lang w:val="en-US" w:eastAsia="de-D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53EF"/>
    <w:rPr>
      <w:rFonts w:eastAsiaTheme="minorEastAsia"/>
      <w:kern w:val="0"/>
      <w:sz w:val="20"/>
      <w:szCs w:val="20"/>
      <w:lang w:val="en-US" w:eastAsia="de-DE"/>
      <w14:ligatures w14:val="none"/>
    </w:rPr>
  </w:style>
  <w:style w:type="paragraph" w:customStyle="1" w:styleId="Body12">
    <w:name w:val="Body 12"/>
    <w:link w:val="Body12Char"/>
    <w:rsid w:val="00775A28"/>
    <w:pPr>
      <w:spacing w:after="240" w:line="264" w:lineRule="auto"/>
      <w:jc w:val="both"/>
    </w:pPr>
    <w:rPr>
      <w:rFonts w:eastAsia="SimSun" w:cstheme="minorHAnsi"/>
      <w:kern w:val="0"/>
      <w:lang w:val="en-GB" w:eastAsia="zh-CN"/>
      <w14:ligatures w14:val="none"/>
    </w:rPr>
  </w:style>
  <w:style w:type="character" w:customStyle="1" w:styleId="Body12Char">
    <w:name w:val="Body 12 Char"/>
    <w:basedOn w:val="DefaultParagraphFont"/>
    <w:link w:val="Body12"/>
    <w:rsid w:val="00775A28"/>
    <w:rPr>
      <w:rFonts w:eastAsia="SimSun" w:cstheme="minorHAnsi"/>
      <w:kern w:val="0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Aliki</dc:creator>
  <cp:keywords/>
  <dc:description/>
  <cp:lastModifiedBy>Aliki</cp:lastModifiedBy>
  <cp:revision>7</cp:revision>
  <dcterms:created xsi:type="dcterms:W3CDTF">2023-05-23T10:20:00Z</dcterms:created>
  <dcterms:modified xsi:type="dcterms:W3CDTF">2023-05-23T11:12:00Z</dcterms:modified>
</cp:coreProperties>
</file>