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131AAA" w14:textId="77777777" w:rsidR="002853D3" w:rsidRDefault="002853D3" w:rsidP="002853D3">
      <w:pPr>
        <w:spacing w:line="360" w:lineRule="auto"/>
        <w:contextualSpacing/>
      </w:pPr>
    </w:p>
    <w:p w14:paraId="44F2BAE2" w14:textId="77777777" w:rsidR="002853D3" w:rsidRDefault="002853D3" w:rsidP="002853D3">
      <w:pPr>
        <w:spacing w:line="360" w:lineRule="auto"/>
        <w:ind w:left="720"/>
        <w:contextualSpacing/>
      </w:pPr>
      <w:r>
        <w:rPr>
          <w:noProof/>
        </w:rPr>
        <w:drawing>
          <wp:inline distT="114300" distB="114300" distL="114300" distR="114300" wp14:anchorId="5036439A" wp14:editId="4CCC514C">
            <wp:extent cx="5998845" cy="4381500"/>
            <wp:effectExtent l="0" t="0" r="0" b="0"/>
            <wp:docPr id="19" name="image4.png" descr="Chart, scatter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 descr="Chart, scatter chart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8845" cy="438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F842C0" w14:textId="77777777" w:rsidR="002853D3" w:rsidRPr="006204B5" w:rsidRDefault="002853D3" w:rsidP="002853D3">
      <w:pPr>
        <w:spacing w:line="360" w:lineRule="auto"/>
        <w:ind w:left="720"/>
        <w:contextualSpacing/>
        <w:rPr>
          <w:bCs/>
          <w:sz w:val="24"/>
          <w:szCs w:val="24"/>
        </w:rPr>
      </w:pPr>
      <w:r w:rsidRPr="00601E0E">
        <w:rPr>
          <w:b/>
          <w:bCs/>
          <w:sz w:val="24"/>
          <w:szCs w:val="24"/>
        </w:rPr>
        <w:t>Figure S1.</w:t>
      </w:r>
      <w:r w:rsidRPr="006204B5">
        <w:rPr>
          <w:sz w:val="24"/>
          <w:szCs w:val="24"/>
        </w:rPr>
        <w:t xml:space="preserve"> Trends in annual maximum NDVI for 6 different ecotypes across the Zackenberg valley.</w:t>
      </w:r>
      <w:r w:rsidRPr="006204B5">
        <w:rPr>
          <w:b/>
          <w:sz w:val="24"/>
          <w:szCs w:val="24"/>
        </w:rPr>
        <w:t xml:space="preserve"> </w:t>
      </w:r>
      <w:r w:rsidRPr="006204B5">
        <w:rPr>
          <w:bCs/>
          <w:sz w:val="24"/>
          <w:szCs w:val="24"/>
        </w:rPr>
        <w:t>(</w:t>
      </w:r>
      <w:r w:rsidRPr="00601E0E">
        <w:rPr>
          <w:b/>
          <w:sz w:val="24"/>
          <w:szCs w:val="24"/>
        </w:rPr>
        <w:t>a</w:t>
      </w:r>
      <w:r w:rsidRPr="006204B5">
        <w:rPr>
          <w:bCs/>
          <w:sz w:val="24"/>
          <w:szCs w:val="24"/>
        </w:rPr>
        <w:t>) Cassiope (p=0.014, n=4908), (</w:t>
      </w:r>
      <w:r w:rsidRPr="00601E0E">
        <w:rPr>
          <w:b/>
          <w:sz w:val="24"/>
          <w:szCs w:val="24"/>
        </w:rPr>
        <w:t>b</w:t>
      </w:r>
      <w:r w:rsidRPr="006204B5">
        <w:rPr>
          <w:bCs/>
          <w:sz w:val="24"/>
          <w:szCs w:val="24"/>
        </w:rPr>
        <w:t>) Dryas (p=0.0585, n=6373), (</w:t>
      </w:r>
      <w:r w:rsidRPr="00601E0E">
        <w:rPr>
          <w:b/>
          <w:sz w:val="24"/>
          <w:szCs w:val="24"/>
        </w:rPr>
        <w:t>c</w:t>
      </w:r>
      <w:r w:rsidRPr="006204B5">
        <w:rPr>
          <w:bCs/>
          <w:sz w:val="24"/>
          <w:szCs w:val="24"/>
        </w:rPr>
        <w:t>) Eriphorum (p=0.0374, n=4493), (</w:t>
      </w:r>
      <w:r w:rsidRPr="00601E0E">
        <w:rPr>
          <w:b/>
          <w:sz w:val="24"/>
          <w:szCs w:val="24"/>
        </w:rPr>
        <w:t>d</w:t>
      </w:r>
      <w:r w:rsidRPr="006204B5">
        <w:rPr>
          <w:bCs/>
          <w:sz w:val="24"/>
          <w:szCs w:val="24"/>
        </w:rPr>
        <w:t>) Papaver (p=0.0549, n=2428), (</w:t>
      </w:r>
      <w:r w:rsidRPr="00601E0E">
        <w:rPr>
          <w:b/>
          <w:sz w:val="24"/>
          <w:szCs w:val="24"/>
        </w:rPr>
        <w:t>e</w:t>
      </w:r>
      <w:r w:rsidRPr="006204B5">
        <w:rPr>
          <w:bCs/>
          <w:sz w:val="24"/>
          <w:szCs w:val="24"/>
        </w:rPr>
        <w:t>) Salix (p=0.016, n=8325), (</w:t>
      </w:r>
      <w:r w:rsidRPr="00601E0E">
        <w:rPr>
          <w:b/>
          <w:sz w:val="24"/>
          <w:szCs w:val="24"/>
        </w:rPr>
        <w:t>f</w:t>
      </w:r>
      <w:r w:rsidRPr="006204B5">
        <w:rPr>
          <w:bCs/>
          <w:sz w:val="24"/>
          <w:szCs w:val="24"/>
        </w:rPr>
        <w:t>) Silene (p=0.0099, n=3804).</w:t>
      </w:r>
    </w:p>
    <w:p w14:paraId="052580A4" w14:textId="77777777" w:rsidR="002853D3" w:rsidRDefault="002853D3" w:rsidP="002853D3">
      <w:pPr>
        <w:spacing w:line="360" w:lineRule="auto"/>
        <w:ind w:left="720"/>
        <w:contextualSpacing/>
      </w:pPr>
      <w:r>
        <w:rPr>
          <w:b/>
          <w:noProof/>
        </w:rPr>
        <w:lastRenderedPageBreak/>
        <w:drawing>
          <wp:inline distT="0" distB="0" distL="0" distR="0" wp14:anchorId="5557AF18" wp14:editId="1FE5076F">
            <wp:extent cx="5998845" cy="4406900"/>
            <wp:effectExtent l="0" t="0" r="1905" b="0"/>
            <wp:docPr id="31403162" name="Picture 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03162" name="Picture 3" descr="Chart, scatter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8845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4D299" w14:textId="77777777" w:rsidR="002853D3" w:rsidRDefault="002853D3" w:rsidP="002853D3">
      <w:pPr>
        <w:spacing w:line="360" w:lineRule="auto"/>
        <w:ind w:left="720"/>
        <w:contextualSpacing/>
        <w:rPr>
          <w:bCs/>
          <w:sz w:val="24"/>
          <w:szCs w:val="24"/>
        </w:rPr>
      </w:pPr>
      <w:r w:rsidRPr="00601E0E">
        <w:rPr>
          <w:b/>
          <w:sz w:val="24"/>
          <w:szCs w:val="24"/>
        </w:rPr>
        <w:t>Figure S2.</w:t>
      </w:r>
      <w:r w:rsidRPr="00601E0E">
        <w:rPr>
          <w:bCs/>
          <w:sz w:val="24"/>
          <w:szCs w:val="24"/>
        </w:rPr>
        <w:t xml:space="preserve"> Decadal trends in soil water nitrate for 4 different ecotypes across the Zackenberg valley.</w:t>
      </w:r>
      <w:r w:rsidRPr="00601E0E">
        <w:rPr>
          <w:b/>
          <w:sz w:val="24"/>
          <w:szCs w:val="24"/>
        </w:rPr>
        <w:t xml:space="preserve"> </w:t>
      </w:r>
      <w:r w:rsidRPr="00601E0E">
        <w:rPr>
          <w:bCs/>
          <w:sz w:val="24"/>
          <w:szCs w:val="24"/>
        </w:rPr>
        <w:t>(</w:t>
      </w:r>
      <w:r w:rsidRPr="00601E0E">
        <w:rPr>
          <w:b/>
          <w:sz w:val="24"/>
          <w:szCs w:val="24"/>
        </w:rPr>
        <w:t>a</w:t>
      </w:r>
      <w:r w:rsidRPr="00601E0E">
        <w:rPr>
          <w:bCs/>
          <w:sz w:val="24"/>
          <w:szCs w:val="24"/>
        </w:rPr>
        <w:t>) Cassiope (p=0.2546, n=55), (</w:t>
      </w:r>
      <w:r w:rsidRPr="00601E0E">
        <w:rPr>
          <w:b/>
          <w:sz w:val="24"/>
          <w:szCs w:val="24"/>
        </w:rPr>
        <w:t>b</w:t>
      </w:r>
      <w:r w:rsidRPr="00601E0E">
        <w:rPr>
          <w:bCs/>
          <w:sz w:val="24"/>
          <w:szCs w:val="24"/>
        </w:rPr>
        <w:t>) Papaver (p=0.0127, n=36), (</w:t>
      </w:r>
      <w:r w:rsidRPr="00601E0E">
        <w:rPr>
          <w:b/>
          <w:sz w:val="24"/>
          <w:szCs w:val="24"/>
        </w:rPr>
        <w:t>c</w:t>
      </w:r>
      <w:r w:rsidRPr="00601E0E">
        <w:rPr>
          <w:bCs/>
          <w:sz w:val="24"/>
          <w:szCs w:val="24"/>
        </w:rPr>
        <w:t>) Eriphorum (p=0.5232, n=17), (</w:t>
      </w:r>
      <w:r w:rsidRPr="00601E0E">
        <w:rPr>
          <w:b/>
          <w:sz w:val="24"/>
          <w:szCs w:val="24"/>
        </w:rPr>
        <w:t>d</w:t>
      </w:r>
      <w:r w:rsidRPr="00601E0E">
        <w:rPr>
          <w:bCs/>
          <w:sz w:val="24"/>
          <w:szCs w:val="24"/>
        </w:rPr>
        <w:t>) Salix (p=0.1913, n=27).</w:t>
      </w:r>
    </w:p>
    <w:p w14:paraId="3BCFE1D8" w14:textId="77777777" w:rsidR="002853D3" w:rsidRDefault="002853D3" w:rsidP="002853D3">
      <w:pPr>
        <w:spacing w:line="360" w:lineRule="auto"/>
        <w:ind w:left="720"/>
        <w:contextualSpacing/>
        <w:rPr>
          <w:color w:val="000000"/>
          <w:sz w:val="24"/>
          <w:szCs w:val="24"/>
        </w:rPr>
      </w:pPr>
    </w:p>
    <w:p w14:paraId="3117E008" w14:textId="77777777" w:rsidR="002853D3" w:rsidRDefault="002853D3" w:rsidP="002853D3">
      <w:pPr>
        <w:spacing w:line="360" w:lineRule="auto"/>
        <w:contextualSpacing/>
        <w:rPr>
          <w:b/>
          <w:sz w:val="24"/>
          <w:szCs w:val="24"/>
        </w:rPr>
      </w:pPr>
    </w:p>
    <w:p w14:paraId="7BFA4E19" w14:textId="77777777" w:rsidR="002853D3" w:rsidRDefault="002853D3" w:rsidP="002853D3">
      <w:pPr>
        <w:spacing w:line="360" w:lineRule="auto"/>
        <w:contextualSpacing/>
        <w:rPr>
          <w:b/>
          <w:sz w:val="24"/>
          <w:szCs w:val="24"/>
        </w:rPr>
      </w:pPr>
    </w:p>
    <w:p w14:paraId="4C9301F4" w14:textId="77777777" w:rsidR="002853D3" w:rsidRDefault="002853D3" w:rsidP="002853D3">
      <w:pPr>
        <w:spacing w:line="360" w:lineRule="auto"/>
        <w:contextualSpacing/>
        <w:rPr>
          <w:b/>
          <w:sz w:val="24"/>
          <w:szCs w:val="24"/>
        </w:rPr>
      </w:pPr>
    </w:p>
    <w:p w14:paraId="3EBEC4A2" w14:textId="77777777" w:rsidR="002853D3" w:rsidRDefault="002853D3" w:rsidP="002853D3">
      <w:pPr>
        <w:spacing w:line="360" w:lineRule="auto"/>
        <w:contextualSpacing/>
        <w:rPr>
          <w:b/>
          <w:sz w:val="24"/>
          <w:szCs w:val="24"/>
        </w:rPr>
      </w:pPr>
      <w:r>
        <w:rPr>
          <w:b/>
          <w:noProof/>
        </w:rPr>
        <w:lastRenderedPageBreak/>
        <w:drawing>
          <wp:inline distT="0" distB="0" distL="0" distR="0" wp14:anchorId="305AED64" wp14:editId="2B51D46B">
            <wp:extent cx="4246651" cy="2667000"/>
            <wp:effectExtent l="0" t="0" r="1905" b="0"/>
            <wp:docPr id="10" name="Picture 10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scatter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8301" cy="2686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A5045" w14:textId="77777777" w:rsidR="002853D3" w:rsidRDefault="002853D3" w:rsidP="002853D3">
      <w:pPr>
        <w:spacing w:line="360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Fig</w:t>
      </w:r>
      <w:r w:rsidRPr="003659F5">
        <w:rPr>
          <w:b/>
          <w:sz w:val="24"/>
          <w:szCs w:val="24"/>
        </w:rPr>
        <w:t>ure S3.</w:t>
      </w:r>
      <w:r w:rsidRPr="003659F5">
        <w:rPr>
          <w:bCs/>
          <w:sz w:val="24"/>
          <w:szCs w:val="24"/>
        </w:rPr>
        <w:t xml:space="preserve"> Annual nitrate load into the Young Sound fjord. </w:t>
      </w:r>
      <w:r w:rsidRPr="003659F5">
        <w:rPr>
          <w:sz w:val="24"/>
          <w:szCs w:val="24"/>
          <w:highlight w:val="white"/>
        </w:rPr>
        <w:t xml:space="preserve">The total mean annual nitrate river fluxes </w:t>
      </w:r>
      <w:r w:rsidRPr="003659F5">
        <w:rPr>
          <w:sz w:val="24"/>
          <w:szCs w:val="24"/>
        </w:rPr>
        <w:t xml:space="preserve">mixed into a fjord the size of Young Sound (0–50m) over 1999–2020 </w:t>
      </w:r>
      <w:r w:rsidRPr="003659F5">
        <w:rPr>
          <w:color w:val="252525"/>
          <w:sz w:val="24"/>
          <w:szCs w:val="24"/>
        </w:rPr>
        <w:t>(</w:t>
      </w:r>
      <w:r w:rsidRPr="003659F5">
        <w:rPr>
          <w:sz w:val="24"/>
          <w:szCs w:val="24"/>
        </w:rPr>
        <w:t>slope:-0.0135 µM per year, p=0.0001, n=21).</w:t>
      </w:r>
    </w:p>
    <w:p w14:paraId="7A872FC9" w14:textId="77777777" w:rsidR="00CA67E5" w:rsidRDefault="002853D3"/>
    <w:sectPr w:rsidR="00CA67E5" w:rsidSect="00B65474">
      <w:pgSz w:w="12240" w:h="15840"/>
      <w:pgMar w:top="992" w:right="1985" w:bottom="805" w:left="805" w:header="431" w:footer="261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3D3"/>
    <w:rsid w:val="002853D3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49511"/>
  <w15:chartTrackingRefBased/>
  <w15:docId w15:val="{50C52755-1B07-4289-A813-DE783AE68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3D3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109</Words>
  <Characters>624</Characters>
  <Application>Microsoft Office Word</Application>
  <DocSecurity>0</DocSecurity>
  <Lines>5</Lines>
  <Paragraphs>1</Paragraphs>
  <ScaleCrop>false</ScaleCrop>
  <Company>Springer Nature</Company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2023-06-20T05:09:00Z</dcterms:created>
  <dcterms:modified xsi:type="dcterms:W3CDTF">2023-06-20T05:09:00Z</dcterms:modified>
</cp:coreProperties>
</file>