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FB719" w14:textId="77777777" w:rsidR="00D960F0" w:rsidRDefault="00D960F0" w:rsidP="00D960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579B">
        <w:rPr>
          <w:rFonts w:ascii="Times New Roman" w:hAnsi="Times New Roman" w:cs="Times New Roman"/>
          <w:b/>
          <w:bCs/>
          <w:sz w:val="24"/>
          <w:szCs w:val="24"/>
        </w:rPr>
        <w:t>Figure S1.</w:t>
      </w:r>
      <w:r w:rsidRPr="00D2579B">
        <w:rPr>
          <w:rFonts w:ascii="Times New Roman" w:hAnsi="Times New Roman" w:cs="Times New Roman"/>
          <w:sz w:val="24"/>
          <w:szCs w:val="24"/>
        </w:rPr>
        <w:t xml:space="preserve"> (a) SNU216 and NCI-N87 cells showed the highest levels of HER-2 expression. (b) Trastuzumab resistance of NCI-N87R cells was revealed by cell viability assay, while SNU 216 cells were unable to produce resistant cells.</w:t>
      </w:r>
    </w:p>
    <w:p w14:paraId="002E3477" w14:textId="77777777" w:rsidR="00087F5A" w:rsidRPr="00D960F0" w:rsidRDefault="00087F5A"/>
    <w:sectPr w:rsidR="00087F5A" w:rsidRPr="00D960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0F0"/>
    <w:rsid w:val="00087F5A"/>
    <w:rsid w:val="00D9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D8FD5"/>
  <w15:chartTrackingRefBased/>
  <w15:docId w15:val="{B429C55E-B624-4764-B0BE-F4805A5B4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0F0"/>
    <w:pPr>
      <w:spacing w:after="0" w:line="48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윤아</dc:creator>
  <cp:keywords/>
  <dc:description/>
  <cp:lastModifiedBy>김 윤아</cp:lastModifiedBy>
  <cp:revision>1</cp:revision>
  <dcterms:created xsi:type="dcterms:W3CDTF">2023-05-24T07:23:00Z</dcterms:created>
  <dcterms:modified xsi:type="dcterms:W3CDTF">2023-05-24T07:23:00Z</dcterms:modified>
</cp:coreProperties>
</file>