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80" w:lineRule="auto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</w:rPr>
        <w:t xml:space="preserve">SUPPLEMENTARY MATERIAL </w:t>
      </w:r>
    </w:p>
    <w:p>
      <w:pPr>
        <w:spacing w:line="480" w:lineRule="auto"/>
        <w:rPr>
          <w:b/>
          <w:sz w:val="22"/>
          <w:szCs w:val="22"/>
          <w:lang w:eastAsia="zh-CN"/>
        </w:rPr>
      </w:pPr>
      <w:r>
        <w:rPr>
          <w:rFonts w:eastAsia="宋体"/>
          <w:b/>
          <w:sz w:val="22"/>
          <w:szCs w:val="22"/>
        </w:rPr>
        <w:t>Supplementary</w:t>
      </w:r>
      <w:r>
        <w:rPr>
          <w:rFonts w:eastAsia="宋体"/>
          <w:b/>
          <w:sz w:val="22"/>
          <w:szCs w:val="22"/>
          <w:lang w:eastAsia="zh-CN"/>
        </w:rPr>
        <w:t xml:space="preserve"> Methods</w:t>
      </w:r>
    </w:p>
    <w:p>
      <w:pPr>
        <w:spacing w:line="480" w:lineRule="auto"/>
        <w:rPr>
          <w:rFonts w:eastAsia="宋体"/>
          <w:b/>
          <w:sz w:val="22"/>
          <w:szCs w:val="22"/>
          <w:lang w:val="en-US" w:eastAsia="zh-CN"/>
        </w:rPr>
      </w:pPr>
      <w:r>
        <w:rPr>
          <w:rFonts w:hint="eastAsia" w:eastAsia="宋体"/>
          <w:b/>
          <w:sz w:val="22"/>
          <w:szCs w:val="22"/>
          <w:lang w:val="en-US" w:eastAsia="zh-CN"/>
        </w:rPr>
        <w:t xml:space="preserve">Molecular </w:t>
      </w:r>
      <w:r>
        <w:rPr>
          <w:b/>
          <w:sz w:val="22"/>
          <w:szCs w:val="22"/>
        </w:rPr>
        <w:t>score</w:t>
      </w:r>
      <w:r>
        <w:rPr>
          <w:rFonts w:hint="eastAsia" w:eastAsia="宋体"/>
          <w:b/>
          <w:sz w:val="22"/>
          <w:szCs w:val="22"/>
          <w:lang w:val="en-US" w:eastAsia="zh-CN"/>
        </w:rPr>
        <w:t>s</w:t>
      </w:r>
    </w:p>
    <w:p>
      <w:pPr>
        <w:spacing w:line="360" w:lineRule="auto"/>
        <w:ind w:firstLine="420"/>
        <w:jc w:val="both"/>
        <w:rPr>
          <w:bCs/>
          <w:sz w:val="22"/>
          <w:szCs w:val="22"/>
          <w:lang w:eastAsia="zh-CN"/>
        </w:rPr>
      </w:pPr>
      <w:r>
        <w:rPr>
          <w:bCs/>
          <w:sz w:val="22"/>
          <w:szCs w:val="22"/>
        </w:rPr>
        <w:t>The hypoxia score for a given sample was defined as the median expression of the 26 hypoxia genes</w:t>
      </w:r>
      <w:r>
        <w:rPr>
          <w:rFonts w:hint="eastAsia" w:eastAsiaTheme="minorEastAsia"/>
          <w:bCs/>
          <w:sz w:val="22"/>
          <w:szCs w:val="22"/>
          <w:lang w:eastAsia="zh-CN"/>
        </w:rPr>
        <w:t xml:space="preserve"> </w:t>
      </w:r>
      <w:r>
        <w:rPr>
          <w:bCs/>
          <w:sz w:val="22"/>
          <w:szCs w:val="22"/>
        </w:rPr>
        <w:fldChar w:fldCharType="begin">
          <w:fldData xml:space="preserve">PEVuZE5vdGU+PENpdGU+PEF1dGhvcj5FdXN0YWNlPC9BdXRob3I+PFllYXI+MjAxMzwvWWVhcj48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</w:fldData>
        </w:fldChar>
      </w:r>
      <w:r>
        <w:rPr>
          <w:bCs/>
          <w:sz w:val="22"/>
          <w:szCs w:val="22"/>
        </w:rPr>
        <w:instrText xml:space="preserve"> ADDIN EN.CITE </w:instrText>
      </w:r>
      <w:r>
        <w:rPr>
          <w:bCs/>
          <w:sz w:val="22"/>
          <w:szCs w:val="22"/>
        </w:rPr>
        <w:fldChar w:fldCharType="begin">
          <w:fldData xml:space="preserve">PEVuZE5vdGU+PENpdGU+PEF1dGhvcj5FdXN0YWNlPC9BdXRob3I+PFllYXI+MjAxMzwvWWVhcj48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</w:fldData>
        </w:fldChar>
      </w:r>
      <w:r>
        <w:rPr>
          <w:bCs/>
          <w:sz w:val="22"/>
          <w:szCs w:val="22"/>
        </w:rPr>
        <w:instrText xml:space="preserve"> ADDIN EN.CITE.DATA </w:instrTex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t>(</w:t>
      </w:r>
      <w:r>
        <w:fldChar w:fldCharType="begin"/>
      </w:r>
      <w:r>
        <w:instrText xml:space="preserve"> HYPERLINK \l "_ENREF_1" \o "Eustace, 2013 #43" </w:instrText>
      </w:r>
      <w:r>
        <w:fldChar w:fldCharType="separate"/>
      </w:r>
      <w:r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. The hypoxia score was then normalized between 0 and 1, where 0 represented the least hypoxic and 1 represented the most hypoxic.</w:t>
      </w:r>
    </w:p>
    <w:p>
      <w:pPr>
        <w:spacing w:line="360" w:lineRule="auto"/>
        <w:ind w:firstLine="420"/>
        <w:jc w:val="both"/>
        <w:rPr>
          <w:bCs/>
          <w:sz w:val="22"/>
          <w:szCs w:val="22"/>
          <w:lang w:eastAsia="zh-CN"/>
        </w:rPr>
      </w:pPr>
      <w:r>
        <w:rPr>
          <w:bCs/>
          <w:sz w:val="22"/>
          <w:szCs w:val="22"/>
        </w:rPr>
        <w:t>The proliferation score for a given sample was calculated by averaging the mRNA expression levels of 4</w:t>
      </w:r>
      <w:r>
        <w:rPr>
          <w:rFonts w:hint="eastAsia" w:eastAsiaTheme="minorEastAsia"/>
          <w:bCs/>
          <w:sz w:val="22"/>
          <w:szCs w:val="22"/>
          <w:lang w:eastAsia="zh-CN"/>
        </w:rPr>
        <w:t>5</w:t>
      </w:r>
      <w:r>
        <w:rPr>
          <w:bCs/>
          <w:sz w:val="22"/>
          <w:szCs w:val="22"/>
        </w:rPr>
        <w:t xml:space="preserve"> genes in the proliferation signature </w:t>
      </w:r>
      <w:r>
        <w:rPr>
          <w:bCs/>
          <w:sz w:val="22"/>
          <w:szCs w:val="22"/>
        </w:rPr>
        <w:fldChar w:fldCharType="begin"/>
      </w:r>
      <w:r>
        <w:rPr>
          <w:bCs/>
          <w:sz w:val="22"/>
          <w:szCs w:val="22"/>
        </w:rPr>
        <w:instrText xml:space="preserve"> ADDIN EN.CITE &lt;EndNote&gt;&lt;Cite&gt;&lt;Author&gt;Whitfield&lt;/Author&gt;&lt;Year&gt;2006&lt;/Year&gt;&lt;RecNum&gt;147&lt;/RecNum&gt;&lt;DisplayText&gt;(2)&lt;/DisplayText&gt;&lt;record&gt;&lt;rec-number&gt;147&lt;/rec-number&gt;&lt;foreign-keys&gt;&lt;key app="EN" db-id="apvz2rzpptrztxe2er65zf9rwrwv0r2pp529"&gt;147&lt;/key&gt;&lt;/foreign-keys&gt;&lt;ref-type name="Journal Article"&gt;17&lt;/ref-type&gt;&lt;contributors&gt;&lt;authors&gt;&lt;author&gt;Whitfield, M. L.&lt;/author&gt;&lt;author&gt;George, L. K.&lt;/author&gt;&lt;author&gt;Grant, G. D.&lt;/author&gt;&lt;author&gt;Perou, C. M.&lt;/author&gt;&lt;/authors&gt;&lt;/contributors&gt;&lt;auth-address&gt;Department of Genetics and Norris Cotton Cancer Center, Dartmouth Medical School, 7400 Remsen, Hanover, New Hampshire 03755, USA. whitfield@dartmouth.edu&lt;/auth-address&gt;&lt;titles&gt;&lt;title&gt;Common markers of proliferation&lt;/title&gt;&lt;secondary-title&gt;Nat Rev Cancer&lt;/secondary-title&gt;&lt;alt-title&gt;Nature Reviews. Cancer&lt;/alt-title&gt;&lt;/titles&gt;&lt;periodical&gt;&lt;full-title&gt;Nat Rev Cancer&lt;/full-title&gt;&lt;abbr-1&gt;Nature reviews. Cancer&lt;/abbr-1&gt;&lt;/periodical&gt;&lt;alt-periodical&gt;&lt;full-title&gt;Nat Rev Cancer&lt;/full-title&gt;&lt;abbr-1&gt;Nature reviews. Cancer&lt;/abbr-1&gt;&lt;/alt-periodical&gt;&lt;pages&gt;99-106&lt;/pages&gt;&lt;volume&gt;6&lt;/volume&gt;&lt;number&gt;2&lt;/number&gt;&lt;keywords&gt;&lt;keyword&gt;Biomarkers, Tumor/*analysis&lt;/keyword&gt;&lt;keyword&gt;Cell Cycle&lt;/keyword&gt;&lt;keyword&gt;*Cell Proliferation&lt;/keyword&gt;&lt;keyword&gt;*Gene Expression Profiling&lt;/keyword&gt;&lt;keyword&gt;Genetic Markers&lt;/keyword&gt;&lt;keyword&gt;Humans&lt;/keyword&gt;&lt;keyword&gt;Neoplasms/pathology&lt;/keyword&gt;&lt;keyword&gt;Prognosis&lt;/keyword&gt;&lt;keyword&gt;RNA, Messenger/analysis&lt;/keyword&gt;&lt;/keywords&gt;&lt;dates&gt;&lt;year&gt;2006&lt;/year&gt;&lt;pub-dates&gt;&lt;date&gt;Feb&lt;/date&gt;&lt;/pub-dates&gt;&lt;/dates&gt;&lt;isbn&gt;1474-175X (Print)&amp;#xD;1474-175X (Linking)&lt;/isbn&gt;&lt;accession-num&gt;16491069&lt;/accession-num&gt;&lt;urls&gt;&lt;related-urls&gt;&lt;url&gt;http://www.ncbi.nlm.nih.gov/pubmed/16491069&lt;/url&gt;&lt;/related-urls&gt;&lt;/urls&gt;&lt;electronic-resource-num&gt;10.1038/nrc1802&lt;/electronic-resource-num&gt;&lt;/record&gt;&lt;/Cite&gt;&lt;/EndNote&gt;</w:instrText>
      </w:r>
      <w:r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t>(</w:t>
      </w:r>
      <w:r>
        <w:fldChar w:fldCharType="begin"/>
      </w:r>
      <w:r>
        <w:instrText xml:space="preserve"> HYPERLINK \l "_ENREF_2" \o "Whitfield, 2006 #147" </w:instrText>
      </w:r>
      <w:r>
        <w:fldChar w:fldCharType="separate"/>
      </w:r>
      <w:r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. A high proliferation score represented high proliferative capacity.</w:t>
      </w:r>
    </w:p>
    <w:p>
      <w:pPr>
        <w:spacing w:line="360" w:lineRule="auto"/>
        <w:ind w:firstLine="420"/>
        <w:jc w:val="both"/>
        <w:rPr>
          <w:bCs/>
          <w:sz w:val="22"/>
          <w:szCs w:val="22"/>
        </w:rPr>
      </w:pPr>
      <w:r>
        <w:rPr>
          <w:rFonts w:hint="eastAsia" w:eastAsia="宋体"/>
          <w:bCs/>
          <w:sz w:val="22"/>
          <w:szCs w:val="22"/>
          <w:lang w:val="en-US" w:eastAsia="zh-CN"/>
        </w:rPr>
        <w:t xml:space="preserve">The </w:t>
      </w:r>
      <w:r>
        <w:rPr>
          <w:bCs/>
          <w:sz w:val="22"/>
          <w:szCs w:val="22"/>
        </w:rPr>
        <w:t>stemness score</w:t>
      </w:r>
      <w:r>
        <w:rPr>
          <w:rFonts w:hint="eastAsia" w:eastAsia="宋体"/>
          <w:bCs/>
          <w:sz w:val="22"/>
          <w:szCs w:val="22"/>
          <w:lang w:val="en-US" w:eastAsia="zh-CN"/>
        </w:rPr>
        <w:t xml:space="preserve"> </w:t>
      </w:r>
      <w:r>
        <w:rPr>
          <w:bCs/>
          <w:sz w:val="22"/>
          <w:szCs w:val="22"/>
        </w:rPr>
        <w:t>for a given sample was calculated</w:t>
      </w:r>
      <w:r>
        <w:rPr>
          <w:rFonts w:hint="eastAsia" w:eastAsia="宋体"/>
          <w:bCs/>
          <w:sz w:val="22"/>
          <w:szCs w:val="22"/>
          <w:lang w:val="en-US" w:eastAsia="zh-CN"/>
        </w:rPr>
        <w:t xml:space="preserve"> based on the mRNA of </w:t>
      </w:r>
      <w:r>
        <w:rPr>
          <w:bCs/>
          <w:sz w:val="22"/>
          <w:szCs w:val="22"/>
        </w:rPr>
        <w:t>109 stemness-related gene signatures</w:t>
      </w:r>
      <w:r>
        <w:rPr>
          <w:rFonts w:hint="eastAsia" w:eastAsia="宋体"/>
          <w:bCs/>
          <w:sz w:val="22"/>
          <w:szCs w:val="22"/>
          <w:lang w:val="en-US" w:eastAsia="zh-CN"/>
        </w:rPr>
        <w:t xml:space="preserve"> </w:t>
      </w:r>
      <w:r>
        <w:rPr>
          <w:bCs/>
          <w:sz w:val="22"/>
          <w:szCs w:val="22"/>
        </w:rPr>
        <w:t>by performing ssGSEA</w:t>
      </w:r>
      <w:r>
        <w:rPr>
          <w:rFonts w:hint="eastAsia" w:eastAsia="宋体"/>
          <w:bCs/>
          <w:sz w:val="22"/>
          <w:szCs w:val="22"/>
          <w:lang w:val="en-US" w:eastAsia="zh-CN"/>
        </w:rPr>
        <w:t xml:space="preserve"> </w:t>
      </w:r>
      <w:r>
        <w:rPr>
          <w:rFonts w:eastAsia="宋体"/>
          <w:bCs/>
          <w:sz w:val="22"/>
          <w:szCs w:val="22"/>
          <w:lang w:val="en-US" w:eastAsia="zh-CN"/>
        </w:rPr>
        <w:fldChar w:fldCharType="begin">
          <w:fldData xml:space="preserve">PEVuZE5vdGU+PENpdGU+PEF1dGhvcj5TdWJyYW1hbmlhbjwvQXV0aG9yPjxZZWFyPjIwMDU8L1ll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</w:fldData>
        </w:fldChar>
      </w:r>
      <w:r>
        <w:rPr>
          <w:rFonts w:eastAsia="宋体"/>
          <w:bCs/>
          <w:sz w:val="22"/>
          <w:szCs w:val="22"/>
          <w:lang w:val="en-US" w:eastAsia="zh-CN"/>
        </w:rPr>
        <w:instrText xml:space="preserve"> ADDIN EN.CITE </w:instrText>
      </w:r>
      <w:r>
        <w:rPr>
          <w:rFonts w:eastAsia="宋体"/>
          <w:bCs/>
          <w:sz w:val="22"/>
          <w:szCs w:val="22"/>
          <w:lang w:val="en-US" w:eastAsia="zh-CN"/>
        </w:rPr>
        <w:fldChar w:fldCharType="begin">
          <w:fldData xml:space="preserve">PEVuZE5vdGU+PENpdGU+PEF1dGhvcj5TdWJyYW1hbmlhbjwvQXV0aG9yPjxZZWFyPjIwMDU8L1ll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</w:fldData>
        </w:fldChar>
      </w:r>
      <w:r>
        <w:rPr>
          <w:rFonts w:eastAsia="宋体"/>
          <w:bCs/>
          <w:sz w:val="22"/>
          <w:szCs w:val="22"/>
          <w:lang w:val="en-US" w:eastAsia="zh-CN"/>
        </w:rPr>
        <w:instrText xml:space="preserve"> ADDIN EN.CITE.DATA </w:instrText>
      </w:r>
      <w:r>
        <w:rPr>
          <w:rFonts w:eastAsia="宋体"/>
          <w:bCs/>
          <w:sz w:val="22"/>
          <w:szCs w:val="22"/>
          <w:lang w:val="en-US" w:eastAsia="zh-CN"/>
        </w:rPr>
        <w:fldChar w:fldCharType="end"/>
      </w:r>
      <w:r>
        <w:rPr>
          <w:rFonts w:eastAsia="宋体"/>
          <w:bCs/>
          <w:sz w:val="22"/>
          <w:szCs w:val="22"/>
          <w:lang w:val="en-US" w:eastAsia="zh-CN"/>
        </w:rPr>
        <w:fldChar w:fldCharType="separate"/>
      </w:r>
      <w:r>
        <w:rPr>
          <w:rFonts w:eastAsia="宋体"/>
          <w:bCs/>
          <w:sz w:val="22"/>
          <w:szCs w:val="22"/>
          <w:lang w:val="en-US" w:eastAsia="zh-CN"/>
        </w:rPr>
        <w:t>(</w:t>
      </w:r>
      <w:r>
        <w:fldChar w:fldCharType="begin"/>
      </w:r>
      <w:r>
        <w:instrText xml:space="preserve"> HYPERLINK \l "_ENREF_3" \o "Subramanian, 2005 #127" </w:instrText>
      </w:r>
      <w:r>
        <w:fldChar w:fldCharType="separate"/>
      </w:r>
      <w:r>
        <w:rPr>
          <w:rFonts w:eastAsia="宋体"/>
          <w:bCs/>
          <w:sz w:val="22"/>
          <w:szCs w:val="22"/>
          <w:lang w:val="en-US" w:eastAsia="zh-CN"/>
        </w:rPr>
        <w:t>3</w:t>
      </w:r>
      <w:r>
        <w:rPr>
          <w:rFonts w:eastAsia="宋体"/>
          <w:bCs/>
          <w:sz w:val="22"/>
          <w:szCs w:val="22"/>
          <w:lang w:val="en-US" w:eastAsia="zh-CN"/>
        </w:rPr>
        <w:fldChar w:fldCharType="end"/>
      </w:r>
      <w:r>
        <w:rPr>
          <w:rFonts w:eastAsia="宋体"/>
          <w:bCs/>
          <w:sz w:val="22"/>
          <w:szCs w:val="22"/>
          <w:lang w:val="en-US" w:eastAsia="zh-CN"/>
        </w:rPr>
        <w:t>)</w:t>
      </w:r>
      <w:r>
        <w:rPr>
          <w:rFonts w:eastAsia="宋体"/>
          <w:bCs/>
          <w:sz w:val="22"/>
          <w:szCs w:val="22"/>
          <w:lang w:val="en-US" w:eastAsia="zh-CN"/>
        </w:rPr>
        <w:fldChar w:fldCharType="end"/>
      </w:r>
      <w:r>
        <w:rPr>
          <w:rFonts w:hint="eastAsia" w:eastAsia="宋体"/>
          <w:sz w:val="22"/>
          <w:szCs w:val="22"/>
          <w:lang w:val="en-US" w:eastAsia="zh-CN"/>
        </w:rPr>
        <w:t xml:space="preserve"> </w:t>
      </w:r>
      <w:r>
        <w:rPr>
          <w:bCs/>
          <w:sz w:val="22"/>
          <w:szCs w:val="22"/>
        </w:rPr>
        <w:t>using a “GSVA” package. A high score represented high stemness of the tumors.</w:t>
      </w:r>
    </w:p>
    <w:p>
      <w:pPr>
        <w:spacing w:line="360" w:lineRule="auto"/>
        <w:ind w:firstLine="420"/>
        <w:jc w:val="both"/>
        <w:rPr>
          <w:rFonts w:eastAsiaTheme="minorEastAsia"/>
          <w:b/>
          <w:bCs/>
          <w:sz w:val="22"/>
          <w:szCs w:val="22"/>
          <w:lang w:val="en-US" w:eastAsia="en-US"/>
        </w:rPr>
      </w:pPr>
      <w:r>
        <w:rPr>
          <w:bCs/>
          <w:sz w:val="22"/>
          <w:szCs w:val="22"/>
        </w:rPr>
        <w:t xml:space="preserve">ESTIMATE </w:t>
      </w:r>
      <w:r>
        <w:rPr>
          <w:bCs/>
          <w:sz w:val="22"/>
          <w:szCs w:val="22"/>
        </w:rPr>
        <w:fldChar w:fldCharType="begin">
          <w:fldData xml:space="preserve">PEVuZE5vdGU+PENpdGU+PEF1dGhvcj5Zb3NoaWhhcmE8L0F1dGhvcj48WWVhcj4yMDEzPC9ZZWFy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</w:fldData>
        </w:fldChar>
      </w:r>
      <w:r>
        <w:rPr>
          <w:bCs/>
          <w:sz w:val="22"/>
          <w:szCs w:val="22"/>
        </w:rPr>
        <w:instrText xml:space="preserve"> ADDIN EN.CITE </w:instrText>
      </w:r>
      <w:r>
        <w:rPr>
          <w:bCs/>
          <w:sz w:val="22"/>
          <w:szCs w:val="22"/>
        </w:rPr>
        <w:fldChar w:fldCharType="begin">
          <w:fldData xml:space="preserve">PEVuZE5vdGU+PENpdGU+PEF1dGhvcj5Zb3NoaWhhcmE8L0F1dGhvcj48WWVhcj4yMDEzPC9ZZWFy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</w:fldData>
        </w:fldChar>
      </w:r>
      <w:r>
        <w:rPr>
          <w:bCs/>
          <w:sz w:val="22"/>
          <w:szCs w:val="22"/>
        </w:rPr>
        <w:instrText xml:space="preserve"> ADDIN EN.CITE.DATA </w:instrTex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t>(</w:t>
      </w:r>
      <w:r>
        <w:fldChar w:fldCharType="begin"/>
      </w:r>
      <w:r>
        <w:instrText xml:space="preserve"> HYPERLINK \l "_ENREF_4" \o "Yoshihara, 2013 #159" </w:instrText>
      </w:r>
      <w:r>
        <w:fldChar w:fldCharType="separate"/>
      </w:r>
      <w:r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 xml:space="preserve"> was introduced to estimate the immune score for a given sample by performing ssGSEA </w:t>
      </w:r>
      <w:r>
        <w:rPr>
          <w:bCs/>
          <w:sz w:val="22"/>
          <w:szCs w:val="22"/>
        </w:rPr>
        <w:fldChar w:fldCharType="begin">
          <w:fldData xml:space="preserve">PEVuZE5vdGU+PENpdGU+PEF1dGhvcj5TdWJyYW1hbmlhbjwvQXV0aG9yPjxZZWFyPjIwMDU8L1ll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</w:fldData>
        </w:fldChar>
      </w:r>
      <w:r>
        <w:rPr>
          <w:bCs/>
          <w:sz w:val="22"/>
          <w:szCs w:val="22"/>
        </w:rPr>
        <w:instrText xml:space="preserve"> ADDIN EN.CITE </w:instrText>
      </w:r>
      <w:r>
        <w:rPr>
          <w:bCs/>
          <w:sz w:val="22"/>
          <w:szCs w:val="22"/>
        </w:rPr>
        <w:fldChar w:fldCharType="begin">
          <w:fldData xml:space="preserve">PEVuZE5vdGU+PENpdGU+PEF1dGhvcj5TdWJyYW1hbmlhbjwvQXV0aG9yPjxZZWFyPjIwMDU8L1ll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</w:fldData>
        </w:fldChar>
      </w:r>
      <w:r>
        <w:rPr>
          <w:bCs/>
          <w:sz w:val="22"/>
          <w:szCs w:val="22"/>
        </w:rPr>
        <w:instrText xml:space="preserve"> ADDIN EN.CITE.DATA </w:instrTex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t>(</w:t>
      </w:r>
      <w:r>
        <w:fldChar w:fldCharType="begin"/>
      </w:r>
      <w:r>
        <w:instrText xml:space="preserve"> HYPERLINK \l "_ENREF_3" \o "Subramanian, 2005 #127" </w:instrText>
      </w:r>
      <w:r>
        <w:fldChar w:fldCharType="separate"/>
      </w:r>
      <w:r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 xml:space="preserve">, based on its mRNA expression profiles using an “estimate” package. </w:t>
      </w:r>
      <w:r>
        <w:rPr>
          <w:b/>
          <w:bCs/>
          <w:sz w:val="22"/>
          <w:szCs w:val="22"/>
        </w:rPr>
        <w:br w:type="page"/>
      </w:r>
    </w:p>
    <w:p>
      <w:pPr>
        <w:pStyle w:val="62"/>
        <w:spacing w:line="360" w:lineRule="auto"/>
        <w:ind w:left="442" w:hanging="442" w:hangingChars="200"/>
        <w:jc w:val="both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</w:rPr>
        <w:t xml:space="preserve">Supplementary </w:t>
      </w:r>
      <w:r>
        <w:rPr>
          <w:b/>
          <w:bCs/>
          <w:sz w:val="22"/>
          <w:szCs w:val="22"/>
          <w:lang w:eastAsia="zh-CN"/>
        </w:rPr>
        <w:t>Table</w:t>
      </w:r>
      <w:r>
        <w:rPr>
          <w:b/>
          <w:bCs/>
          <w:sz w:val="22"/>
          <w:szCs w:val="22"/>
        </w:rPr>
        <w:t>s</w:t>
      </w:r>
    </w:p>
    <w:p>
      <w:pPr>
        <w:pStyle w:val="46"/>
        <w:spacing w:before="0"/>
        <w:ind w:firstLine="0"/>
        <w:jc w:val="both"/>
        <w:rPr>
          <w:b/>
          <w:sz w:val="22"/>
          <w:lang w:val="en-GB"/>
        </w:rPr>
      </w:pPr>
      <w:bookmarkStart w:id="0" w:name="_Hlk83909376"/>
      <w:r>
        <w:rPr>
          <w:rFonts w:eastAsia="宋体"/>
          <w:b/>
          <w:sz w:val="22"/>
          <w:lang w:val="en-GB"/>
        </w:rPr>
        <w:t>T</w:t>
      </w:r>
      <w:r>
        <w:rPr>
          <w:rFonts w:hint="eastAsia" w:eastAsia="宋体"/>
          <w:b/>
          <w:sz w:val="22"/>
          <w:lang w:val="en-GB" w:eastAsia="zh-CN"/>
        </w:rPr>
        <w:t>able</w:t>
      </w:r>
      <w:r>
        <w:rPr>
          <w:rFonts w:eastAsia="宋体"/>
          <w:b/>
          <w:sz w:val="22"/>
          <w:lang w:val="en-GB"/>
        </w:rPr>
        <w:t xml:space="preserve"> </w:t>
      </w:r>
      <w:r>
        <w:rPr>
          <w:rFonts w:hint="eastAsia" w:eastAsia="宋体"/>
          <w:b/>
          <w:sz w:val="22"/>
          <w:lang w:val="en-US" w:eastAsia="zh-CN"/>
        </w:rPr>
        <w:t>S</w:t>
      </w:r>
      <w:r>
        <w:rPr>
          <w:rFonts w:eastAsia="宋体"/>
          <w:b/>
          <w:sz w:val="22"/>
          <w:lang w:val="en-GB"/>
        </w:rPr>
        <w:t>1. Baseline clinical characteristics of patients in the analysed cohorts</w:t>
      </w:r>
    </w:p>
    <w:tbl>
      <w:tblPr>
        <w:tblStyle w:val="48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954"/>
        <w:gridCol w:w="1366"/>
        <w:gridCol w:w="971"/>
        <w:gridCol w:w="1494"/>
        <w:gridCol w:w="2179"/>
      </w:tblGrid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  <w:insideV w:val="nil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eastAsiaTheme="minorEastAsia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1211" w:type="pct"/>
            <w:gridSpan w:val="2"/>
            <w:tcBorders>
              <w:top w:val="single" w:color="000000" w:themeColor="text1" w:sz="12" w:space="0"/>
              <w:bottom w:val="single" w:color="auto" w:sz="12" w:space="0"/>
              <w:right w:val="nil"/>
              <w:insideV w:val="nil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Meta-discovery (</w:t>
            </w:r>
            <w:r>
              <w:rPr>
                <w:rStyle w:val="29"/>
                <w:rFonts w:ascii="Times New Roman" w:hAnsi="Times New Roman"/>
                <w:b w:val="0"/>
                <w:bCs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=665)</w:t>
            </w:r>
          </w:p>
        </w:tc>
        <w:tc>
          <w:tcPr>
            <w:tcW w:w="1287" w:type="pct"/>
            <w:gridSpan w:val="2"/>
            <w:tcBorders>
              <w:top w:val="single" w:color="000000" w:themeColor="text1" w:sz="12" w:space="0"/>
              <w:bottom w:val="single" w:color="auto" w:sz="12" w:space="0"/>
              <w:right w:val="nil"/>
              <w:insideV w:val="nil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Style w:val="29"/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Meta-validation I (</w:t>
            </w:r>
            <w:r>
              <w:rPr>
                <w:rStyle w:val="29"/>
                <w:rFonts w:ascii="Times New Roman" w:hAnsi="Times New Roman"/>
                <w:b w:val="0"/>
                <w:bCs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=299)</w:t>
            </w:r>
          </w:p>
        </w:tc>
        <w:tc>
          <w:tcPr>
            <w:tcW w:w="1138" w:type="pct"/>
            <w:tcBorders>
              <w:top w:val="single" w:color="000000" w:themeColor="text1" w:sz="12" w:space="0"/>
              <w:bottom w:val="single" w:color="auto" w:sz="12" w:space="0"/>
              <w:right w:val="nil"/>
              <w:insideV w:val="nil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b/>
                <w:bCs w:val="0"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Meta-validation II (</w:t>
            </w:r>
            <w:r>
              <w:rPr>
                <w:rStyle w:val="29"/>
                <w:rFonts w:ascii="Times New Roman" w:hAnsi="Times New Roman"/>
                <w:b w:val="0"/>
                <w:bCs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=274)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18" w:type="pct"/>
        </w:trPr>
        <w:tc>
          <w:tcPr>
            <w:tcW w:w="1862" w:type="pct"/>
            <w:gridSpan w:val="2"/>
            <w:tcBorders>
              <w:top w:val="single" w:color="000000" w:themeColor="text1" w:sz="8" w:space="0"/>
              <w:bottom w:val="nil"/>
            </w:tcBorders>
            <w:shd w:val="clear" w:color="auto" w:fill="auto"/>
          </w:tcPr>
          <w:p>
            <w:pPr>
              <w:rPr>
                <w:rStyle w:val="29"/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Age (years)</w:t>
            </w:r>
          </w:p>
        </w:tc>
        <w:tc>
          <w:tcPr>
            <w:tcW w:w="1220" w:type="pct"/>
            <w:gridSpan w:val="2"/>
            <w:tcBorders>
              <w:top w:val="single" w:color="000000" w:themeColor="text1" w:sz="8" w:space="0"/>
              <w:bottom w:val="nil"/>
            </w:tcBorders>
          </w:tcPr>
          <w:p>
            <w:pPr>
              <w:rPr>
                <w:rStyle w:val="29"/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ind w:firstLine="440" w:firstLineChars="200"/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≤ 65</w:t>
            </w:r>
          </w:p>
        </w:tc>
        <w:tc>
          <w:tcPr>
            <w:tcW w:w="1211" w:type="pct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362 (54.4%)</w:t>
            </w:r>
          </w:p>
        </w:tc>
        <w:tc>
          <w:tcPr>
            <w:tcW w:w="1287" w:type="pct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173 (57.9%)</w:t>
            </w:r>
          </w:p>
        </w:tc>
        <w:tc>
          <w:tcPr>
            <w:tcW w:w="1138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129 (47.1%)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tcBorders>
              <w:top w:val="nil"/>
            </w:tcBorders>
            <w:shd w:val="clear" w:color="auto" w:fill="auto"/>
          </w:tcPr>
          <w:p>
            <w:pPr>
              <w:ind w:left="440"/>
              <w:rPr>
                <w:b w:val="0"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&gt; 65</w:t>
            </w:r>
          </w:p>
        </w:tc>
        <w:tc>
          <w:tcPr>
            <w:tcW w:w="1211" w:type="pct"/>
            <w:gridSpan w:val="2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303 (45.6%)</w:t>
            </w:r>
          </w:p>
        </w:tc>
        <w:tc>
          <w:tcPr>
            <w:tcW w:w="1287" w:type="pct"/>
            <w:gridSpan w:val="2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126 (42.1%)</w:t>
            </w:r>
          </w:p>
        </w:tc>
        <w:tc>
          <w:tcPr>
            <w:tcW w:w="1138" w:type="pct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145 (52.9%)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shd w:val="clear" w:color="auto" w:fill="auto"/>
          </w:tcPr>
          <w:p>
            <w:pP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Gender</w:t>
            </w:r>
          </w:p>
        </w:tc>
        <w:tc>
          <w:tcPr>
            <w:tcW w:w="1211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38" w:type="pct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shd w:val="clear" w:color="auto" w:fill="auto"/>
          </w:tcPr>
          <w:p>
            <w:pPr>
              <w:ind w:firstLine="440" w:firstLineChars="200"/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Female</w:t>
            </w:r>
          </w:p>
        </w:tc>
        <w:tc>
          <w:tcPr>
            <w:tcW w:w="1211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338 (50.8%)</w:t>
            </w:r>
          </w:p>
        </w:tc>
        <w:tc>
          <w:tcPr>
            <w:tcW w:w="1287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135 (45.2%)</w:t>
            </w:r>
          </w:p>
        </w:tc>
        <w:tc>
          <w:tcPr>
            <w:tcW w:w="1138" w:type="pct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146 (53.3%)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shd w:val="clear" w:color="auto" w:fill="auto"/>
          </w:tcPr>
          <w:p>
            <w:pPr>
              <w:ind w:firstLine="440" w:firstLineChars="200"/>
              <w:rPr>
                <w:b/>
                <w:bCs/>
                <w:color w:val="auto"/>
                <w:sz w:val="22"/>
              </w:rPr>
            </w:pPr>
            <w:r>
              <w:rPr>
                <w:b w:val="0"/>
                <w:bCs/>
                <w:color w:val="auto"/>
                <w:sz w:val="22"/>
              </w:rPr>
              <w:t>Male</w:t>
            </w:r>
          </w:p>
        </w:tc>
        <w:tc>
          <w:tcPr>
            <w:tcW w:w="1211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327 (49.2%)</w:t>
            </w:r>
          </w:p>
        </w:tc>
        <w:tc>
          <w:tcPr>
            <w:tcW w:w="1287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164 (54.8%)</w:t>
            </w:r>
          </w:p>
        </w:tc>
        <w:tc>
          <w:tcPr>
            <w:tcW w:w="1138" w:type="pct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128 (46.7%)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shd w:val="clear" w:color="auto" w:fill="auto"/>
          </w:tcPr>
          <w:p>
            <w:pPr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 w:eastAsiaTheme="minorEastAsia"/>
                <w:b w:val="0"/>
                <w:bCs/>
                <w:color w:val="auto"/>
                <w:sz w:val="22"/>
                <w:szCs w:val="22"/>
                <w:lang w:eastAsia="zh-CN"/>
              </w:rPr>
              <w:t>TNM</w:t>
            </w: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 xml:space="preserve"> stage</w:t>
            </w:r>
          </w:p>
        </w:tc>
        <w:tc>
          <w:tcPr>
            <w:tcW w:w="1211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38" w:type="pct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shd w:val="clear" w:color="auto" w:fill="auto"/>
          </w:tcPr>
          <w:p>
            <w:pPr>
              <w:ind w:firstLine="440" w:firstLineChars="200"/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211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  <w:r>
              <w:rPr>
                <w:color w:val="auto"/>
                <w:sz w:val="22"/>
                <w:szCs w:val="22"/>
              </w:rPr>
              <w:t>84</w:t>
            </w:r>
            <w:r>
              <w:rPr>
                <w:color w:val="auto"/>
                <w:sz w:val="22"/>
              </w:rPr>
              <w:t xml:space="preserve"> (72.8%)</w:t>
            </w:r>
          </w:p>
        </w:tc>
        <w:tc>
          <w:tcPr>
            <w:tcW w:w="1287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243 (81.3%)</w:t>
            </w:r>
          </w:p>
        </w:tc>
        <w:tc>
          <w:tcPr>
            <w:tcW w:w="1138" w:type="pct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201 (73.4%)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shd w:val="clear" w:color="auto" w:fill="auto"/>
          </w:tcPr>
          <w:p>
            <w:pPr>
              <w:ind w:firstLine="440" w:firstLineChars="200"/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211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142 (21.4%)</w:t>
            </w:r>
          </w:p>
        </w:tc>
        <w:tc>
          <w:tcPr>
            <w:tcW w:w="1287" w:type="pct"/>
            <w:gridSpan w:val="2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 (14.4%)</w:t>
            </w:r>
          </w:p>
        </w:tc>
        <w:tc>
          <w:tcPr>
            <w:tcW w:w="1138" w:type="pct"/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 (17.2%)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pct"/>
            <w:tcBorders>
              <w:bottom w:val="nil"/>
            </w:tcBorders>
            <w:shd w:val="clear" w:color="auto" w:fill="auto"/>
          </w:tcPr>
          <w:p>
            <w:pPr>
              <w:ind w:firstLine="440" w:firstLineChars="200"/>
              <w:rPr>
                <w:b/>
                <w:bCs/>
                <w:color w:val="auto"/>
                <w:sz w:val="22"/>
              </w:rPr>
            </w:pPr>
            <w: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III</w:t>
            </w:r>
          </w:p>
        </w:tc>
        <w:tc>
          <w:tcPr>
            <w:tcW w:w="1211" w:type="pct"/>
            <w:gridSpan w:val="2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(5.9%)</w:t>
            </w:r>
          </w:p>
        </w:tc>
        <w:tc>
          <w:tcPr>
            <w:tcW w:w="1287" w:type="pct"/>
            <w:gridSpan w:val="2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(4.3%)</w:t>
            </w:r>
          </w:p>
        </w:tc>
        <w:tc>
          <w:tcPr>
            <w:tcW w:w="1138" w:type="pct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(8.0%)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364" w:type="pct"/>
            <w:tcBorders>
              <w:top w:val="nil"/>
              <w:bottom w:val="single" w:color="auto" w:sz="12" w:space="0"/>
            </w:tcBorders>
            <w:shd w:val="clear" w:color="auto" w:fill="auto"/>
          </w:tcPr>
          <w:p>
            <w:pPr>
              <w:rPr>
                <w:rStyle w:val="29"/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eastAsia="Helvetica"/>
                <w:b w:val="0"/>
                <w:bCs/>
                <w:color w:val="auto"/>
                <w:sz w:val="22"/>
                <w:szCs w:val="22"/>
              </w:rPr>
              <w:t>Average survival (Month)</w:t>
            </w:r>
          </w:p>
        </w:tc>
        <w:tc>
          <w:tcPr>
            <w:tcW w:w="1211" w:type="pct"/>
            <w:gridSpan w:val="2"/>
            <w:tcBorders>
              <w:top w:val="nil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eastAsia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color w:val="auto"/>
                <w:sz w:val="22"/>
                <w:szCs w:val="22"/>
                <w:lang w:eastAsia="zh-CN"/>
              </w:rPr>
              <w:t>54.18</w:t>
            </w:r>
          </w:p>
        </w:tc>
        <w:tc>
          <w:tcPr>
            <w:tcW w:w="1287" w:type="pct"/>
            <w:gridSpan w:val="2"/>
            <w:tcBorders>
              <w:top w:val="nil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eastAsia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color w:val="auto"/>
                <w:sz w:val="22"/>
                <w:szCs w:val="22"/>
                <w:lang w:eastAsia="zh-CN"/>
              </w:rPr>
              <w:t>65.68</w:t>
            </w:r>
          </w:p>
        </w:tc>
        <w:tc>
          <w:tcPr>
            <w:tcW w:w="1138" w:type="pct"/>
            <w:tcBorders>
              <w:top w:val="nil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eastAsia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color w:val="auto"/>
                <w:sz w:val="22"/>
                <w:szCs w:val="22"/>
                <w:lang w:eastAsia="zh-CN"/>
              </w:rPr>
              <w:t>33.16</w:t>
            </w:r>
          </w:p>
        </w:tc>
      </w:tr>
      <w:bookmarkEnd w:id="0"/>
    </w:tbl>
    <w:p>
      <w:pPr>
        <w:rPr>
          <w:b/>
          <w:sz w:val="22"/>
          <w:szCs w:val="22"/>
        </w:rPr>
      </w:pPr>
      <w:bookmarkStart w:id="5" w:name="_GoBack"/>
      <w:bookmarkEnd w:id="5"/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  <w:lang w:eastAsia="zh-CN"/>
        </w:rPr>
        <w:t>S2</w:t>
      </w:r>
      <w:r>
        <w:rPr>
          <w:b/>
          <w:sz w:val="22"/>
          <w:szCs w:val="22"/>
        </w:rPr>
        <w:t>. Gene enrichment analysis of 913 prognosis-related genes based on KEGG database.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7"/>
        <w:gridCol w:w="1151"/>
        <w:gridCol w:w="1151"/>
        <w:gridCol w:w="291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宋体"/>
                <w:b/>
                <w:sz w:val="22"/>
                <w:szCs w:val="22"/>
              </w:rPr>
              <w:t>KEGG pathway</w:t>
            </w:r>
          </w:p>
        </w:tc>
        <w:tc>
          <w:tcPr>
            <w:tcW w:w="601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HelveticaNeue-LightCond" w:hAnsi="HelveticaNeue-LightCond"/>
                <w:b/>
                <w:i/>
                <w:iCs/>
                <w:sz w:val="22"/>
                <w:szCs w:val="22"/>
              </w:rPr>
              <w:t>P</w:t>
            </w:r>
            <w:r>
              <w:rPr>
                <w:rFonts w:ascii="HelveticaNeue-LightCond" w:hAnsi="HelveticaNeue-LightCond"/>
                <w:b/>
                <w:sz w:val="22"/>
                <w:szCs w:val="22"/>
              </w:rPr>
              <w:t xml:space="preserve"> value</w:t>
            </w:r>
          </w:p>
        </w:tc>
        <w:tc>
          <w:tcPr>
            <w:tcW w:w="601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FDR</w:t>
            </w:r>
          </w:p>
        </w:tc>
        <w:tc>
          <w:tcPr>
            <w:tcW w:w="1523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eastAsia="宋体"/>
                <w:b/>
                <w:sz w:val="22"/>
                <w:szCs w:val="22"/>
              </w:rPr>
              <w:t>Gene number in pathway</w:t>
            </w: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Cell cycle</w:t>
            </w:r>
          </w:p>
        </w:tc>
        <w:tc>
          <w:tcPr>
            <w:tcW w:w="601" w:type="pc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2.42E-11</w:t>
            </w:r>
          </w:p>
        </w:tc>
        <w:tc>
          <w:tcPr>
            <w:tcW w:w="601" w:type="pc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7.45E-09</w:t>
            </w:r>
          </w:p>
        </w:tc>
        <w:tc>
          <w:tcPr>
            <w:tcW w:w="1523" w:type="pc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DNA replication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1.50E-07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2.31E-05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Progesterone-mediated oocyte maturation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7.66E-05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0.0069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Oocyte meiosis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8.91E-05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0.0069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0.0003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0.0190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Pyrimidine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0.0004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0.0226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Mismatch repair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0.0012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0.0540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Histidine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0.0020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0.0764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p53 signaling pathway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0.0023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0.0803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Fructose and mannose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0.0035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0.1035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Fanconi anemia pathway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0.0037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0.1035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Phenylalanine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0.0045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0.1158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Proteasome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0.0075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0.1757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Parkinson disease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0.0082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0.1757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Biosynthesis of cofactors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0.0089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0.1757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Homologous recombination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0.0091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0.1757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Apoptosis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0.0110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0.1989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Cellular senescence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0.0128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0.2090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Tyrosine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0.0132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0.2090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HIF-1 signaling pathway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0.0136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0.2090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Glycine, serine and threonine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0.0157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0.2305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Huntington disease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0.0191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0.2673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MicroRNAs in cancer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0.0226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0.3032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Tryptophan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0.0252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0.3036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One carbon pool by folate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0.0258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0.3036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Drug metabolism - other enzymes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0.0258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0.3036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Human T-cell leukemia virus 1 infection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0.0275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0.3036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Protein digestion and absorption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0.0276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0.3036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Pyruvate metabolism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0.0486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0.5114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Central carbon metabolism in cancer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0.0498 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0.5114 </w:t>
            </w:r>
          </w:p>
        </w:tc>
        <w:tc>
          <w:tcPr>
            <w:tcW w:w="1523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10</w:t>
            </w:r>
          </w:p>
        </w:tc>
      </w:tr>
    </w:tbl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  <w:lang w:eastAsia="zh-CN"/>
        </w:rPr>
        <w:t>S3</w:t>
      </w:r>
      <w:r>
        <w:rPr>
          <w:b/>
          <w:sz w:val="22"/>
          <w:szCs w:val="22"/>
        </w:rPr>
        <w:t>. The detailed functions of the 14 glycolysis metabolism genes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534"/>
        <w:gridCol w:w="4960"/>
        <w:gridCol w:w="209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Gene id</w:t>
            </w:r>
          </w:p>
        </w:tc>
        <w:tc>
          <w:tcPr>
            <w:tcW w:w="801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HelveticaNeue-LightCond" w:hAnsi="HelveticaNeue-LightCond"/>
                <w:b/>
                <w:sz w:val="22"/>
                <w:szCs w:val="22"/>
              </w:rPr>
              <w:t>Gene symbol</w:t>
            </w:r>
          </w:p>
        </w:tc>
        <w:tc>
          <w:tcPr>
            <w:tcW w:w="2590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095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hint="eastAsia" w:eastAsiaTheme="minorEastAsia"/>
                <w:b/>
                <w:sz w:val="22"/>
                <w:szCs w:val="22"/>
                <w:lang w:eastAsia="zh-CN"/>
              </w:rPr>
              <w:t>P</w:t>
            </w: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 xml:space="preserve">rognostic value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01" w:type="pc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ADH1B</w:t>
            </w:r>
          </w:p>
        </w:tc>
        <w:tc>
          <w:tcPr>
            <w:tcW w:w="2590" w:type="pct"/>
            <w:tcBorders>
              <w:top w:val="single" w:color="auto" w:sz="12" w:space="0"/>
            </w:tcBorders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Alcohol Dehydrogenase 1B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ADH1B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(Class I), Beta Polypeptide) is a Protein Coding gene.</w:t>
            </w:r>
          </w:p>
        </w:tc>
        <w:tc>
          <w:tcPr>
            <w:tcW w:w="1095" w:type="pct"/>
            <w:tcBorders>
              <w:top w:val="single" w:color="auto" w:sz="12" w:space="0"/>
            </w:tcBorders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Protective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ALDH2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Aldehyde Dehydrogenase 2 Family Member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ALDH2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) is a Protein Coding gene. Diseases associated with 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ALDH2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include Alcohol Sensitivity, Acute and Amed Syndrome, Digenic. Among its related pathways are ethanol degradation II and Oxidation by cytochrome P450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Protective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ALDH3B2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Aldehyde Dehydrogenase 3 Family Member B2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ALDH3B2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) is a Protein Coding gene. Diseases associated with 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ALDH3B2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include Succinic Semialdehyde Dehydrogenase Deficiency and Gamma-Amino Butyric Acid Metabolism Disorder.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ALDH9A1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(Aldehyde Dehydrogenase 9 Family Member A1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ALDH9A1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) is a Protein Coding gene. Diseases associated with 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ALDH9A1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include Alcohol Dependence and Alcohol Use Disorder. Among its related pathways are Carnitine synthesis and ethanol degradation II.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Protective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ALDOA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Aldolase A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ALDOA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a glycolytic enzyme that catalyzes the reversible conversion of fructose-1, 6-bisphosphate to glyceraldehyde 3-phosphate and dihydroxyacetone phosphate.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1737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DLAT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Dihydrolipoamide S-Acetyltransferase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DLAT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a Protein Coding gene. Diseases associated with DLAT include Pyruvate Dehydrogenase E2 Deficiency and Cholangitis. Among its related pathways are Pyruvate metabolism and glycolysis (BioCyc).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2597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Glyceraldehyde-3-phosphate dehydrogenase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GAPDH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), is a key enzyme involved in glycolysis that participates in the conversion of glyceraldehyde-3-phosphate (G3P) to 1,3-bisphosphoglycerate in the cytoplasm, thereby regulating the production of ATP for energy metabolism.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2821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GPI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Glucose-6-phosphate isomerase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GPI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a second glycolytic enzyme that catalyzes the isomerisation of G6P into fructose-6-phosphate.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3939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LDHA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Lactate dehydrogenase A(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LDHA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), is a key enzyme that converts pyruvate into lactic acid during glycolysis, this gene catalyzes the conversion of L-lactate and NAD to pyruvate and NADH in the final step of anaerobic glycolysis.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5214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PFKP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Phosphofructokinase, Platelet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PFKP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a Protein Coding gene. Diseases associated with PFKP include Glycogen Storage Disease Vii. Among its related pathways are glycolysis (BioCyc) and Glycolysis (REACTOME).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</w:pPr>
            <w:r>
              <w:rPr>
                <w:rFonts w:eastAsia="等线"/>
                <w:color w:val="000000"/>
                <w:sz w:val="22"/>
                <w:szCs w:val="22"/>
              </w:rPr>
              <w:t>5223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PGAM1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Phosphoglycerate mutase 1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PGAM1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), as one of the important enzymes in the glycolysis pathway, catalyzes the conversion of 3-phosphoglycerate (3-PG) in the glycolysis pathway to 2-phosphoglycerate (2-PG), promote glucose metabolism and energy production.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</w:pPr>
            <w:r>
              <w:rPr>
                <w:rFonts w:eastAsia="等线"/>
                <w:color w:val="000000"/>
                <w:sz w:val="22"/>
                <w:szCs w:val="22"/>
              </w:rPr>
              <w:t>5230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PGK1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Phosphoglycerate Kinase 1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PGK1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a Protein Coding gene. Diseases associated with PGK1 include Phosphoglycerate Kinase 1 Deficiency and Male Infertility Due to Obstructive Azoospermia. Among its related pathways are glycolysis (BioCyc) and gluconeogenesis III.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</w:pPr>
            <w:r>
              <w:rPr>
                <w:rFonts w:eastAsia="等线"/>
                <w:color w:val="000000"/>
                <w:sz w:val="22"/>
                <w:szCs w:val="22"/>
              </w:rPr>
              <w:t>5315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PKM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Pyruvate Kinase M1/2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PKM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a Protein Coding gene. Diseases associated with PKM include Pyruvate Kinase Deficiency Of Red Cells and Anterior Dislocation Of Lens. Among its related pathways are glycolysis (BioCyc) and Innate Immune System.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Align w:val="center"/>
          </w:tcPr>
          <w:p>
            <w:pPr>
              <w:jc w:val="center"/>
            </w:pPr>
            <w:r>
              <w:rPr>
                <w:rFonts w:eastAsia="等线"/>
                <w:color w:val="000000"/>
                <w:sz w:val="22"/>
                <w:szCs w:val="22"/>
              </w:rPr>
              <w:t>7167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Theme="minorEastAsia"/>
                <w:i/>
                <w:iCs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TPI1</w:t>
            </w:r>
          </w:p>
        </w:tc>
        <w:tc>
          <w:tcPr>
            <w:tcW w:w="2590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Triosephosphate isomerase (</w:t>
            </w:r>
            <w:r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  <w:t>TPI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) is the most active enzyme in the glycolytic pathway, catalyzes the isomerization of glyceraldehydes 3-phosphate (G3P) and dihydroxy-acetone phosphate (DHAP) in glycolysis and gluconeogenesis.</w:t>
            </w:r>
          </w:p>
        </w:tc>
        <w:tc>
          <w:tcPr>
            <w:tcW w:w="1095" w:type="pct"/>
          </w:tcPr>
          <w:p>
            <w:pPr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</w:rPr>
              <w:t>Risky</w:t>
            </w:r>
          </w:p>
        </w:tc>
      </w:tr>
    </w:tbl>
    <w:p>
      <w:pPr>
        <w:jc w:val="both"/>
        <w:rPr>
          <w:rFonts w:eastAsiaTheme="minorEastAsia"/>
          <w:sz w:val="22"/>
          <w:szCs w:val="22"/>
          <w:lang w:val="en-US" w:eastAsia="zh-CN"/>
        </w:rPr>
      </w:pPr>
    </w:p>
    <w:p>
      <w:pPr>
        <w:jc w:val="both"/>
        <w:rPr>
          <w:rFonts w:hint="eastAsia" w:eastAsiaTheme="minorEastAsia"/>
          <w:sz w:val="22"/>
          <w:szCs w:val="22"/>
          <w:lang w:val="en-US" w:eastAsia="zh-CN"/>
        </w:rPr>
      </w:pPr>
    </w:p>
    <w:p>
      <w:pPr>
        <w:jc w:val="both"/>
        <w:rPr>
          <w:rFonts w:hint="eastAsia" w:eastAsiaTheme="minorEastAsia"/>
          <w:sz w:val="22"/>
          <w:szCs w:val="22"/>
          <w:lang w:val="en-US" w:eastAsia="zh-CN"/>
        </w:rPr>
      </w:pPr>
    </w:p>
    <w:p>
      <w:pPr>
        <w:rPr>
          <w:b/>
          <w:sz w:val="22"/>
        </w:rPr>
      </w:pPr>
      <w:r>
        <w:rPr>
          <w:b/>
          <w:sz w:val="22"/>
        </w:rPr>
        <w:t xml:space="preserve">Table S4. Univariate Cox regression analysis </w:t>
      </w:r>
      <w:r>
        <w:rPr>
          <w:rFonts w:eastAsia="宋体"/>
          <w:b/>
          <w:sz w:val="22"/>
        </w:rPr>
        <w:t>in the analysed cohorts</w:t>
      </w:r>
    </w:p>
    <w:tbl>
      <w:tblPr>
        <w:tblStyle w:val="15"/>
        <w:tblW w:w="5000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0"/>
        <w:gridCol w:w="82"/>
        <w:gridCol w:w="2844"/>
        <w:gridCol w:w="54"/>
        <w:gridCol w:w="1586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6" w:type="pct"/>
            <w:vMerge w:val="restart"/>
            <w:tcBorders>
              <w:top w:val="single" w:color="000000" w:sz="12" w:space="0"/>
            </w:tcBorders>
          </w:tcPr>
          <w:p>
            <w:pPr>
              <w:spacing w:before="120" w:beforeLines="5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Meta-</w:t>
            </w:r>
            <w:r>
              <w:rPr>
                <w:rFonts w:hint="eastAsia"/>
                <w:b/>
                <w:bCs/>
                <w:sz w:val="22"/>
              </w:rPr>
              <w:t>d</w:t>
            </w:r>
            <w:r>
              <w:rPr>
                <w:b/>
                <w:bCs/>
                <w:sz w:val="22"/>
              </w:rPr>
              <w:t>iscovery dataset</w:t>
            </w:r>
          </w:p>
        </w:tc>
        <w:tc>
          <w:tcPr>
            <w:tcW w:w="2384" w:type="pct"/>
            <w:gridSpan w:val="4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Univariate analysis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6" w:type="pct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8" w:type="pct"/>
            <w:gridSpan w:val="2"/>
            <w:tcBorders>
              <w:bottom w:val="single" w:color="auto" w:sz="12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HR (95% CIs)</w:t>
            </w:r>
          </w:p>
        </w:tc>
        <w:tc>
          <w:tcPr>
            <w:tcW w:w="856" w:type="pct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 xml:space="preserve">P </w:t>
            </w:r>
            <w:r>
              <w:rPr>
                <w:sz w:val="22"/>
              </w:rPr>
              <w:t>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6" w:type="pct"/>
            <w:tcBorders>
              <w:top w:val="single" w:color="auto" w:sz="4" w:space="0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14GM-PS (High risk vs. Low risk)</w:t>
            </w:r>
          </w:p>
        </w:tc>
        <w:tc>
          <w:tcPr>
            <w:tcW w:w="1528" w:type="pct"/>
            <w:gridSpan w:val="2"/>
            <w:tcBorders>
              <w:top w:val="single" w:color="auto" w:sz="12" w:space="0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.</w:t>
            </w:r>
            <w:r>
              <w:rPr>
                <w:rFonts w:hint="eastAsia"/>
                <w:sz w:val="22"/>
              </w:rPr>
              <w:t>79</w:t>
            </w:r>
            <w:r>
              <w:rPr>
                <w:sz w:val="22"/>
              </w:rPr>
              <w:t xml:space="preserve"> (2.</w:t>
            </w:r>
            <w:r>
              <w:rPr>
                <w:rFonts w:hint="eastAsia"/>
                <w:sz w:val="22"/>
              </w:rPr>
              <w:t xml:space="preserve">09 </w:t>
            </w:r>
            <w:r>
              <w:rPr>
                <w:rFonts w:eastAsia="宋体"/>
                <w:sz w:val="22"/>
              </w:rPr>
              <w:t>-</w:t>
            </w:r>
            <w:r>
              <w:rPr>
                <w:rFonts w:hint="eastAsia" w:eastAsia="宋体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.</w:t>
            </w:r>
            <w:r>
              <w:rPr>
                <w:rFonts w:hint="eastAsia"/>
                <w:sz w:val="22"/>
              </w:rPr>
              <w:t>72</w:t>
            </w:r>
            <w:r>
              <w:rPr>
                <w:sz w:val="22"/>
              </w:rPr>
              <w:t>)</w:t>
            </w:r>
          </w:p>
        </w:tc>
        <w:tc>
          <w:tcPr>
            <w:tcW w:w="856" w:type="pct"/>
            <w:gridSpan w:val="2"/>
            <w:tcBorders>
              <w:top w:val="single" w:color="auto" w:sz="4" w:space="0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3.7</w:t>
            </w:r>
            <w:r>
              <w:rPr>
                <w:rFonts w:hint="eastAsia"/>
                <w:sz w:val="22"/>
              </w:rPr>
              <w:t>2E</w:t>
            </w:r>
            <w:r>
              <w:rPr>
                <w:sz w:val="22"/>
              </w:rPr>
              <w:t>-12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6" w:type="pct"/>
            <w:tcBorders>
              <w:top w:val="nil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TNM stage (III vs. II vs. I)</w:t>
            </w:r>
          </w:p>
        </w:tc>
        <w:tc>
          <w:tcPr>
            <w:tcW w:w="1528" w:type="pct"/>
            <w:gridSpan w:val="2"/>
            <w:tcBorders>
              <w:top w:val="nil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2.8</w:t>
            </w:r>
            <w:r>
              <w:rPr>
                <w:rFonts w:hint="eastAsia"/>
                <w:sz w:val="22"/>
              </w:rPr>
              <w:t>0 (</w:t>
            </w:r>
            <w:r>
              <w:rPr>
                <w:sz w:val="22"/>
              </w:rPr>
              <w:t>2.31</w:t>
            </w:r>
            <w:r>
              <w:rPr>
                <w:rFonts w:hint="eastAsia"/>
                <w:sz w:val="22"/>
              </w:rPr>
              <w:t xml:space="preserve"> - </w:t>
            </w:r>
            <w:r>
              <w:rPr>
                <w:sz w:val="22"/>
              </w:rPr>
              <w:t>3.38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2.12E-26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6" w:type="pct"/>
            <w:tcBorders>
              <w:top w:val="nil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Age (</w:t>
            </w:r>
            <w:r>
              <w:rPr>
                <w:rFonts w:eastAsia="AdvOT8608a8d1+2a"/>
                <w:sz w:val="22"/>
              </w:rPr>
              <w:t>&gt;</w:t>
            </w:r>
            <w:r>
              <w:rPr>
                <w:sz w:val="22"/>
              </w:rPr>
              <w:t>65 vs. 65≤)</w:t>
            </w:r>
          </w:p>
        </w:tc>
        <w:tc>
          <w:tcPr>
            <w:tcW w:w="1528" w:type="pct"/>
            <w:gridSpan w:val="2"/>
            <w:tcBorders>
              <w:top w:val="nil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2.03 (1.53 - 2.70)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9.46E-07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6" w:type="pct"/>
            <w:tcBorders>
              <w:top w:val="nil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Sex (Male vs. Female)</w:t>
            </w:r>
          </w:p>
        </w:tc>
        <w:tc>
          <w:tcPr>
            <w:tcW w:w="1528" w:type="pct"/>
            <w:gridSpan w:val="2"/>
            <w:tcBorders>
              <w:top w:val="nil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1.59 (1.20 - 2.11)</w:t>
            </w:r>
          </w:p>
        </w:tc>
        <w:tc>
          <w:tcPr>
            <w:tcW w:w="856" w:type="pct"/>
            <w:gridSpan w:val="2"/>
            <w:tcBorders>
              <w:top w:val="nil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0.0014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659" w:type="pct"/>
            <w:gridSpan w:val="2"/>
            <w:vMerge w:val="restart"/>
            <w:tcBorders>
              <w:top w:val="single" w:color="auto" w:sz="12" w:space="0"/>
            </w:tcBorders>
          </w:tcPr>
          <w:p>
            <w:pPr>
              <w:spacing w:before="120" w:beforeLines="5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Meta-</w:t>
            </w:r>
            <w:r>
              <w:rPr>
                <w:rFonts w:hint="eastAsia"/>
                <w:b/>
                <w:bCs/>
                <w:sz w:val="22"/>
              </w:rPr>
              <w:t>validation</w:t>
            </w:r>
            <w:r>
              <w:rPr>
                <w:b/>
                <w:bCs/>
                <w:sz w:val="22"/>
              </w:rPr>
              <w:t xml:space="preserve"> I dataset</w:t>
            </w:r>
          </w:p>
        </w:tc>
        <w:tc>
          <w:tcPr>
            <w:tcW w:w="2341" w:type="pct"/>
            <w:gridSpan w:val="3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Univariate analysis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13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HR (95% CIs)</w:t>
            </w:r>
          </w:p>
        </w:tc>
        <w:tc>
          <w:tcPr>
            <w:tcW w:w="82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P</w:t>
            </w:r>
            <w:r>
              <w:rPr>
                <w:sz w:val="22"/>
              </w:rPr>
              <w:t xml:space="preserve"> 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tcBorders>
              <w:top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14GM-PS (High risk vs. Low risk)</w:t>
            </w:r>
          </w:p>
        </w:tc>
        <w:tc>
          <w:tcPr>
            <w:tcW w:w="1513" w:type="pct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2.52(1.69</w:t>
            </w:r>
            <w:r>
              <w:rPr>
                <w:rFonts w:hint="eastAsia"/>
                <w:sz w:val="22"/>
              </w:rPr>
              <w:t xml:space="preserve"> - </w:t>
            </w:r>
            <w:r>
              <w:rPr>
                <w:sz w:val="22"/>
              </w:rPr>
              <w:t>3.76)</w:t>
            </w:r>
          </w:p>
        </w:tc>
        <w:tc>
          <w:tcPr>
            <w:tcW w:w="828" w:type="pct"/>
            <w:tcBorders>
              <w:top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6.16E-06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9" w:type="pct"/>
            <w:gridSpan w:val="2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TNM stage (III vs. II vs. I)</w:t>
            </w:r>
          </w:p>
        </w:tc>
        <w:tc>
          <w:tcPr>
            <w:tcW w:w="1513" w:type="pct"/>
            <w:gridSpan w:val="2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1.96 (1.47 - 2.61)</w:t>
            </w:r>
          </w:p>
        </w:tc>
        <w:tc>
          <w:tcPr>
            <w:tcW w:w="828" w:type="pct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3.80E-06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Age (</w:t>
            </w:r>
            <w:r>
              <w:rPr>
                <w:rFonts w:eastAsia="AdvOT8608a8d1+2a"/>
                <w:sz w:val="22"/>
              </w:rPr>
              <w:t>&gt;</w:t>
            </w:r>
            <w:r>
              <w:rPr>
                <w:sz w:val="22"/>
              </w:rPr>
              <w:t>65 vs. 65≤)</w:t>
            </w:r>
          </w:p>
        </w:tc>
        <w:tc>
          <w:tcPr>
            <w:tcW w:w="1513" w:type="pct"/>
            <w:gridSpan w:val="2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1.59 (1.09 - 2.32)</w:t>
            </w:r>
          </w:p>
        </w:tc>
        <w:tc>
          <w:tcPr>
            <w:tcW w:w="828" w:type="pct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0.0155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659" w:type="pct"/>
            <w:gridSpan w:val="2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Sex (Male vs. Female)</w:t>
            </w:r>
          </w:p>
        </w:tc>
        <w:tc>
          <w:tcPr>
            <w:tcW w:w="1513" w:type="pct"/>
            <w:gridSpan w:val="2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1.61 (1.09 - 2.39)</w:t>
            </w:r>
          </w:p>
        </w:tc>
        <w:tc>
          <w:tcPr>
            <w:tcW w:w="828" w:type="pct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0.0180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vMerge w:val="restart"/>
            <w:tcBorders>
              <w:top w:val="single" w:color="auto" w:sz="4" w:space="0"/>
            </w:tcBorders>
          </w:tcPr>
          <w:p>
            <w:pPr>
              <w:spacing w:before="120" w:beforeLines="5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Meta-</w:t>
            </w:r>
            <w:r>
              <w:rPr>
                <w:rFonts w:hint="eastAsia"/>
                <w:b/>
                <w:bCs/>
                <w:sz w:val="22"/>
              </w:rPr>
              <w:t>validation</w:t>
            </w:r>
            <w:r>
              <w:rPr>
                <w:b/>
                <w:bCs/>
                <w:sz w:val="22"/>
              </w:rPr>
              <w:t xml:space="preserve"> II dataset</w:t>
            </w:r>
          </w:p>
        </w:tc>
        <w:tc>
          <w:tcPr>
            <w:tcW w:w="2341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Univariate analysis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13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HR (95% CIs)</w:t>
            </w:r>
          </w:p>
        </w:tc>
        <w:tc>
          <w:tcPr>
            <w:tcW w:w="82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P</w:t>
            </w:r>
            <w:r>
              <w:rPr>
                <w:sz w:val="22"/>
              </w:rPr>
              <w:t xml:space="preserve"> 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tcBorders>
              <w:top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14GM-PS (High risk vs. Low risk)</w:t>
            </w:r>
          </w:p>
        </w:tc>
        <w:tc>
          <w:tcPr>
            <w:tcW w:w="1513" w:type="pct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1.95 (1.22 - 3.11)</w:t>
            </w:r>
          </w:p>
        </w:tc>
        <w:tc>
          <w:tcPr>
            <w:tcW w:w="828" w:type="pct"/>
            <w:tcBorders>
              <w:top w:val="single" w:color="auto" w:sz="4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  <w:r>
              <w:rPr>
                <w:rFonts w:hint="eastAsia"/>
                <w:sz w:val="22"/>
              </w:rPr>
              <w:t>049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TNM stage (III vs. II vs. I)</w:t>
            </w:r>
          </w:p>
        </w:tc>
        <w:tc>
          <w:tcPr>
            <w:tcW w:w="1513" w:type="pct"/>
            <w:gridSpan w:val="2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2.38 (1.79 - 3.16)</w:t>
            </w:r>
          </w:p>
        </w:tc>
        <w:tc>
          <w:tcPr>
            <w:tcW w:w="828" w:type="pct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1.94E-09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tcBorders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Age (</w:t>
            </w:r>
            <w:r>
              <w:rPr>
                <w:rFonts w:eastAsia="AdvOT8608a8d1+2a"/>
                <w:sz w:val="22"/>
              </w:rPr>
              <w:t>&gt;</w:t>
            </w:r>
            <w:r>
              <w:rPr>
                <w:sz w:val="22"/>
              </w:rPr>
              <w:t>65 vs. 65≤)</w:t>
            </w:r>
          </w:p>
        </w:tc>
        <w:tc>
          <w:tcPr>
            <w:tcW w:w="1513" w:type="pct"/>
            <w:gridSpan w:val="2"/>
            <w:tcBorders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1.35 (0.85 - 2.15)</w:t>
            </w:r>
          </w:p>
        </w:tc>
        <w:tc>
          <w:tcPr>
            <w:tcW w:w="828" w:type="pct"/>
            <w:tcBorders>
              <w:bottom w:val="nil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0.2090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9" w:type="pct"/>
            <w:gridSpan w:val="2"/>
            <w:tcBorders>
              <w:top w:val="nil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Sex (Male vs. Female)</w:t>
            </w:r>
          </w:p>
        </w:tc>
        <w:tc>
          <w:tcPr>
            <w:tcW w:w="1513" w:type="pct"/>
            <w:gridSpan w:val="2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1.24 (0.78 - 1.97)</w:t>
            </w:r>
          </w:p>
        </w:tc>
        <w:tc>
          <w:tcPr>
            <w:tcW w:w="828" w:type="pct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0.3680</w:t>
            </w:r>
          </w:p>
        </w:tc>
      </w:tr>
    </w:tbl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  <w:lang w:eastAsia="zh-CN"/>
        </w:rPr>
        <w:t>S5</w:t>
      </w:r>
      <w:r>
        <w:rPr>
          <w:b/>
          <w:sz w:val="22"/>
          <w:szCs w:val="22"/>
        </w:rPr>
        <w:t xml:space="preserve">. Difference analysis of 25 LUAD driver genes across the high- and low-risk groups 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400"/>
        <w:gridCol w:w="1645"/>
        <w:gridCol w:w="1750"/>
        <w:gridCol w:w="1773"/>
        <w:gridCol w:w="12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18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Gene symbol</w:t>
            </w:r>
          </w:p>
        </w:tc>
        <w:tc>
          <w:tcPr>
            <w:tcW w:w="731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>Discovery</w:t>
            </w:r>
          </w:p>
        </w:tc>
        <w:tc>
          <w:tcPr>
            <w:tcW w:w="859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>Validation I</w:t>
            </w:r>
          </w:p>
        </w:tc>
        <w:tc>
          <w:tcPr>
            <w:tcW w:w="914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>Validation II</w:t>
            </w:r>
          </w:p>
        </w:tc>
        <w:tc>
          <w:tcPr>
            <w:tcW w:w="926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hint="eastAsia" w:eastAsiaTheme="minorEastAsia"/>
                <w:b/>
                <w:sz w:val="22"/>
                <w:szCs w:val="22"/>
                <w:lang w:eastAsia="zh-CN"/>
              </w:rPr>
              <w:t>M</w:t>
            </w: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 xml:space="preserve">eta </w:t>
            </w:r>
            <w:r>
              <w:rPr>
                <w:rFonts w:eastAsiaTheme="minorEastAsia"/>
                <w:b/>
                <w:i/>
                <w:iCs/>
                <w:sz w:val="22"/>
                <w:szCs w:val="22"/>
                <w:lang w:eastAsia="zh-CN"/>
              </w:rPr>
              <w:t>P</w:t>
            </w: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 xml:space="preserve"> value</w:t>
            </w:r>
          </w:p>
        </w:tc>
        <w:tc>
          <w:tcPr>
            <w:tcW w:w="652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hint="eastAsia" w:eastAsiaTheme="minorEastAsia"/>
                <w:b/>
                <w:sz w:val="22"/>
                <w:szCs w:val="22"/>
                <w:lang w:eastAsia="zh-CN"/>
              </w:rPr>
              <w:t>F</w:t>
            </w:r>
            <w:r>
              <w:rPr>
                <w:rFonts w:eastAsiaTheme="minorEastAsia"/>
                <w:b/>
                <w:sz w:val="22"/>
                <w:szCs w:val="22"/>
                <w:lang w:eastAsia="zh-CN"/>
              </w:rPr>
              <w:t>DR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PARP4</w:t>
            </w:r>
          </w:p>
        </w:tc>
        <w:tc>
          <w:tcPr>
            <w:tcW w:w="731" w:type="pct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1.99E-06</w:t>
            </w:r>
          </w:p>
        </w:tc>
        <w:tc>
          <w:tcPr>
            <w:tcW w:w="859" w:type="pct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9.40E-05</w:t>
            </w:r>
          </w:p>
        </w:tc>
        <w:tc>
          <w:tcPr>
            <w:tcW w:w="914" w:type="pct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0.0317 </w:t>
            </w:r>
          </w:p>
        </w:tc>
        <w:tc>
          <w:tcPr>
            <w:tcW w:w="926" w:type="pct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2.41E-08</w:t>
            </w:r>
          </w:p>
        </w:tc>
        <w:tc>
          <w:tcPr>
            <w:tcW w:w="652" w:type="pct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6.03E-07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APC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1.13E-05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0.4239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0.0228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2.54E-05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LYST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0.0001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0.9735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0.0600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0.0070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0.0125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CTNNB1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0.2005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0.0570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0.0793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0.0188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0.0248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EGFR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0.0366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0.2555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0.2358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0.0395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0.0470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EPRS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0.1005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0.0179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0.0011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0.0002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0.0007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KRAS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0.8850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0.6012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0.0297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0.3655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0.3807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SMAD4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8.16E-06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0.9002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0.0078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0.0001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0.0005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MET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0.1321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0.1029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0.0686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0.0186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0.0248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NF1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0.0022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0.0166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0.1426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0.0004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0.0011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PIK3CA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0.2049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0.5310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0.0235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0.0558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0.0634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PTEN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0.0034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0.4524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0.0697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0.0051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0.0099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RASA1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0.0036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0.0016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0.1615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0.0001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0.0006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RB1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0.0006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0.2780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0.6919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0.0096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0.0160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STK11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0.1161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0.9423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0.5737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0.6374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0.6374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0.1258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0.0490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0.0157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0.0033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0.0076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TTF1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0.6411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0.1800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0.0644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0.1195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0.1299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ZMYM2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2.60E-05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0.2266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0.2448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0.0002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0.0007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RBM10</w:t>
            </w:r>
          </w:p>
        </w:tc>
        <w:tc>
          <w:tcPr>
            <w:tcW w:w="731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0.1156 </w:t>
            </w:r>
          </w:p>
        </w:tc>
        <w:tc>
          <w:tcPr>
            <w:tcW w:w="859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0.1682 </w:t>
            </w:r>
          </w:p>
        </w:tc>
        <w:tc>
          <w:tcPr>
            <w:tcW w:w="914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0.0371 </w:t>
            </w:r>
          </w:p>
        </w:tc>
        <w:tc>
          <w:tcPr>
            <w:tcW w:w="926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0.0159 </w:t>
            </w:r>
          </w:p>
        </w:tc>
        <w:tc>
          <w:tcPr>
            <w:tcW w:w="652" w:type="pct"/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0.0248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NCOR2</w:t>
            </w:r>
          </w:p>
        </w:tc>
        <w:tc>
          <w:tcPr>
            <w:tcW w:w="731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0.3138 </w:t>
            </w:r>
          </w:p>
        </w:tc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0.0062 </w:t>
            </w:r>
          </w:p>
        </w:tc>
        <w:tc>
          <w:tcPr>
            <w:tcW w:w="914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0.3027 </w:t>
            </w:r>
          </w:p>
        </w:tc>
        <w:tc>
          <w:tcPr>
            <w:tcW w:w="926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0.0181 </w:t>
            </w:r>
          </w:p>
        </w:tc>
        <w:tc>
          <w:tcPr>
            <w:tcW w:w="652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0.0248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KEAP1</w:t>
            </w:r>
          </w:p>
        </w:tc>
        <w:tc>
          <w:tcPr>
            <w:tcW w:w="73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0.0012 </w:t>
            </w:r>
          </w:p>
        </w:tc>
        <w:tc>
          <w:tcPr>
            <w:tcW w:w="85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0.0155 </w:t>
            </w:r>
          </w:p>
        </w:tc>
        <w:tc>
          <w:tcPr>
            <w:tcW w:w="91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0.2102 </w:t>
            </w:r>
          </w:p>
        </w:tc>
        <w:tc>
          <w:tcPr>
            <w:tcW w:w="9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0.0003 </w:t>
            </w:r>
          </w:p>
        </w:tc>
        <w:tc>
          <w:tcPr>
            <w:tcW w:w="65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0.0011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MGA</w:t>
            </w:r>
          </w:p>
        </w:tc>
        <w:tc>
          <w:tcPr>
            <w:tcW w:w="731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0.0088 </w:t>
            </w:r>
          </w:p>
        </w:tc>
        <w:tc>
          <w:tcPr>
            <w:tcW w:w="859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0.1666 </w:t>
            </w:r>
          </w:p>
        </w:tc>
        <w:tc>
          <w:tcPr>
            <w:tcW w:w="914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0.4969 </w:t>
            </w:r>
          </w:p>
        </w:tc>
        <w:tc>
          <w:tcPr>
            <w:tcW w:w="926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0.0229 </w:t>
            </w:r>
          </w:p>
        </w:tc>
        <w:tc>
          <w:tcPr>
            <w:tcW w:w="652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 xml:space="preserve">0.0287 </w:t>
            </w:r>
          </w:p>
        </w:tc>
      </w:tr>
    </w:tbl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</w:p>
    <w:p>
      <w:pPr>
        <w:rPr>
          <w:rFonts w:eastAsia="宋体"/>
          <w:sz w:val="22"/>
          <w:szCs w:val="22"/>
          <w:lang w:val="en-US" w:eastAsia="zh-CN"/>
        </w:rPr>
        <w:sectPr>
          <w:headerReference r:id="rId3" w:type="default"/>
          <w:footerReference r:id="rId4" w:type="default"/>
          <w:pgSz w:w="12240" w:h="15840"/>
          <w:pgMar w:top="1440" w:right="1440" w:bottom="1440" w:left="1440" w:header="720" w:footer="720" w:gutter="0"/>
          <w:pgNumType w:start="1"/>
          <w:cols w:space="720" w:num="1"/>
          <w:docGrid w:linePitch="360" w:charSpace="0"/>
        </w:sectPr>
      </w:pPr>
    </w:p>
    <w:p>
      <w:pPr>
        <w:pStyle w:val="62"/>
        <w:spacing w:after="240"/>
        <w:ind w:left="442" w:hanging="442" w:hangingChars="20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>
        <w:rPr>
          <w:b/>
          <w:bCs/>
          <w:sz w:val="22"/>
          <w:szCs w:val="22"/>
          <w:lang w:eastAsia="zh-CN"/>
        </w:rPr>
        <w:t>Figure</w:t>
      </w:r>
      <w:r>
        <w:rPr>
          <w:b/>
          <w:bCs/>
          <w:sz w:val="22"/>
          <w:szCs w:val="22"/>
        </w:rPr>
        <w:t>s</w:t>
      </w:r>
    </w:p>
    <w:p>
      <w:pPr>
        <w:pStyle w:val="62"/>
        <w:ind w:left="442" w:hanging="442" w:hangingChars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inline distT="0" distB="0" distL="0" distR="0">
            <wp:extent cx="2519680" cy="24669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46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afterAutospacing="1"/>
        <w:jc w:val="both"/>
        <w:rPr>
          <w:b/>
          <w:bCs/>
          <w:sz w:val="22"/>
          <w:szCs w:val="22"/>
        </w:rPr>
      </w:pPr>
      <w:r>
        <w:rPr>
          <w:rFonts w:eastAsia="宋体"/>
          <w:b/>
          <w:sz w:val="22"/>
          <w:szCs w:val="22"/>
        </w:rPr>
        <w:t xml:space="preserve">Figure S1. Time-Dependent ROC Curve for the 14GM-PS in the meta-discovery dataset. </w:t>
      </w:r>
      <w:r>
        <w:rPr>
          <w:rFonts w:eastAsia="宋体"/>
          <w:sz w:val="22"/>
          <w:szCs w:val="22"/>
        </w:rPr>
        <w:t xml:space="preserve">Green dotted line indicates the shortest distance between the receiver operating characteristic (ROC) curve and the point representing 100% true positive rate and 0% false positive rate. Intersection of the green dotted line with the ROC curve corresponds to the risk score of </w:t>
      </w:r>
      <w:r>
        <w:rPr>
          <w:sz w:val="22"/>
        </w:rPr>
        <w:t>81.5660</w:t>
      </w:r>
      <w:r>
        <w:rPr>
          <w:rFonts w:eastAsia="宋体"/>
          <w:sz w:val="22"/>
          <w:szCs w:val="22"/>
        </w:rPr>
        <w:t>, which was used as cut-off for the 14GM-PS to stratify patients into high- or low-risk groups.</w:t>
      </w:r>
    </w:p>
    <w:p>
      <w:pPr>
        <w:pStyle w:val="62"/>
        <w:ind w:left="442" w:hanging="442" w:hangingChars="200"/>
        <w:jc w:val="center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drawing>
          <wp:inline distT="0" distB="0" distL="0" distR="0">
            <wp:extent cx="5943600" cy="36620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2"/>
        <w:jc w:val="both"/>
        <w:rPr>
          <w:rFonts w:eastAsia="宋体"/>
          <w:bCs/>
          <w:sz w:val="22"/>
          <w:szCs w:val="22"/>
          <w:lang w:eastAsia="zh-CN"/>
        </w:rPr>
      </w:pPr>
      <w:r>
        <w:rPr>
          <w:b/>
          <w:sz w:val="22"/>
          <w:szCs w:val="22"/>
        </w:rPr>
        <w:t>Figure S2.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The score distribution and survival status of the patient ordered by increasing PLPPS risk score in meta-validation I (A) and meta-validation II (B) datasets.</w:t>
      </w:r>
      <w:r>
        <w:rPr>
          <w:sz w:val="22"/>
        </w:rPr>
        <w:t xml:space="preserve"> Here, the samples were clustered into high- and low-risk groups.</w:t>
      </w:r>
    </w:p>
    <w:p>
      <w:pPr>
        <w:pStyle w:val="62"/>
        <w:jc w:val="both"/>
        <w:rPr>
          <w:rFonts w:eastAsia="宋体"/>
          <w:bCs/>
          <w:sz w:val="22"/>
          <w:szCs w:val="22"/>
          <w:lang w:eastAsia="zh-CN"/>
        </w:rPr>
      </w:pPr>
    </w:p>
    <w:p>
      <w:pPr>
        <w:pStyle w:val="62"/>
        <w:jc w:val="both"/>
        <w:rPr>
          <w:rFonts w:eastAsia="宋体"/>
          <w:bCs/>
          <w:sz w:val="22"/>
          <w:lang w:eastAsia="zh-CN"/>
        </w:rPr>
      </w:pPr>
      <w:r>
        <w:rPr>
          <w:rFonts w:eastAsia="宋体"/>
          <w:bCs/>
          <w:sz w:val="22"/>
          <w:lang w:eastAsia="zh-CN"/>
        </w:rPr>
        <w:drawing>
          <wp:inline distT="0" distB="0" distL="0" distR="0">
            <wp:extent cx="5943600" cy="235331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pacing w:before="0" w:after="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 xml:space="preserve">Figure S3. The clinical nomogram and performance improvement evaluation of the survival nomogram. </w:t>
      </w:r>
      <w:r>
        <w:rPr>
          <w:bCs/>
          <w:sz w:val="22"/>
          <w:szCs w:val="22"/>
        </w:rPr>
        <w:t>(A)</w:t>
      </w:r>
      <w:r>
        <w:rPr>
          <w:b w:val="0"/>
          <w:sz w:val="22"/>
          <w:szCs w:val="22"/>
        </w:rPr>
        <w:t xml:space="preserve"> The clinical nomogram in the meta-discovery dataset. </w:t>
      </w:r>
      <w:r>
        <w:rPr>
          <w:bCs/>
          <w:sz w:val="22"/>
          <w:szCs w:val="22"/>
        </w:rPr>
        <w:t>(B)</w:t>
      </w:r>
      <w:r>
        <w:rPr>
          <w:b w:val="0"/>
          <w:sz w:val="22"/>
          <w:szCs w:val="22"/>
        </w:rPr>
        <w:t xml:space="preserve"> Performance improvement of the survival nomogram compared with clinical nomogram estimated by net reclassification improvement (NRI) and integrated discrimination improvement indexes (IDI) methods.</w:t>
      </w:r>
      <w:r>
        <w:rPr>
          <w:bCs/>
          <w:sz w:val="22"/>
          <w:szCs w:val="22"/>
        </w:rPr>
        <w:t xml:space="preserve"> (C)</w:t>
      </w:r>
      <w:r>
        <w:rPr>
          <w:b w:val="0"/>
          <w:sz w:val="22"/>
          <w:szCs w:val="22"/>
        </w:rPr>
        <w:t xml:space="preserve"> Performance improvement of the radiomic nomogram compared with 14GM-PS estimated by NRI and IDI methods.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The responding significance is shown by asterisks in the circles (* for </w:t>
      </w:r>
      <w:r>
        <w:rPr>
          <w:b w:val="0"/>
          <w:i/>
          <w:sz w:val="22"/>
          <w:szCs w:val="22"/>
          <w:lang w:eastAsia="zh-CN"/>
        </w:rPr>
        <w:t>P</w:t>
      </w:r>
      <w:r>
        <w:rPr>
          <w:b w:val="0"/>
          <w:sz w:val="22"/>
          <w:szCs w:val="22"/>
        </w:rPr>
        <w:t xml:space="preserve">&lt;0.05 and ** for </w:t>
      </w:r>
      <w:r>
        <w:rPr>
          <w:b w:val="0"/>
          <w:i/>
          <w:sz w:val="22"/>
          <w:szCs w:val="22"/>
          <w:lang w:eastAsia="zh-CN"/>
        </w:rPr>
        <w:t>P</w:t>
      </w:r>
      <w:r>
        <w:rPr>
          <w:b w:val="0"/>
          <w:sz w:val="22"/>
          <w:szCs w:val="22"/>
        </w:rPr>
        <w:t>&lt;0.01).</w:t>
      </w:r>
    </w:p>
    <w:p>
      <w:pPr>
        <w:pStyle w:val="4"/>
        <w:numPr>
          <w:ilvl w:val="0"/>
          <w:numId w:val="0"/>
        </w:numPr>
        <w:spacing w:before="0" w:after="0"/>
        <w:jc w:val="both"/>
        <w:rPr>
          <w:b w:val="0"/>
          <w:sz w:val="22"/>
          <w:szCs w:val="22"/>
        </w:rPr>
      </w:pPr>
    </w:p>
    <w:p>
      <w:pPr>
        <w:pStyle w:val="4"/>
        <w:numPr>
          <w:ilvl w:val="0"/>
          <w:numId w:val="0"/>
        </w:numPr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drawing>
          <wp:inline distT="0" distB="0" distL="0" distR="0">
            <wp:extent cx="5943600" cy="35045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pacing w:before="0" w:after="0"/>
        <w:jc w:val="both"/>
        <w:rPr>
          <w:b w:val="0"/>
          <w:sz w:val="22"/>
          <w:szCs w:val="22"/>
        </w:rPr>
      </w:pPr>
    </w:p>
    <w:p>
      <w:pPr>
        <w:pStyle w:val="3"/>
        <w:spacing w:after="100" w:afterAutospacing="1"/>
        <w:ind w:firstLine="0"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S4. </w:t>
      </w:r>
      <w:r>
        <w:rPr>
          <w:rFonts w:ascii="Times New Roman" w:hAnsi="Times New Roman" w:cs="Times New Roman"/>
          <w:b/>
          <w:bCs/>
          <w:sz w:val="22"/>
        </w:rPr>
        <w:t xml:space="preserve">The survival analysis for 14GM-PS in the three array-based cohorts with a larger sample size (&gt;100) of the meta-discovery dataset. </w:t>
      </w:r>
      <w:r>
        <w:rPr>
          <w:rFonts w:ascii="Times New Roman" w:hAnsi="Times New Roman" w:cs="Times New Roman"/>
          <w:sz w:val="22"/>
        </w:rPr>
        <w:t xml:space="preserve">Kaplan–Meier curves of overall survival for the 334, 204 and 127 patients in the GSE68465 </w:t>
      </w:r>
      <w:r>
        <w:rPr>
          <w:rFonts w:ascii="Times New Roman" w:hAnsi="Times New Roman" w:cs="Times New Roman"/>
          <w:b/>
          <w:sz w:val="22"/>
        </w:rPr>
        <w:t>(A)</w:t>
      </w:r>
      <w:r>
        <w:rPr>
          <w:rFonts w:ascii="Times New Roman" w:hAnsi="Times New Roman" w:cs="Times New Roman"/>
          <w:sz w:val="22"/>
        </w:rPr>
        <w:t xml:space="preserve">, GSE31210 </w:t>
      </w:r>
      <w:r>
        <w:rPr>
          <w:rFonts w:ascii="Times New Roman" w:hAnsi="Times New Roman" w:cs="Times New Roman"/>
          <w:b/>
          <w:sz w:val="22"/>
        </w:rPr>
        <w:t>(C)</w:t>
      </w:r>
      <w:r>
        <w:rPr>
          <w:rFonts w:ascii="Times New Roman" w:hAnsi="Times New Roman" w:cs="Times New Roman"/>
          <w:sz w:val="22"/>
        </w:rPr>
        <w:t xml:space="preserve"> and GSE50081 </w:t>
      </w:r>
      <w:r>
        <w:rPr>
          <w:rFonts w:ascii="Times New Roman" w:hAnsi="Times New Roman" w:cs="Times New Roman"/>
          <w:b/>
          <w:sz w:val="22"/>
        </w:rPr>
        <w:t xml:space="preserve">(E) </w:t>
      </w:r>
      <w:r>
        <w:rPr>
          <w:rFonts w:ascii="Times New Roman" w:hAnsi="Times New Roman" w:cs="Times New Roman"/>
          <w:sz w:val="22"/>
        </w:rPr>
        <w:t xml:space="preserve">cohorts. The receiver operating characteristic (ROC) curve of </w:t>
      </w:r>
      <w:r>
        <w:rPr>
          <w:rFonts w:ascii="Times New Roman" w:hAnsi="Times New Roman" w:cs="Times New Roman"/>
          <w:bCs/>
          <w:sz w:val="22"/>
        </w:rPr>
        <w:t>14GM-PS</w:t>
      </w:r>
      <w:r>
        <w:rPr>
          <w:rFonts w:ascii="Times New Roman" w:hAnsi="Times New Roman" w:cs="Times New Roman"/>
          <w:sz w:val="22"/>
        </w:rPr>
        <w:t xml:space="preserve"> in predicting 5-year survival rate in the GSE68465 </w:t>
      </w:r>
      <w:r>
        <w:rPr>
          <w:rFonts w:ascii="Times New Roman" w:hAnsi="Times New Roman" w:cs="Times New Roman"/>
          <w:b/>
          <w:sz w:val="22"/>
        </w:rPr>
        <w:t>(B)</w:t>
      </w:r>
      <w:r>
        <w:rPr>
          <w:rFonts w:ascii="Times New Roman" w:hAnsi="Times New Roman" w:cs="Times New Roman"/>
          <w:sz w:val="22"/>
        </w:rPr>
        <w:t xml:space="preserve">, GSE31210 </w:t>
      </w:r>
      <w:r>
        <w:rPr>
          <w:rFonts w:ascii="Times New Roman" w:hAnsi="Times New Roman" w:cs="Times New Roman"/>
          <w:b/>
          <w:sz w:val="22"/>
        </w:rPr>
        <w:t>(D)</w:t>
      </w:r>
      <w:r>
        <w:rPr>
          <w:rFonts w:ascii="Times New Roman" w:hAnsi="Times New Roman" w:cs="Times New Roman"/>
          <w:sz w:val="22"/>
        </w:rPr>
        <w:t xml:space="preserve"> and GSE50081 </w:t>
      </w:r>
      <w:r>
        <w:rPr>
          <w:rFonts w:ascii="Times New Roman" w:hAnsi="Times New Roman" w:cs="Times New Roman"/>
          <w:b/>
          <w:sz w:val="22"/>
        </w:rPr>
        <w:t xml:space="preserve">(F) </w:t>
      </w:r>
      <w:r>
        <w:rPr>
          <w:rFonts w:ascii="Times New Roman" w:hAnsi="Times New Roman" w:cs="Times New Roman"/>
          <w:sz w:val="22"/>
        </w:rPr>
        <w:t>cohorts.</w:t>
      </w:r>
    </w:p>
    <w:p>
      <w:pPr>
        <w:pStyle w:val="3"/>
        <w:spacing w:after="100" w:afterAutospacing="1"/>
        <w:ind w:firstLine="0" w:firstLineChars="0"/>
        <w:rPr>
          <w:rFonts w:hint="eastAsia" w:ascii="Times New Roman" w:hAnsi="Times New Roman" w:cs="Times New Roman" w:eastAsiaTheme="minorEastAsia"/>
          <w:sz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lang w:eastAsia="zh-CN"/>
        </w:rPr>
        <w:drawing>
          <wp:inline distT="0" distB="0" distL="114300" distR="114300">
            <wp:extent cx="5939790" cy="5134610"/>
            <wp:effectExtent l="0" t="0" r="3810" b="8890"/>
            <wp:docPr id="2" name="图片 2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after="100" w:afterAutospacing="1"/>
        <w:ind w:firstLine="0"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S5. </w:t>
      </w:r>
      <w:r>
        <w:rPr>
          <w:rFonts w:ascii="Times New Roman" w:hAnsi="Times New Roman" w:cs="Times New Roman"/>
          <w:b/>
          <w:bCs/>
          <w:sz w:val="22"/>
        </w:rPr>
        <w:t xml:space="preserve">Kaplan–Meier curves of overall survival (OS) and recurrence-free survival (RFS) for stage I patients. (A) </w:t>
      </w:r>
      <w:r>
        <w:rPr>
          <w:rFonts w:ascii="Times New Roman" w:hAnsi="Times New Roman" w:cs="Times New Roman"/>
          <w:sz w:val="22"/>
        </w:rPr>
        <w:t xml:space="preserve">OS for the meta-discovery dataset. </w:t>
      </w:r>
      <w:r>
        <w:rPr>
          <w:rFonts w:ascii="Times New Roman" w:hAnsi="Times New Roman" w:cs="Times New Roman"/>
          <w:b/>
          <w:bCs/>
          <w:sz w:val="22"/>
        </w:rPr>
        <w:t>(B)</w:t>
      </w:r>
      <w:r>
        <w:rPr>
          <w:rFonts w:ascii="Times New Roman" w:hAnsi="Times New Roman" w:cs="Times New Roman"/>
          <w:sz w:val="22"/>
        </w:rPr>
        <w:t xml:space="preserve"> OS for integrated meta-validation dataset. </w:t>
      </w:r>
      <w:r>
        <w:rPr>
          <w:rFonts w:ascii="Times New Roman" w:hAnsi="Times New Roman" w:cs="Times New Roman"/>
          <w:b/>
          <w:bCs/>
          <w:sz w:val="22"/>
        </w:rPr>
        <w:t xml:space="preserve">(C) </w:t>
      </w:r>
      <w:r>
        <w:rPr>
          <w:rFonts w:ascii="Times New Roman" w:hAnsi="Times New Roman" w:cs="Times New Roman"/>
          <w:sz w:val="22"/>
        </w:rPr>
        <w:t xml:space="preserve">RFS for the meta-discovery dataset. </w:t>
      </w:r>
      <w:r>
        <w:rPr>
          <w:rFonts w:ascii="Times New Roman" w:hAnsi="Times New Roman" w:cs="Times New Roman"/>
          <w:b/>
          <w:bCs/>
          <w:sz w:val="22"/>
        </w:rPr>
        <w:t>(D)</w:t>
      </w:r>
      <w:r>
        <w:rPr>
          <w:rFonts w:ascii="Times New Roman" w:hAnsi="Times New Roman" w:cs="Times New Roman"/>
          <w:sz w:val="22"/>
        </w:rPr>
        <w:t xml:space="preserve"> RFS for integrated meta-validation dataset.</w:t>
      </w:r>
    </w:p>
    <w:p>
      <w:pPr>
        <w:pStyle w:val="4"/>
        <w:numPr>
          <w:ilvl w:val="0"/>
          <w:numId w:val="0"/>
        </w:numPr>
        <w:spacing w:before="0" w:after="0"/>
        <w:jc w:val="both"/>
        <w:rPr>
          <w:sz w:val="22"/>
          <w:szCs w:val="22"/>
        </w:rPr>
      </w:pPr>
      <w:r>
        <w:rPr>
          <w:rFonts w:eastAsia="宋体"/>
          <w:bCs/>
          <w:sz w:val="22"/>
          <w:lang w:eastAsia="zh-CN"/>
        </w:rPr>
        <w:br w:type="page"/>
      </w:r>
    </w:p>
    <w:p>
      <w:pPr>
        <w:spacing w:line="480" w:lineRule="auto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References for supplementary materials</w:t>
      </w:r>
    </w:p>
    <w:p>
      <w:pPr>
        <w:pStyle w:val="44"/>
        <w:spacing w:after="0"/>
        <w:ind w:left="221" w:hanging="221" w:hangingChars="10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fldChar w:fldCharType="begin"/>
      </w:r>
      <w:r>
        <w:rPr>
          <w:rFonts w:ascii="Times New Roman" w:hAnsi="Times New Roman" w:cs="Times New Roman"/>
          <w:b/>
          <w:bCs/>
          <w:sz w:val="22"/>
        </w:rPr>
        <w:instrText xml:space="preserve"> ADDIN EN.REFLIST </w:instrText>
      </w:r>
      <w:r>
        <w:rPr>
          <w:rFonts w:ascii="Times New Roman" w:hAnsi="Times New Roman" w:cs="Times New Roman"/>
          <w:b/>
          <w:bCs/>
          <w:sz w:val="22"/>
        </w:rPr>
        <w:fldChar w:fldCharType="separate"/>
      </w:r>
      <w:bookmarkStart w:id="1" w:name="_ENREF_1"/>
      <w:r>
        <w:rPr>
          <w:rFonts w:ascii="Times New Roman" w:hAnsi="Times New Roman" w:cs="Times New Roman"/>
          <w:sz w:val="22"/>
        </w:rPr>
        <w:t>1. Eustace A, Mani N, Span PN, et al. A 26-gene hypoxia signature predicts benefit from hypoxia-modifying therapy in laryngeal cancer but not bladder cancer. Clin Cancer Res 2013;19:4879-88.</w:t>
      </w:r>
      <w:bookmarkEnd w:id="1"/>
    </w:p>
    <w:p>
      <w:pPr>
        <w:pStyle w:val="44"/>
        <w:spacing w:after="0"/>
        <w:ind w:left="220" w:hanging="220" w:hangingChars="100"/>
        <w:rPr>
          <w:rFonts w:ascii="Times New Roman" w:hAnsi="Times New Roman" w:cs="Times New Roman"/>
          <w:sz w:val="22"/>
        </w:rPr>
      </w:pPr>
      <w:bookmarkStart w:id="2" w:name="_ENREF_2"/>
      <w:r>
        <w:rPr>
          <w:rFonts w:ascii="Times New Roman" w:hAnsi="Times New Roman" w:cs="Times New Roman"/>
          <w:sz w:val="22"/>
        </w:rPr>
        <w:t>2. Whitfield ML, George LK, Grant GD, et al. Common markers of proliferation. Nat Rev Cancer 2006;6:99-106.</w:t>
      </w:r>
      <w:bookmarkEnd w:id="2"/>
    </w:p>
    <w:p>
      <w:pPr>
        <w:pStyle w:val="44"/>
        <w:spacing w:after="0"/>
        <w:ind w:left="220" w:hanging="220" w:hangingChars="100"/>
        <w:rPr>
          <w:rFonts w:ascii="Times New Roman" w:hAnsi="Times New Roman" w:cs="Times New Roman"/>
          <w:sz w:val="22"/>
        </w:rPr>
      </w:pPr>
      <w:bookmarkStart w:id="3" w:name="_ENREF_3"/>
      <w:r>
        <w:rPr>
          <w:rFonts w:ascii="Times New Roman" w:hAnsi="Times New Roman" w:cs="Times New Roman"/>
          <w:sz w:val="22"/>
        </w:rPr>
        <w:t>3. Subramanian A, Tamayo P, Mootha VK, et al. Gene set enrichment analysis: a knowledge-based approach for interpreting genome-wide expression profiles. Proc Natl Acad Sci U S A 2005;102:15545-50.</w:t>
      </w:r>
      <w:bookmarkEnd w:id="3"/>
    </w:p>
    <w:p>
      <w:pPr>
        <w:pStyle w:val="44"/>
        <w:ind w:left="220" w:hanging="220" w:hangingChars="100"/>
        <w:rPr>
          <w:rFonts w:ascii="Times New Roman" w:hAnsi="Times New Roman" w:cs="Times New Roman"/>
          <w:sz w:val="22"/>
        </w:rPr>
      </w:pPr>
      <w:bookmarkStart w:id="4" w:name="_ENREF_4"/>
      <w:r>
        <w:rPr>
          <w:rFonts w:ascii="Times New Roman" w:hAnsi="Times New Roman" w:cs="Times New Roman"/>
          <w:sz w:val="22"/>
        </w:rPr>
        <w:t>4. Yoshihara K, Shahmoradgoli M, Martinez E, et al. Inferring tumour purity and stromal and immune cell admixture from expression data. Nat Commun 2013;4:2612.</w:t>
      </w:r>
      <w:bookmarkEnd w:id="4"/>
    </w:p>
    <w:p>
      <w:pPr>
        <w:pStyle w:val="62"/>
        <w:ind w:left="221" w:hanging="221" w:hangingChars="100"/>
        <w:jc w:val="both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fldChar w:fldCharType="end"/>
      </w:r>
    </w:p>
    <w:sectPr>
      <w:footerReference r:id="rId5" w:type="default"/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ato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HelveticaNeue-LightCon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8608a8d1+2a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935104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lang w:val="en-GB"/>
      </w:rPr>
      <w:id w:val="-448697085"/>
    </w:sdtPr>
    <w:sdtEndPr>
      <w:rPr>
        <w:lang w:val="en-GB"/>
      </w:rPr>
    </w:sdtEndPr>
    <w:sdtContent>
      <w:p>
        <w:pPr>
          <w:pStyle w:val="10"/>
          <w:jc w:val="center"/>
          <w:rPr>
            <w:lang w:val="en-GB"/>
          </w:rPr>
        </w:pPr>
        <w:r>
          <w:rPr>
            <w:lang w:val="en-GB"/>
          </w:rPr>
          <w:fldChar w:fldCharType="begin"/>
        </w:r>
        <w:r>
          <w:rPr>
            <w:lang w:val="en-GB"/>
          </w:rPr>
          <w:instrText xml:space="preserve"> PAGE   \* MERGEFORMAT </w:instrText>
        </w:r>
        <w:r>
          <w:rPr>
            <w:lang w:val="en-GB"/>
          </w:rPr>
          <w:fldChar w:fldCharType="separate"/>
        </w:r>
        <w:r>
          <w:rPr>
            <w:lang w:val="en-GB"/>
          </w:rPr>
          <w:t>4</w:t>
        </w:r>
        <w:r>
          <w:rPr>
            <w:lang w:val="en-GB"/>
          </w:rPr>
          <w:fldChar w:fldCharType="end"/>
        </w:r>
      </w:p>
    </w:sdtContent>
  </w:sdt>
  <w:p>
    <w:pPr>
      <w:pStyle w:val="10"/>
      <w:rPr>
        <w:lang w:val="en-GB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0"/>
      </w:rP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0NzC0BGILUzNTUyUdpeDU4uLM/DyQAsNaABMhnfMsAAAA"/>
    <w:docVar w:name="commondata" w:val="eyJoZGlkIjoiNTQyYTNjNmJjMjE1YzMxMzY2NGZlOWJhNTMzYTkxMj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anslational Lung Cancer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pvz2rzpptrztxe2er65zf9rwrwv0r2pp529&quot;&gt;毕业大论文&lt;record-ids&gt;&lt;item&gt;43&lt;/item&gt;&lt;item&gt;127&lt;/item&gt;&lt;item&gt;147&lt;/item&gt;&lt;item&gt;159&lt;/item&gt;&lt;/record-ids&gt;&lt;/item&gt;&lt;/Libraries&gt;"/>
  </w:docVars>
  <w:rsids>
    <w:rsidRoot w:val="00310471"/>
    <w:rsid w:val="00000332"/>
    <w:rsid w:val="00000DBA"/>
    <w:rsid w:val="00000DE0"/>
    <w:rsid w:val="00001A9D"/>
    <w:rsid w:val="000025DC"/>
    <w:rsid w:val="00004665"/>
    <w:rsid w:val="00004AC2"/>
    <w:rsid w:val="00005F7D"/>
    <w:rsid w:val="00006B69"/>
    <w:rsid w:val="00006C37"/>
    <w:rsid w:val="000072A9"/>
    <w:rsid w:val="0000785B"/>
    <w:rsid w:val="00007972"/>
    <w:rsid w:val="00007EE0"/>
    <w:rsid w:val="00010832"/>
    <w:rsid w:val="0001096C"/>
    <w:rsid w:val="00010BA1"/>
    <w:rsid w:val="00014588"/>
    <w:rsid w:val="00014945"/>
    <w:rsid w:val="00014BD2"/>
    <w:rsid w:val="00014CF1"/>
    <w:rsid w:val="00014D2C"/>
    <w:rsid w:val="000159BB"/>
    <w:rsid w:val="00016B65"/>
    <w:rsid w:val="00016C97"/>
    <w:rsid w:val="00017CF4"/>
    <w:rsid w:val="00021705"/>
    <w:rsid w:val="000218C1"/>
    <w:rsid w:val="00023755"/>
    <w:rsid w:val="000237ED"/>
    <w:rsid w:val="00024595"/>
    <w:rsid w:val="000254B6"/>
    <w:rsid w:val="00025B61"/>
    <w:rsid w:val="00026D16"/>
    <w:rsid w:val="00027B50"/>
    <w:rsid w:val="00030B80"/>
    <w:rsid w:val="00030FF5"/>
    <w:rsid w:val="00031598"/>
    <w:rsid w:val="00031894"/>
    <w:rsid w:val="00035474"/>
    <w:rsid w:val="00036710"/>
    <w:rsid w:val="00036E00"/>
    <w:rsid w:val="00037CB2"/>
    <w:rsid w:val="000402D1"/>
    <w:rsid w:val="0004061F"/>
    <w:rsid w:val="00041972"/>
    <w:rsid w:val="00041FFF"/>
    <w:rsid w:val="000429A6"/>
    <w:rsid w:val="00043675"/>
    <w:rsid w:val="00043B24"/>
    <w:rsid w:val="00044484"/>
    <w:rsid w:val="0004474D"/>
    <w:rsid w:val="00045277"/>
    <w:rsid w:val="000453A6"/>
    <w:rsid w:val="0004688B"/>
    <w:rsid w:val="00050A94"/>
    <w:rsid w:val="00051498"/>
    <w:rsid w:val="00052BDC"/>
    <w:rsid w:val="0005351C"/>
    <w:rsid w:val="0005373B"/>
    <w:rsid w:val="00053AC8"/>
    <w:rsid w:val="0005462C"/>
    <w:rsid w:val="0005464A"/>
    <w:rsid w:val="00055851"/>
    <w:rsid w:val="00055B2E"/>
    <w:rsid w:val="00056AC8"/>
    <w:rsid w:val="00057781"/>
    <w:rsid w:val="00057819"/>
    <w:rsid w:val="000600E5"/>
    <w:rsid w:val="000602CD"/>
    <w:rsid w:val="00061DEF"/>
    <w:rsid w:val="00061E5C"/>
    <w:rsid w:val="00064134"/>
    <w:rsid w:val="00064BD9"/>
    <w:rsid w:val="00065496"/>
    <w:rsid w:val="00065771"/>
    <w:rsid w:val="0006745C"/>
    <w:rsid w:val="00070B25"/>
    <w:rsid w:val="00070BB6"/>
    <w:rsid w:val="00070F1E"/>
    <w:rsid w:val="000722CA"/>
    <w:rsid w:val="000726B8"/>
    <w:rsid w:val="00073513"/>
    <w:rsid w:val="000736F9"/>
    <w:rsid w:val="0007512A"/>
    <w:rsid w:val="00075F3A"/>
    <w:rsid w:val="00076677"/>
    <w:rsid w:val="00076C16"/>
    <w:rsid w:val="000771F3"/>
    <w:rsid w:val="000779D9"/>
    <w:rsid w:val="00077CBC"/>
    <w:rsid w:val="0008254A"/>
    <w:rsid w:val="0008378D"/>
    <w:rsid w:val="00083D59"/>
    <w:rsid w:val="00083D91"/>
    <w:rsid w:val="000844C5"/>
    <w:rsid w:val="000850E6"/>
    <w:rsid w:val="000861C3"/>
    <w:rsid w:val="0008632C"/>
    <w:rsid w:val="000866C0"/>
    <w:rsid w:val="00086749"/>
    <w:rsid w:val="00087035"/>
    <w:rsid w:val="00087330"/>
    <w:rsid w:val="000877DC"/>
    <w:rsid w:val="000902D4"/>
    <w:rsid w:val="000905CE"/>
    <w:rsid w:val="00091017"/>
    <w:rsid w:val="00091722"/>
    <w:rsid w:val="00091B12"/>
    <w:rsid w:val="00091BBB"/>
    <w:rsid w:val="00092184"/>
    <w:rsid w:val="000945AB"/>
    <w:rsid w:val="00095FC2"/>
    <w:rsid w:val="00096488"/>
    <w:rsid w:val="00097C27"/>
    <w:rsid w:val="000A0118"/>
    <w:rsid w:val="000A0B9A"/>
    <w:rsid w:val="000A1E93"/>
    <w:rsid w:val="000A365F"/>
    <w:rsid w:val="000A3793"/>
    <w:rsid w:val="000A5BA6"/>
    <w:rsid w:val="000A6BB5"/>
    <w:rsid w:val="000A76A7"/>
    <w:rsid w:val="000A78C7"/>
    <w:rsid w:val="000A78E1"/>
    <w:rsid w:val="000B111F"/>
    <w:rsid w:val="000B15F3"/>
    <w:rsid w:val="000B1F8C"/>
    <w:rsid w:val="000B30D8"/>
    <w:rsid w:val="000B51C7"/>
    <w:rsid w:val="000B70D5"/>
    <w:rsid w:val="000B7500"/>
    <w:rsid w:val="000C03EF"/>
    <w:rsid w:val="000C11FB"/>
    <w:rsid w:val="000C1EFD"/>
    <w:rsid w:val="000C2614"/>
    <w:rsid w:val="000C4628"/>
    <w:rsid w:val="000C5C43"/>
    <w:rsid w:val="000C5F9E"/>
    <w:rsid w:val="000C6087"/>
    <w:rsid w:val="000C62E9"/>
    <w:rsid w:val="000C6CC0"/>
    <w:rsid w:val="000C7624"/>
    <w:rsid w:val="000C76B5"/>
    <w:rsid w:val="000D10B2"/>
    <w:rsid w:val="000D122D"/>
    <w:rsid w:val="000D1518"/>
    <w:rsid w:val="000D2B02"/>
    <w:rsid w:val="000D2C9A"/>
    <w:rsid w:val="000D4D3F"/>
    <w:rsid w:val="000D4FAC"/>
    <w:rsid w:val="000D6690"/>
    <w:rsid w:val="000D765A"/>
    <w:rsid w:val="000D7A47"/>
    <w:rsid w:val="000D7A55"/>
    <w:rsid w:val="000E00BF"/>
    <w:rsid w:val="000E2A78"/>
    <w:rsid w:val="000E39EF"/>
    <w:rsid w:val="000E4EDE"/>
    <w:rsid w:val="000E677C"/>
    <w:rsid w:val="000E6BED"/>
    <w:rsid w:val="000E6C18"/>
    <w:rsid w:val="000E7391"/>
    <w:rsid w:val="000E7B93"/>
    <w:rsid w:val="000F003E"/>
    <w:rsid w:val="000F034E"/>
    <w:rsid w:val="000F18A4"/>
    <w:rsid w:val="000F197B"/>
    <w:rsid w:val="000F266D"/>
    <w:rsid w:val="000F4FBA"/>
    <w:rsid w:val="000F51F6"/>
    <w:rsid w:val="000F7493"/>
    <w:rsid w:val="000F7B54"/>
    <w:rsid w:val="001011AE"/>
    <w:rsid w:val="00101445"/>
    <w:rsid w:val="0010189A"/>
    <w:rsid w:val="00101BD3"/>
    <w:rsid w:val="00102802"/>
    <w:rsid w:val="00103D87"/>
    <w:rsid w:val="001043AD"/>
    <w:rsid w:val="001043B5"/>
    <w:rsid w:val="00104E3F"/>
    <w:rsid w:val="00104F60"/>
    <w:rsid w:val="00105351"/>
    <w:rsid w:val="00105411"/>
    <w:rsid w:val="001063B1"/>
    <w:rsid w:val="00106795"/>
    <w:rsid w:val="00111A90"/>
    <w:rsid w:val="00111EE7"/>
    <w:rsid w:val="0011267B"/>
    <w:rsid w:val="00112ADD"/>
    <w:rsid w:val="00114680"/>
    <w:rsid w:val="00116160"/>
    <w:rsid w:val="00116F72"/>
    <w:rsid w:val="001174EC"/>
    <w:rsid w:val="00117F5F"/>
    <w:rsid w:val="0012143F"/>
    <w:rsid w:val="00121797"/>
    <w:rsid w:val="00121852"/>
    <w:rsid w:val="00122389"/>
    <w:rsid w:val="0012274B"/>
    <w:rsid w:val="0012313B"/>
    <w:rsid w:val="0012358F"/>
    <w:rsid w:val="001255F1"/>
    <w:rsid w:val="001272F9"/>
    <w:rsid w:val="0013038E"/>
    <w:rsid w:val="00130616"/>
    <w:rsid w:val="00132165"/>
    <w:rsid w:val="001326C4"/>
    <w:rsid w:val="00133D5B"/>
    <w:rsid w:val="00135C04"/>
    <w:rsid w:val="00135FE9"/>
    <w:rsid w:val="001369F9"/>
    <w:rsid w:val="00136CBF"/>
    <w:rsid w:val="001374B7"/>
    <w:rsid w:val="001403DD"/>
    <w:rsid w:val="00141B38"/>
    <w:rsid w:val="001434F1"/>
    <w:rsid w:val="00143DDF"/>
    <w:rsid w:val="00143F78"/>
    <w:rsid w:val="0014556B"/>
    <w:rsid w:val="001460BA"/>
    <w:rsid w:val="00147D04"/>
    <w:rsid w:val="00151FFB"/>
    <w:rsid w:val="00152949"/>
    <w:rsid w:val="00152C37"/>
    <w:rsid w:val="00153A2A"/>
    <w:rsid w:val="00153AD4"/>
    <w:rsid w:val="0015452F"/>
    <w:rsid w:val="00154559"/>
    <w:rsid w:val="00154B9E"/>
    <w:rsid w:val="001557CC"/>
    <w:rsid w:val="00156200"/>
    <w:rsid w:val="00156289"/>
    <w:rsid w:val="00157107"/>
    <w:rsid w:val="00157721"/>
    <w:rsid w:val="0015799B"/>
    <w:rsid w:val="00160257"/>
    <w:rsid w:val="00160A4D"/>
    <w:rsid w:val="00160E42"/>
    <w:rsid w:val="001615DF"/>
    <w:rsid w:val="001631A9"/>
    <w:rsid w:val="00163D1C"/>
    <w:rsid w:val="00164B1F"/>
    <w:rsid w:val="0016536D"/>
    <w:rsid w:val="0016585E"/>
    <w:rsid w:val="001659A8"/>
    <w:rsid w:val="00165E6C"/>
    <w:rsid w:val="00166418"/>
    <w:rsid w:val="001670E9"/>
    <w:rsid w:val="001701FE"/>
    <w:rsid w:val="00170B6E"/>
    <w:rsid w:val="00171F26"/>
    <w:rsid w:val="00172048"/>
    <w:rsid w:val="0017360C"/>
    <w:rsid w:val="0017394B"/>
    <w:rsid w:val="0017402F"/>
    <w:rsid w:val="00175494"/>
    <w:rsid w:val="00176F07"/>
    <w:rsid w:val="00177DF8"/>
    <w:rsid w:val="001803BC"/>
    <w:rsid w:val="00180553"/>
    <w:rsid w:val="00181070"/>
    <w:rsid w:val="00181963"/>
    <w:rsid w:val="00181B27"/>
    <w:rsid w:val="00181D89"/>
    <w:rsid w:val="00183C22"/>
    <w:rsid w:val="001843DA"/>
    <w:rsid w:val="00184696"/>
    <w:rsid w:val="001858E4"/>
    <w:rsid w:val="00185A46"/>
    <w:rsid w:val="00185A61"/>
    <w:rsid w:val="00185B6E"/>
    <w:rsid w:val="00186056"/>
    <w:rsid w:val="001862F3"/>
    <w:rsid w:val="0018683F"/>
    <w:rsid w:val="00191881"/>
    <w:rsid w:val="0019206D"/>
    <w:rsid w:val="001921DF"/>
    <w:rsid w:val="0019326F"/>
    <w:rsid w:val="00195130"/>
    <w:rsid w:val="00195B41"/>
    <w:rsid w:val="00195EAD"/>
    <w:rsid w:val="001967DE"/>
    <w:rsid w:val="00196976"/>
    <w:rsid w:val="00196F6C"/>
    <w:rsid w:val="001A202F"/>
    <w:rsid w:val="001A253D"/>
    <w:rsid w:val="001A2ACE"/>
    <w:rsid w:val="001A4A8A"/>
    <w:rsid w:val="001A4F73"/>
    <w:rsid w:val="001A5C17"/>
    <w:rsid w:val="001A5D02"/>
    <w:rsid w:val="001A7BB1"/>
    <w:rsid w:val="001B01A9"/>
    <w:rsid w:val="001B0448"/>
    <w:rsid w:val="001B0B6E"/>
    <w:rsid w:val="001B0EE9"/>
    <w:rsid w:val="001B0FDD"/>
    <w:rsid w:val="001B1A46"/>
    <w:rsid w:val="001B3C73"/>
    <w:rsid w:val="001B3ECF"/>
    <w:rsid w:val="001B6301"/>
    <w:rsid w:val="001B6370"/>
    <w:rsid w:val="001B6B4D"/>
    <w:rsid w:val="001B729E"/>
    <w:rsid w:val="001C0B5F"/>
    <w:rsid w:val="001C1E65"/>
    <w:rsid w:val="001C1E79"/>
    <w:rsid w:val="001C2F9A"/>
    <w:rsid w:val="001C40C0"/>
    <w:rsid w:val="001C4766"/>
    <w:rsid w:val="001C4872"/>
    <w:rsid w:val="001C4889"/>
    <w:rsid w:val="001C5A08"/>
    <w:rsid w:val="001C5BF2"/>
    <w:rsid w:val="001C60A3"/>
    <w:rsid w:val="001C6371"/>
    <w:rsid w:val="001C6E8C"/>
    <w:rsid w:val="001C7F4C"/>
    <w:rsid w:val="001D19B0"/>
    <w:rsid w:val="001D2B8B"/>
    <w:rsid w:val="001D2F3D"/>
    <w:rsid w:val="001D3E68"/>
    <w:rsid w:val="001D4AA2"/>
    <w:rsid w:val="001D4D9A"/>
    <w:rsid w:val="001D5754"/>
    <w:rsid w:val="001D6032"/>
    <w:rsid w:val="001D6595"/>
    <w:rsid w:val="001D67AB"/>
    <w:rsid w:val="001D69B1"/>
    <w:rsid w:val="001D7486"/>
    <w:rsid w:val="001D7508"/>
    <w:rsid w:val="001E0452"/>
    <w:rsid w:val="001E0881"/>
    <w:rsid w:val="001E1CE1"/>
    <w:rsid w:val="001E1FFA"/>
    <w:rsid w:val="001E201C"/>
    <w:rsid w:val="001E22DE"/>
    <w:rsid w:val="001E2BB3"/>
    <w:rsid w:val="001E3F2A"/>
    <w:rsid w:val="001E400C"/>
    <w:rsid w:val="001E46CF"/>
    <w:rsid w:val="001E5EC1"/>
    <w:rsid w:val="001E608E"/>
    <w:rsid w:val="001E6095"/>
    <w:rsid w:val="001E7CF1"/>
    <w:rsid w:val="001F00BB"/>
    <w:rsid w:val="001F0444"/>
    <w:rsid w:val="001F1E9A"/>
    <w:rsid w:val="001F2BDF"/>
    <w:rsid w:val="001F2C75"/>
    <w:rsid w:val="001F3493"/>
    <w:rsid w:val="001F4AAB"/>
    <w:rsid w:val="001F4EA8"/>
    <w:rsid w:val="001F5375"/>
    <w:rsid w:val="001F6083"/>
    <w:rsid w:val="002006F7"/>
    <w:rsid w:val="00200E13"/>
    <w:rsid w:val="002018CB"/>
    <w:rsid w:val="0020191A"/>
    <w:rsid w:val="00202CFB"/>
    <w:rsid w:val="0020381C"/>
    <w:rsid w:val="0020438D"/>
    <w:rsid w:val="00204461"/>
    <w:rsid w:val="0020465C"/>
    <w:rsid w:val="002050E1"/>
    <w:rsid w:val="00205305"/>
    <w:rsid w:val="00205C24"/>
    <w:rsid w:val="00205C91"/>
    <w:rsid w:val="00205ED2"/>
    <w:rsid w:val="00206606"/>
    <w:rsid w:val="00206C45"/>
    <w:rsid w:val="002074F8"/>
    <w:rsid w:val="00210D31"/>
    <w:rsid w:val="00211081"/>
    <w:rsid w:val="00212532"/>
    <w:rsid w:val="00212F9D"/>
    <w:rsid w:val="002146F7"/>
    <w:rsid w:val="00214B05"/>
    <w:rsid w:val="00214E9C"/>
    <w:rsid w:val="0021591A"/>
    <w:rsid w:val="00215C1A"/>
    <w:rsid w:val="00215DC9"/>
    <w:rsid w:val="00216B07"/>
    <w:rsid w:val="00216DF6"/>
    <w:rsid w:val="00216E37"/>
    <w:rsid w:val="00216E5A"/>
    <w:rsid w:val="00217717"/>
    <w:rsid w:val="00220DC1"/>
    <w:rsid w:val="00220DDC"/>
    <w:rsid w:val="002219CA"/>
    <w:rsid w:val="00221EB1"/>
    <w:rsid w:val="0022218F"/>
    <w:rsid w:val="00222E1A"/>
    <w:rsid w:val="0022385A"/>
    <w:rsid w:val="00224396"/>
    <w:rsid w:val="00224762"/>
    <w:rsid w:val="00225EBF"/>
    <w:rsid w:val="00226688"/>
    <w:rsid w:val="00227836"/>
    <w:rsid w:val="00227A2D"/>
    <w:rsid w:val="00230593"/>
    <w:rsid w:val="00232A84"/>
    <w:rsid w:val="0023313B"/>
    <w:rsid w:val="00234920"/>
    <w:rsid w:val="00234C3A"/>
    <w:rsid w:val="0023577A"/>
    <w:rsid w:val="0023606F"/>
    <w:rsid w:val="0023611D"/>
    <w:rsid w:val="002366F1"/>
    <w:rsid w:val="002371CB"/>
    <w:rsid w:val="00237CAA"/>
    <w:rsid w:val="00237EB4"/>
    <w:rsid w:val="0024337C"/>
    <w:rsid w:val="002435AB"/>
    <w:rsid w:val="002438A7"/>
    <w:rsid w:val="0024638C"/>
    <w:rsid w:val="00247BC5"/>
    <w:rsid w:val="00247C70"/>
    <w:rsid w:val="002515CE"/>
    <w:rsid w:val="00252424"/>
    <w:rsid w:val="002532AC"/>
    <w:rsid w:val="002550AB"/>
    <w:rsid w:val="00256451"/>
    <w:rsid w:val="00260E3F"/>
    <w:rsid w:val="00261D36"/>
    <w:rsid w:val="002624EA"/>
    <w:rsid w:val="00262723"/>
    <w:rsid w:val="00262739"/>
    <w:rsid w:val="00262FFC"/>
    <w:rsid w:val="00263080"/>
    <w:rsid w:val="002638D5"/>
    <w:rsid w:val="00263A0A"/>
    <w:rsid w:val="00263C5E"/>
    <w:rsid w:val="002647F5"/>
    <w:rsid w:val="0026644D"/>
    <w:rsid w:val="00267E9F"/>
    <w:rsid w:val="002704D7"/>
    <w:rsid w:val="002711E2"/>
    <w:rsid w:val="002713D0"/>
    <w:rsid w:val="00271F9F"/>
    <w:rsid w:val="00272BB7"/>
    <w:rsid w:val="0027432C"/>
    <w:rsid w:val="00274E1B"/>
    <w:rsid w:val="0027591C"/>
    <w:rsid w:val="00275EE5"/>
    <w:rsid w:val="0027640A"/>
    <w:rsid w:val="00277CE4"/>
    <w:rsid w:val="00280772"/>
    <w:rsid w:val="00280B89"/>
    <w:rsid w:val="00281939"/>
    <w:rsid w:val="00282C19"/>
    <w:rsid w:val="00282F7D"/>
    <w:rsid w:val="00284517"/>
    <w:rsid w:val="0029023B"/>
    <w:rsid w:val="00291FE3"/>
    <w:rsid w:val="00292A9F"/>
    <w:rsid w:val="00293CD2"/>
    <w:rsid w:val="00294809"/>
    <w:rsid w:val="00294823"/>
    <w:rsid w:val="002A0758"/>
    <w:rsid w:val="002A1629"/>
    <w:rsid w:val="002A3F69"/>
    <w:rsid w:val="002A4EDC"/>
    <w:rsid w:val="002A5D78"/>
    <w:rsid w:val="002A612D"/>
    <w:rsid w:val="002A69B7"/>
    <w:rsid w:val="002A6F77"/>
    <w:rsid w:val="002A72B9"/>
    <w:rsid w:val="002A769E"/>
    <w:rsid w:val="002B0711"/>
    <w:rsid w:val="002B0A0F"/>
    <w:rsid w:val="002B169A"/>
    <w:rsid w:val="002B1D35"/>
    <w:rsid w:val="002B4423"/>
    <w:rsid w:val="002B454A"/>
    <w:rsid w:val="002B5735"/>
    <w:rsid w:val="002B5A21"/>
    <w:rsid w:val="002B6641"/>
    <w:rsid w:val="002B7A4D"/>
    <w:rsid w:val="002C02DE"/>
    <w:rsid w:val="002C1019"/>
    <w:rsid w:val="002C2044"/>
    <w:rsid w:val="002C2208"/>
    <w:rsid w:val="002C2CD7"/>
    <w:rsid w:val="002C39FC"/>
    <w:rsid w:val="002C3F9C"/>
    <w:rsid w:val="002C45E2"/>
    <w:rsid w:val="002C488D"/>
    <w:rsid w:val="002C4C3C"/>
    <w:rsid w:val="002C4D3E"/>
    <w:rsid w:val="002C5F59"/>
    <w:rsid w:val="002C606F"/>
    <w:rsid w:val="002D0969"/>
    <w:rsid w:val="002D0E81"/>
    <w:rsid w:val="002D0F32"/>
    <w:rsid w:val="002D2C34"/>
    <w:rsid w:val="002D3430"/>
    <w:rsid w:val="002D350F"/>
    <w:rsid w:val="002D582B"/>
    <w:rsid w:val="002D7CDE"/>
    <w:rsid w:val="002D7F4C"/>
    <w:rsid w:val="002E0C9E"/>
    <w:rsid w:val="002E1EA2"/>
    <w:rsid w:val="002E2C1E"/>
    <w:rsid w:val="002E2E3B"/>
    <w:rsid w:val="002E3951"/>
    <w:rsid w:val="002E3F0D"/>
    <w:rsid w:val="002E5458"/>
    <w:rsid w:val="002F0DC3"/>
    <w:rsid w:val="002F129C"/>
    <w:rsid w:val="002F1586"/>
    <w:rsid w:val="002F1859"/>
    <w:rsid w:val="002F21CE"/>
    <w:rsid w:val="002F2F34"/>
    <w:rsid w:val="002F3156"/>
    <w:rsid w:val="002F3CEA"/>
    <w:rsid w:val="002F501A"/>
    <w:rsid w:val="002F50B0"/>
    <w:rsid w:val="002F5952"/>
    <w:rsid w:val="002F5CBD"/>
    <w:rsid w:val="002F7BD3"/>
    <w:rsid w:val="0030031E"/>
    <w:rsid w:val="003003E3"/>
    <w:rsid w:val="003004E9"/>
    <w:rsid w:val="00300D15"/>
    <w:rsid w:val="00301D2C"/>
    <w:rsid w:val="00301E93"/>
    <w:rsid w:val="003023EA"/>
    <w:rsid w:val="00304D95"/>
    <w:rsid w:val="00304F3A"/>
    <w:rsid w:val="00305D21"/>
    <w:rsid w:val="00306EDE"/>
    <w:rsid w:val="00306F00"/>
    <w:rsid w:val="0030716D"/>
    <w:rsid w:val="00307F15"/>
    <w:rsid w:val="003100A1"/>
    <w:rsid w:val="00310471"/>
    <w:rsid w:val="0031065A"/>
    <w:rsid w:val="00311E3C"/>
    <w:rsid w:val="00312576"/>
    <w:rsid w:val="00312878"/>
    <w:rsid w:val="0031303B"/>
    <w:rsid w:val="0031350B"/>
    <w:rsid w:val="003144C8"/>
    <w:rsid w:val="003146B5"/>
    <w:rsid w:val="00314AD5"/>
    <w:rsid w:val="00316140"/>
    <w:rsid w:val="0031685D"/>
    <w:rsid w:val="00320666"/>
    <w:rsid w:val="003217A3"/>
    <w:rsid w:val="00321B96"/>
    <w:rsid w:val="00322FAE"/>
    <w:rsid w:val="003237C3"/>
    <w:rsid w:val="003248DD"/>
    <w:rsid w:val="00324AA4"/>
    <w:rsid w:val="003255BA"/>
    <w:rsid w:val="00325AE5"/>
    <w:rsid w:val="00326BBB"/>
    <w:rsid w:val="00326FBA"/>
    <w:rsid w:val="00327640"/>
    <w:rsid w:val="00330D11"/>
    <w:rsid w:val="00330E88"/>
    <w:rsid w:val="003323AB"/>
    <w:rsid w:val="00332946"/>
    <w:rsid w:val="00332E3A"/>
    <w:rsid w:val="00333344"/>
    <w:rsid w:val="00333BC7"/>
    <w:rsid w:val="00333C83"/>
    <w:rsid w:val="00334210"/>
    <w:rsid w:val="00335731"/>
    <w:rsid w:val="00337298"/>
    <w:rsid w:val="00340286"/>
    <w:rsid w:val="00340EB5"/>
    <w:rsid w:val="00341E13"/>
    <w:rsid w:val="003423E4"/>
    <w:rsid w:val="00342629"/>
    <w:rsid w:val="00344548"/>
    <w:rsid w:val="00344563"/>
    <w:rsid w:val="00344619"/>
    <w:rsid w:val="00344BA7"/>
    <w:rsid w:val="003452CC"/>
    <w:rsid w:val="003458D5"/>
    <w:rsid w:val="0034641A"/>
    <w:rsid w:val="003467C3"/>
    <w:rsid w:val="00346A73"/>
    <w:rsid w:val="00346E23"/>
    <w:rsid w:val="00347418"/>
    <w:rsid w:val="003479CF"/>
    <w:rsid w:val="00347B3D"/>
    <w:rsid w:val="00351CDF"/>
    <w:rsid w:val="00353706"/>
    <w:rsid w:val="0035557C"/>
    <w:rsid w:val="00355699"/>
    <w:rsid w:val="00356D60"/>
    <w:rsid w:val="00356DF0"/>
    <w:rsid w:val="00357544"/>
    <w:rsid w:val="00360573"/>
    <w:rsid w:val="00360FDA"/>
    <w:rsid w:val="00361DFE"/>
    <w:rsid w:val="0036429B"/>
    <w:rsid w:val="00364B59"/>
    <w:rsid w:val="00365C0C"/>
    <w:rsid w:val="003661AC"/>
    <w:rsid w:val="00370515"/>
    <w:rsid w:val="003716FE"/>
    <w:rsid w:val="00371C9A"/>
    <w:rsid w:val="00371F14"/>
    <w:rsid w:val="003733CF"/>
    <w:rsid w:val="00374199"/>
    <w:rsid w:val="00374952"/>
    <w:rsid w:val="00374B2D"/>
    <w:rsid w:val="00374BBA"/>
    <w:rsid w:val="00375E5C"/>
    <w:rsid w:val="00375FE6"/>
    <w:rsid w:val="00377036"/>
    <w:rsid w:val="00377AE9"/>
    <w:rsid w:val="00380DD3"/>
    <w:rsid w:val="00380DEA"/>
    <w:rsid w:val="003824AC"/>
    <w:rsid w:val="003828D4"/>
    <w:rsid w:val="003831B0"/>
    <w:rsid w:val="00384BCF"/>
    <w:rsid w:val="00384D22"/>
    <w:rsid w:val="003852F7"/>
    <w:rsid w:val="00385365"/>
    <w:rsid w:val="003855D7"/>
    <w:rsid w:val="003857A7"/>
    <w:rsid w:val="003863A2"/>
    <w:rsid w:val="00386540"/>
    <w:rsid w:val="003867B3"/>
    <w:rsid w:val="003869D7"/>
    <w:rsid w:val="003913E1"/>
    <w:rsid w:val="00392F45"/>
    <w:rsid w:val="00393BA0"/>
    <w:rsid w:val="003942CE"/>
    <w:rsid w:val="00394E9F"/>
    <w:rsid w:val="003950A3"/>
    <w:rsid w:val="003961F6"/>
    <w:rsid w:val="003A13FD"/>
    <w:rsid w:val="003A26A5"/>
    <w:rsid w:val="003A2C88"/>
    <w:rsid w:val="003A3782"/>
    <w:rsid w:val="003A4294"/>
    <w:rsid w:val="003A44B2"/>
    <w:rsid w:val="003A4DF7"/>
    <w:rsid w:val="003A60B5"/>
    <w:rsid w:val="003A60B8"/>
    <w:rsid w:val="003B18A0"/>
    <w:rsid w:val="003B2413"/>
    <w:rsid w:val="003B299F"/>
    <w:rsid w:val="003B2C58"/>
    <w:rsid w:val="003B3BCB"/>
    <w:rsid w:val="003B3CB0"/>
    <w:rsid w:val="003B3D18"/>
    <w:rsid w:val="003B47F3"/>
    <w:rsid w:val="003B4F5E"/>
    <w:rsid w:val="003B50DE"/>
    <w:rsid w:val="003B51EB"/>
    <w:rsid w:val="003B56BC"/>
    <w:rsid w:val="003B56D6"/>
    <w:rsid w:val="003B6B0B"/>
    <w:rsid w:val="003C1E71"/>
    <w:rsid w:val="003C2A72"/>
    <w:rsid w:val="003C2C6B"/>
    <w:rsid w:val="003C32B5"/>
    <w:rsid w:val="003C364C"/>
    <w:rsid w:val="003C476F"/>
    <w:rsid w:val="003C581E"/>
    <w:rsid w:val="003C6AFE"/>
    <w:rsid w:val="003C7BE2"/>
    <w:rsid w:val="003D1E88"/>
    <w:rsid w:val="003D275F"/>
    <w:rsid w:val="003D4DA3"/>
    <w:rsid w:val="003D62FA"/>
    <w:rsid w:val="003D6C7F"/>
    <w:rsid w:val="003D7E99"/>
    <w:rsid w:val="003E1D8F"/>
    <w:rsid w:val="003E1FA4"/>
    <w:rsid w:val="003E2338"/>
    <w:rsid w:val="003E4B0A"/>
    <w:rsid w:val="003E555E"/>
    <w:rsid w:val="003E78E5"/>
    <w:rsid w:val="003E7B6B"/>
    <w:rsid w:val="003F1C82"/>
    <w:rsid w:val="003F212F"/>
    <w:rsid w:val="003F2D6D"/>
    <w:rsid w:val="003F3995"/>
    <w:rsid w:val="003F3AF0"/>
    <w:rsid w:val="003F3FAB"/>
    <w:rsid w:val="003F407C"/>
    <w:rsid w:val="003F41E5"/>
    <w:rsid w:val="003F43E4"/>
    <w:rsid w:val="003F4B54"/>
    <w:rsid w:val="003F5432"/>
    <w:rsid w:val="003F65C5"/>
    <w:rsid w:val="003F66F4"/>
    <w:rsid w:val="003F6A8A"/>
    <w:rsid w:val="003F7EF5"/>
    <w:rsid w:val="00400F2A"/>
    <w:rsid w:val="0040125B"/>
    <w:rsid w:val="00402D27"/>
    <w:rsid w:val="00402E94"/>
    <w:rsid w:val="00404B21"/>
    <w:rsid w:val="00405182"/>
    <w:rsid w:val="004054C4"/>
    <w:rsid w:val="00405BF7"/>
    <w:rsid w:val="0040649F"/>
    <w:rsid w:val="0040676C"/>
    <w:rsid w:val="004068D4"/>
    <w:rsid w:val="00410F34"/>
    <w:rsid w:val="0041164D"/>
    <w:rsid w:val="004118F7"/>
    <w:rsid w:val="0041282F"/>
    <w:rsid w:val="0041284C"/>
    <w:rsid w:val="00412DAB"/>
    <w:rsid w:val="004139D8"/>
    <w:rsid w:val="00413B8F"/>
    <w:rsid w:val="00414451"/>
    <w:rsid w:val="0041529C"/>
    <w:rsid w:val="004152B2"/>
    <w:rsid w:val="00415A50"/>
    <w:rsid w:val="004175DD"/>
    <w:rsid w:val="004179D7"/>
    <w:rsid w:val="00417BAD"/>
    <w:rsid w:val="00421CE3"/>
    <w:rsid w:val="00422E32"/>
    <w:rsid w:val="00422E7D"/>
    <w:rsid w:val="00423B23"/>
    <w:rsid w:val="00425080"/>
    <w:rsid w:val="0042758F"/>
    <w:rsid w:val="0043015D"/>
    <w:rsid w:val="0043021D"/>
    <w:rsid w:val="00430D39"/>
    <w:rsid w:val="0043220B"/>
    <w:rsid w:val="00433007"/>
    <w:rsid w:val="0043400D"/>
    <w:rsid w:val="004345A0"/>
    <w:rsid w:val="00434D6D"/>
    <w:rsid w:val="00434D78"/>
    <w:rsid w:val="00434D92"/>
    <w:rsid w:val="004352F2"/>
    <w:rsid w:val="004366F7"/>
    <w:rsid w:val="00436980"/>
    <w:rsid w:val="00436C35"/>
    <w:rsid w:val="0043761C"/>
    <w:rsid w:val="00437A6E"/>
    <w:rsid w:val="00437C34"/>
    <w:rsid w:val="00441C58"/>
    <w:rsid w:val="00441F80"/>
    <w:rsid w:val="0044333E"/>
    <w:rsid w:val="004434B7"/>
    <w:rsid w:val="00443B68"/>
    <w:rsid w:val="004442B2"/>
    <w:rsid w:val="0044513F"/>
    <w:rsid w:val="00445466"/>
    <w:rsid w:val="00445AA4"/>
    <w:rsid w:val="00447527"/>
    <w:rsid w:val="0044783F"/>
    <w:rsid w:val="00452F1A"/>
    <w:rsid w:val="00455023"/>
    <w:rsid w:val="0045503C"/>
    <w:rsid w:val="0045537A"/>
    <w:rsid w:val="004554C8"/>
    <w:rsid w:val="004559A1"/>
    <w:rsid w:val="00455C54"/>
    <w:rsid w:val="0045710C"/>
    <w:rsid w:val="00457F04"/>
    <w:rsid w:val="00460C1E"/>
    <w:rsid w:val="00460CDB"/>
    <w:rsid w:val="004610EE"/>
    <w:rsid w:val="0046130B"/>
    <w:rsid w:val="004616DD"/>
    <w:rsid w:val="00461837"/>
    <w:rsid w:val="0046195B"/>
    <w:rsid w:val="00462875"/>
    <w:rsid w:val="0046323D"/>
    <w:rsid w:val="0046339E"/>
    <w:rsid w:val="00463D29"/>
    <w:rsid w:val="00464E55"/>
    <w:rsid w:val="00466362"/>
    <w:rsid w:val="004677AB"/>
    <w:rsid w:val="00467953"/>
    <w:rsid w:val="00473348"/>
    <w:rsid w:val="00473802"/>
    <w:rsid w:val="004756D4"/>
    <w:rsid w:val="004758C1"/>
    <w:rsid w:val="00475F1A"/>
    <w:rsid w:val="004764EA"/>
    <w:rsid w:val="0048053D"/>
    <w:rsid w:val="00480AB6"/>
    <w:rsid w:val="00480AD0"/>
    <w:rsid w:val="00480EEF"/>
    <w:rsid w:val="0048142A"/>
    <w:rsid w:val="00481724"/>
    <w:rsid w:val="00483483"/>
    <w:rsid w:val="00483B1F"/>
    <w:rsid w:val="004849F1"/>
    <w:rsid w:val="0048542A"/>
    <w:rsid w:val="004865B7"/>
    <w:rsid w:val="0048661E"/>
    <w:rsid w:val="004868E3"/>
    <w:rsid w:val="0048705F"/>
    <w:rsid w:val="00490C85"/>
    <w:rsid w:val="00492272"/>
    <w:rsid w:val="00494E94"/>
    <w:rsid w:val="004958A6"/>
    <w:rsid w:val="004963A7"/>
    <w:rsid w:val="004964C5"/>
    <w:rsid w:val="00496747"/>
    <w:rsid w:val="00496DED"/>
    <w:rsid w:val="004A02A1"/>
    <w:rsid w:val="004A04F2"/>
    <w:rsid w:val="004A175B"/>
    <w:rsid w:val="004A188F"/>
    <w:rsid w:val="004A1A84"/>
    <w:rsid w:val="004A219C"/>
    <w:rsid w:val="004A2789"/>
    <w:rsid w:val="004A3195"/>
    <w:rsid w:val="004A456C"/>
    <w:rsid w:val="004A503E"/>
    <w:rsid w:val="004A522B"/>
    <w:rsid w:val="004A52BC"/>
    <w:rsid w:val="004A5C0C"/>
    <w:rsid w:val="004A647B"/>
    <w:rsid w:val="004A794E"/>
    <w:rsid w:val="004B14D1"/>
    <w:rsid w:val="004B30BA"/>
    <w:rsid w:val="004B3A50"/>
    <w:rsid w:val="004B3CF4"/>
    <w:rsid w:val="004B6385"/>
    <w:rsid w:val="004B6AFB"/>
    <w:rsid w:val="004B769F"/>
    <w:rsid w:val="004C0414"/>
    <w:rsid w:val="004C7ABE"/>
    <w:rsid w:val="004C7CB4"/>
    <w:rsid w:val="004D0111"/>
    <w:rsid w:val="004D0E04"/>
    <w:rsid w:val="004D1EEF"/>
    <w:rsid w:val="004D20F3"/>
    <w:rsid w:val="004D26E3"/>
    <w:rsid w:val="004D2904"/>
    <w:rsid w:val="004D2C74"/>
    <w:rsid w:val="004D39F3"/>
    <w:rsid w:val="004D52DA"/>
    <w:rsid w:val="004D7F83"/>
    <w:rsid w:val="004E0B02"/>
    <w:rsid w:val="004E0E21"/>
    <w:rsid w:val="004E12C6"/>
    <w:rsid w:val="004E1786"/>
    <w:rsid w:val="004E286F"/>
    <w:rsid w:val="004E2952"/>
    <w:rsid w:val="004E34CB"/>
    <w:rsid w:val="004E3644"/>
    <w:rsid w:val="004E4067"/>
    <w:rsid w:val="004E4097"/>
    <w:rsid w:val="004E41F1"/>
    <w:rsid w:val="004E4A65"/>
    <w:rsid w:val="004E533D"/>
    <w:rsid w:val="004E6315"/>
    <w:rsid w:val="004E7551"/>
    <w:rsid w:val="004E75F6"/>
    <w:rsid w:val="004E7793"/>
    <w:rsid w:val="004F0679"/>
    <w:rsid w:val="004F06A2"/>
    <w:rsid w:val="004F1528"/>
    <w:rsid w:val="004F1BF7"/>
    <w:rsid w:val="004F365D"/>
    <w:rsid w:val="004F5F42"/>
    <w:rsid w:val="004F7CA7"/>
    <w:rsid w:val="00500003"/>
    <w:rsid w:val="005041F1"/>
    <w:rsid w:val="005056DF"/>
    <w:rsid w:val="00506680"/>
    <w:rsid w:val="00507869"/>
    <w:rsid w:val="00507DA2"/>
    <w:rsid w:val="00507DB1"/>
    <w:rsid w:val="00510733"/>
    <w:rsid w:val="0051126D"/>
    <w:rsid w:val="00511346"/>
    <w:rsid w:val="00511867"/>
    <w:rsid w:val="00512DD8"/>
    <w:rsid w:val="0051496B"/>
    <w:rsid w:val="00516C09"/>
    <w:rsid w:val="005174EB"/>
    <w:rsid w:val="00520CF4"/>
    <w:rsid w:val="00520E6B"/>
    <w:rsid w:val="00521F0F"/>
    <w:rsid w:val="0052210A"/>
    <w:rsid w:val="005221AF"/>
    <w:rsid w:val="00522C95"/>
    <w:rsid w:val="005235C8"/>
    <w:rsid w:val="00524235"/>
    <w:rsid w:val="00524BC0"/>
    <w:rsid w:val="005263AF"/>
    <w:rsid w:val="00526A8B"/>
    <w:rsid w:val="005301A1"/>
    <w:rsid w:val="00530545"/>
    <w:rsid w:val="00530AD7"/>
    <w:rsid w:val="00530F62"/>
    <w:rsid w:val="00531568"/>
    <w:rsid w:val="00532E88"/>
    <w:rsid w:val="00533330"/>
    <w:rsid w:val="005343ED"/>
    <w:rsid w:val="005345AD"/>
    <w:rsid w:val="005346CA"/>
    <w:rsid w:val="005356C7"/>
    <w:rsid w:val="005356F8"/>
    <w:rsid w:val="00535E54"/>
    <w:rsid w:val="00536151"/>
    <w:rsid w:val="0054006F"/>
    <w:rsid w:val="005401AA"/>
    <w:rsid w:val="0054171C"/>
    <w:rsid w:val="00541761"/>
    <w:rsid w:val="0054256E"/>
    <w:rsid w:val="00542BB6"/>
    <w:rsid w:val="0054545E"/>
    <w:rsid w:val="0054591D"/>
    <w:rsid w:val="00546081"/>
    <w:rsid w:val="00546A9C"/>
    <w:rsid w:val="00546F6C"/>
    <w:rsid w:val="00546F91"/>
    <w:rsid w:val="00550901"/>
    <w:rsid w:val="005509FF"/>
    <w:rsid w:val="00551899"/>
    <w:rsid w:val="00551D6F"/>
    <w:rsid w:val="00551D97"/>
    <w:rsid w:val="00552A50"/>
    <w:rsid w:val="00552E4E"/>
    <w:rsid w:val="00553B49"/>
    <w:rsid w:val="00554262"/>
    <w:rsid w:val="005544CC"/>
    <w:rsid w:val="00554B95"/>
    <w:rsid w:val="00556446"/>
    <w:rsid w:val="00556987"/>
    <w:rsid w:val="00556D8E"/>
    <w:rsid w:val="0056031A"/>
    <w:rsid w:val="00560C17"/>
    <w:rsid w:val="0056219D"/>
    <w:rsid w:val="00564CE8"/>
    <w:rsid w:val="00565757"/>
    <w:rsid w:val="00567313"/>
    <w:rsid w:val="00567916"/>
    <w:rsid w:val="00570E07"/>
    <w:rsid w:val="00571DFF"/>
    <w:rsid w:val="00573448"/>
    <w:rsid w:val="00575763"/>
    <w:rsid w:val="00576D11"/>
    <w:rsid w:val="00576E3B"/>
    <w:rsid w:val="005775F0"/>
    <w:rsid w:val="0058043C"/>
    <w:rsid w:val="0058057E"/>
    <w:rsid w:val="00581636"/>
    <w:rsid w:val="0058347D"/>
    <w:rsid w:val="00584E26"/>
    <w:rsid w:val="00586140"/>
    <w:rsid w:val="0058657E"/>
    <w:rsid w:val="00586D55"/>
    <w:rsid w:val="00586DFD"/>
    <w:rsid w:val="00586E93"/>
    <w:rsid w:val="0058761D"/>
    <w:rsid w:val="0059111E"/>
    <w:rsid w:val="005914B8"/>
    <w:rsid w:val="00591531"/>
    <w:rsid w:val="0059268F"/>
    <w:rsid w:val="00592CA4"/>
    <w:rsid w:val="00592CA6"/>
    <w:rsid w:val="005937E9"/>
    <w:rsid w:val="005941F7"/>
    <w:rsid w:val="0059699D"/>
    <w:rsid w:val="00596D03"/>
    <w:rsid w:val="00597A72"/>
    <w:rsid w:val="00597DDA"/>
    <w:rsid w:val="005A04A0"/>
    <w:rsid w:val="005A1C47"/>
    <w:rsid w:val="005A1DB7"/>
    <w:rsid w:val="005A27E0"/>
    <w:rsid w:val="005A3A8F"/>
    <w:rsid w:val="005A4875"/>
    <w:rsid w:val="005A4CD4"/>
    <w:rsid w:val="005A593B"/>
    <w:rsid w:val="005A5BEE"/>
    <w:rsid w:val="005A6055"/>
    <w:rsid w:val="005A6171"/>
    <w:rsid w:val="005A6EB7"/>
    <w:rsid w:val="005A7BBE"/>
    <w:rsid w:val="005A7F4A"/>
    <w:rsid w:val="005B090B"/>
    <w:rsid w:val="005B0BEB"/>
    <w:rsid w:val="005B1074"/>
    <w:rsid w:val="005B2185"/>
    <w:rsid w:val="005B234E"/>
    <w:rsid w:val="005B2AA6"/>
    <w:rsid w:val="005B30D2"/>
    <w:rsid w:val="005B5B94"/>
    <w:rsid w:val="005B6413"/>
    <w:rsid w:val="005B68BE"/>
    <w:rsid w:val="005B7974"/>
    <w:rsid w:val="005C03D4"/>
    <w:rsid w:val="005C059C"/>
    <w:rsid w:val="005C1175"/>
    <w:rsid w:val="005C142C"/>
    <w:rsid w:val="005C1F04"/>
    <w:rsid w:val="005C2261"/>
    <w:rsid w:val="005C4BDB"/>
    <w:rsid w:val="005C50C7"/>
    <w:rsid w:val="005C585C"/>
    <w:rsid w:val="005C6F36"/>
    <w:rsid w:val="005C76F2"/>
    <w:rsid w:val="005D0389"/>
    <w:rsid w:val="005D0797"/>
    <w:rsid w:val="005D0D12"/>
    <w:rsid w:val="005D1ABC"/>
    <w:rsid w:val="005D1F39"/>
    <w:rsid w:val="005D354F"/>
    <w:rsid w:val="005D3666"/>
    <w:rsid w:val="005D3738"/>
    <w:rsid w:val="005D37C1"/>
    <w:rsid w:val="005D3D5D"/>
    <w:rsid w:val="005D430F"/>
    <w:rsid w:val="005D6A65"/>
    <w:rsid w:val="005D6F90"/>
    <w:rsid w:val="005E05DF"/>
    <w:rsid w:val="005E081E"/>
    <w:rsid w:val="005E0BC3"/>
    <w:rsid w:val="005E14B5"/>
    <w:rsid w:val="005E167B"/>
    <w:rsid w:val="005E2EA1"/>
    <w:rsid w:val="005E4E66"/>
    <w:rsid w:val="005E60CE"/>
    <w:rsid w:val="005E67ED"/>
    <w:rsid w:val="005E692A"/>
    <w:rsid w:val="005E7A78"/>
    <w:rsid w:val="005E7B74"/>
    <w:rsid w:val="005E7D80"/>
    <w:rsid w:val="005F00EC"/>
    <w:rsid w:val="005F09C3"/>
    <w:rsid w:val="005F1A3B"/>
    <w:rsid w:val="005F1E23"/>
    <w:rsid w:val="005F2E0F"/>
    <w:rsid w:val="005F2ECE"/>
    <w:rsid w:val="005F3F43"/>
    <w:rsid w:val="005F4B09"/>
    <w:rsid w:val="005F56F8"/>
    <w:rsid w:val="005F6097"/>
    <w:rsid w:val="005F7BA1"/>
    <w:rsid w:val="006000AA"/>
    <w:rsid w:val="006005F1"/>
    <w:rsid w:val="00600A89"/>
    <w:rsid w:val="00601AC1"/>
    <w:rsid w:val="006020A0"/>
    <w:rsid w:val="0060223D"/>
    <w:rsid w:val="006036CA"/>
    <w:rsid w:val="00603A44"/>
    <w:rsid w:val="0060496D"/>
    <w:rsid w:val="00607243"/>
    <w:rsid w:val="0061003D"/>
    <w:rsid w:val="00610C27"/>
    <w:rsid w:val="00611EEB"/>
    <w:rsid w:val="00612155"/>
    <w:rsid w:val="0061222D"/>
    <w:rsid w:val="00612721"/>
    <w:rsid w:val="00613F48"/>
    <w:rsid w:val="00614852"/>
    <w:rsid w:val="006148FB"/>
    <w:rsid w:val="006150D3"/>
    <w:rsid w:val="00615242"/>
    <w:rsid w:val="00615973"/>
    <w:rsid w:val="00616354"/>
    <w:rsid w:val="00616481"/>
    <w:rsid w:val="006165CE"/>
    <w:rsid w:val="0061694B"/>
    <w:rsid w:val="0061787E"/>
    <w:rsid w:val="00617905"/>
    <w:rsid w:val="006206D4"/>
    <w:rsid w:val="00620CAD"/>
    <w:rsid w:val="00621AD9"/>
    <w:rsid w:val="006221A4"/>
    <w:rsid w:val="006227BD"/>
    <w:rsid w:val="00622823"/>
    <w:rsid w:val="00624EB4"/>
    <w:rsid w:val="006253B4"/>
    <w:rsid w:val="00626A6B"/>
    <w:rsid w:val="00626C48"/>
    <w:rsid w:val="00626D3B"/>
    <w:rsid w:val="0062795D"/>
    <w:rsid w:val="006300DC"/>
    <w:rsid w:val="00631631"/>
    <w:rsid w:val="006328B9"/>
    <w:rsid w:val="00633443"/>
    <w:rsid w:val="00634471"/>
    <w:rsid w:val="0063478E"/>
    <w:rsid w:val="00634F5C"/>
    <w:rsid w:val="006364D4"/>
    <w:rsid w:val="00637BC2"/>
    <w:rsid w:val="00637C66"/>
    <w:rsid w:val="00637DF5"/>
    <w:rsid w:val="006400B4"/>
    <w:rsid w:val="00640240"/>
    <w:rsid w:val="006403E3"/>
    <w:rsid w:val="00640879"/>
    <w:rsid w:val="00640A55"/>
    <w:rsid w:val="00641A3E"/>
    <w:rsid w:val="00641AC4"/>
    <w:rsid w:val="00641CF8"/>
    <w:rsid w:val="00642BE1"/>
    <w:rsid w:val="006456BE"/>
    <w:rsid w:val="0064581E"/>
    <w:rsid w:val="00645F14"/>
    <w:rsid w:val="00646591"/>
    <w:rsid w:val="0064667B"/>
    <w:rsid w:val="00646BC7"/>
    <w:rsid w:val="00647141"/>
    <w:rsid w:val="006471CA"/>
    <w:rsid w:val="00647679"/>
    <w:rsid w:val="00650946"/>
    <w:rsid w:val="00652833"/>
    <w:rsid w:val="00653232"/>
    <w:rsid w:val="00653C35"/>
    <w:rsid w:val="00653E48"/>
    <w:rsid w:val="006546C7"/>
    <w:rsid w:val="00654F7D"/>
    <w:rsid w:val="00655847"/>
    <w:rsid w:val="00655942"/>
    <w:rsid w:val="00656414"/>
    <w:rsid w:val="00657437"/>
    <w:rsid w:val="006576EC"/>
    <w:rsid w:val="00657AFC"/>
    <w:rsid w:val="00657BA0"/>
    <w:rsid w:val="00657C3B"/>
    <w:rsid w:val="00661276"/>
    <w:rsid w:val="0066292D"/>
    <w:rsid w:val="00662EBB"/>
    <w:rsid w:val="00664362"/>
    <w:rsid w:val="00664794"/>
    <w:rsid w:val="006678C7"/>
    <w:rsid w:val="00670C57"/>
    <w:rsid w:val="0067122D"/>
    <w:rsid w:val="00672D23"/>
    <w:rsid w:val="00672DAF"/>
    <w:rsid w:val="0067354F"/>
    <w:rsid w:val="00674611"/>
    <w:rsid w:val="00674DA4"/>
    <w:rsid w:val="00675945"/>
    <w:rsid w:val="006759EF"/>
    <w:rsid w:val="006769E5"/>
    <w:rsid w:val="006776F3"/>
    <w:rsid w:val="00677A9A"/>
    <w:rsid w:val="0068049C"/>
    <w:rsid w:val="0068175E"/>
    <w:rsid w:val="006827CA"/>
    <w:rsid w:val="00682CCA"/>
    <w:rsid w:val="00683A51"/>
    <w:rsid w:val="006848EF"/>
    <w:rsid w:val="00684918"/>
    <w:rsid w:val="00686119"/>
    <w:rsid w:val="006867B0"/>
    <w:rsid w:val="0068762E"/>
    <w:rsid w:val="00687C4D"/>
    <w:rsid w:val="006906B6"/>
    <w:rsid w:val="0069477B"/>
    <w:rsid w:val="00696814"/>
    <w:rsid w:val="00696B4B"/>
    <w:rsid w:val="00696E69"/>
    <w:rsid w:val="00697519"/>
    <w:rsid w:val="006A0083"/>
    <w:rsid w:val="006A1CF6"/>
    <w:rsid w:val="006A2282"/>
    <w:rsid w:val="006A281E"/>
    <w:rsid w:val="006A2E1B"/>
    <w:rsid w:val="006A3673"/>
    <w:rsid w:val="006A3972"/>
    <w:rsid w:val="006A4341"/>
    <w:rsid w:val="006A4614"/>
    <w:rsid w:val="006A54D4"/>
    <w:rsid w:val="006A5DEB"/>
    <w:rsid w:val="006A6B08"/>
    <w:rsid w:val="006A6E81"/>
    <w:rsid w:val="006A6EA0"/>
    <w:rsid w:val="006B0587"/>
    <w:rsid w:val="006B0B2C"/>
    <w:rsid w:val="006B268C"/>
    <w:rsid w:val="006B27AE"/>
    <w:rsid w:val="006B2ADE"/>
    <w:rsid w:val="006B340A"/>
    <w:rsid w:val="006B4610"/>
    <w:rsid w:val="006B4B19"/>
    <w:rsid w:val="006B50C5"/>
    <w:rsid w:val="006B683E"/>
    <w:rsid w:val="006B7568"/>
    <w:rsid w:val="006C0959"/>
    <w:rsid w:val="006C0A53"/>
    <w:rsid w:val="006C1E93"/>
    <w:rsid w:val="006C3480"/>
    <w:rsid w:val="006C3957"/>
    <w:rsid w:val="006C4148"/>
    <w:rsid w:val="006C4889"/>
    <w:rsid w:val="006C4F6E"/>
    <w:rsid w:val="006C5043"/>
    <w:rsid w:val="006C5118"/>
    <w:rsid w:val="006C5248"/>
    <w:rsid w:val="006C5A52"/>
    <w:rsid w:val="006C6D5F"/>
    <w:rsid w:val="006C729E"/>
    <w:rsid w:val="006C7C1A"/>
    <w:rsid w:val="006D21C3"/>
    <w:rsid w:val="006D2221"/>
    <w:rsid w:val="006D24A1"/>
    <w:rsid w:val="006D29DD"/>
    <w:rsid w:val="006D33A9"/>
    <w:rsid w:val="006D39DC"/>
    <w:rsid w:val="006D421C"/>
    <w:rsid w:val="006D4D99"/>
    <w:rsid w:val="006D513A"/>
    <w:rsid w:val="006D52DB"/>
    <w:rsid w:val="006D5BB3"/>
    <w:rsid w:val="006D5D90"/>
    <w:rsid w:val="006E1577"/>
    <w:rsid w:val="006E18F2"/>
    <w:rsid w:val="006E2993"/>
    <w:rsid w:val="006E61D7"/>
    <w:rsid w:val="006E749B"/>
    <w:rsid w:val="006E78A0"/>
    <w:rsid w:val="006F01F6"/>
    <w:rsid w:val="006F066B"/>
    <w:rsid w:val="006F0D59"/>
    <w:rsid w:val="006F11F6"/>
    <w:rsid w:val="006F2F24"/>
    <w:rsid w:val="006F5002"/>
    <w:rsid w:val="006F5401"/>
    <w:rsid w:val="006F6CF0"/>
    <w:rsid w:val="006F72D0"/>
    <w:rsid w:val="006F7A85"/>
    <w:rsid w:val="006F7DFF"/>
    <w:rsid w:val="00700D7C"/>
    <w:rsid w:val="007024B5"/>
    <w:rsid w:val="00703129"/>
    <w:rsid w:val="007035E8"/>
    <w:rsid w:val="007036C1"/>
    <w:rsid w:val="00703863"/>
    <w:rsid w:val="00705A7C"/>
    <w:rsid w:val="00707019"/>
    <w:rsid w:val="0070782A"/>
    <w:rsid w:val="00710070"/>
    <w:rsid w:val="00711022"/>
    <w:rsid w:val="007115AC"/>
    <w:rsid w:val="007122A1"/>
    <w:rsid w:val="007124A7"/>
    <w:rsid w:val="007129FF"/>
    <w:rsid w:val="00712BDA"/>
    <w:rsid w:val="007138F3"/>
    <w:rsid w:val="0071414C"/>
    <w:rsid w:val="0071547D"/>
    <w:rsid w:val="00715B53"/>
    <w:rsid w:val="007169ED"/>
    <w:rsid w:val="00720336"/>
    <w:rsid w:val="007203B7"/>
    <w:rsid w:val="00720414"/>
    <w:rsid w:val="0072057A"/>
    <w:rsid w:val="0072171C"/>
    <w:rsid w:val="007236A2"/>
    <w:rsid w:val="007252BF"/>
    <w:rsid w:val="00725DBF"/>
    <w:rsid w:val="00726A12"/>
    <w:rsid w:val="00726C7C"/>
    <w:rsid w:val="0072746A"/>
    <w:rsid w:val="007315F7"/>
    <w:rsid w:val="00732573"/>
    <w:rsid w:val="007329E0"/>
    <w:rsid w:val="00733510"/>
    <w:rsid w:val="00733ECA"/>
    <w:rsid w:val="00734DAA"/>
    <w:rsid w:val="00736116"/>
    <w:rsid w:val="00740B4C"/>
    <w:rsid w:val="00741134"/>
    <w:rsid w:val="00741372"/>
    <w:rsid w:val="00742572"/>
    <w:rsid w:val="007448C3"/>
    <w:rsid w:val="00745347"/>
    <w:rsid w:val="007478BA"/>
    <w:rsid w:val="00750966"/>
    <w:rsid w:val="00750F3B"/>
    <w:rsid w:val="00751FB3"/>
    <w:rsid w:val="0075213A"/>
    <w:rsid w:val="00752142"/>
    <w:rsid w:val="00753618"/>
    <w:rsid w:val="0075470E"/>
    <w:rsid w:val="00754F68"/>
    <w:rsid w:val="00755F84"/>
    <w:rsid w:val="00756CD7"/>
    <w:rsid w:val="00756D39"/>
    <w:rsid w:val="007618F3"/>
    <w:rsid w:val="0076190D"/>
    <w:rsid w:val="00762A92"/>
    <w:rsid w:val="00763030"/>
    <w:rsid w:val="00763947"/>
    <w:rsid w:val="007647C1"/>
    <w:rsid w:val="00764FD4"/>
    <w:rsid w:val="007655FD"/>
    <w:rsid w:val="00766256"/>
    <w:rsid w:val="00771D92"/>
    <w:rsid w:val="007730C0"/>
    <w:rsid w:val="00773177"/>
    <w:rsid w:val="0077344A"/>
    <w:rsid w:val="00774ADB"/>
    <w:rsid w:val="007751BE"/>
    <w:rsid w:val="00775A1E"/>
    <w:rsid w:val="00777C75"/>
    <w:rsid w:val="00777EC8"/>
    <w:rsid w:val="007801C4"/>
    <w:rsid w:val="00780747"/>
    <w:rsid w:val="00780844"/>
    <w:rsid w:val="00780AA5"/>
    <w:rsid w:val="00780B49"/>
    <w:rsid w:val="00782540"/>
    <w:rsid w:val="0078290B"/>
    <w:rsid w:val="00782DF3"/>
    <w:rsid w:val="00782FD9"/>
    <w:rsid w:val="00783E70"/>
    <w:rsid w:val="00783FD9"/>
    <w:rsid w:val="00784549"/>
    <w:rsid w:val="00785C79"/>
    <w:rsid w:val="00787664"/>
    <w:rsid w:val="00787EAC"/>
    <w:rsid w:val="00790256"/>
    <w:rsid w:val="007915B5"/>
    <w:rsid w:val="00792491"/>
    <w:rsid w:val="00793913"/>
    <w:rsid w:val="0079449C"/>
    <w:rsid w:val="00797BC0"/>
    <w:rsid w:val="00797F5A"/>
    <w:rsid w:val="007A0005"/>
    <w:rsid w:val="007A0653"/>
    <w:rsid w:val="007A25D8"/>
    <w:rsid w:val="007A26B9"/>
    <w:rsid w:val="007A26F4"/>
    <w:rsid w:val="007A3316"/>
    <w:rsid w:val="007A342C"/>
    <w:rsid w:val="007A3603"/>
    <w:rsid w:val="007A3A07"/>
    <w:rsid w:val="007A4253"/>
    <w:rsid w:val="007A572A"/>
    <w:rsid w:val="007A6DE6"/>
    <w:rsid w:val="007A7262"/>
    <w:rsid w:val="007A7CFC"/>
    <w:rsid w:val="007A7F73"/>
    <w:rsid w:val="007B0064"/>
    <w:rsid w:val="007B01E2"/>
    <w:rsid w:val="007B1871"/>
    <w:rsid w:val="007B2E11"/>
    <w:rsid w:val="007B5231"/>
    <w:rsid w:val="007B55E1"/>
    <w:rsid w:val="007B5EE2"/>
    <w:rsid w:val="007C0999"/>
    <w:rsid w:val="007C0DC9"/>
    <w:rsid w:val="007C16C8"/>
    <w:rsid w:val="007C16F0"/>
    <w:rsid w:val="007C1EEC"/>
    <w:rsid w:val="007C20A9"/>
    <w:rsid w:val="007C29B9"/>
    <w:rsid w:val="007C3129"/>
    <w:rsid w:val="007C3DCB"/>
    <w:rsid w:val="007C4A70"/>
    <w:rsid w:val="007C4D73"/>
    <w:rsid w:val="007C4F31"/>
    <w:rsid w:val="007C6198"/>
    <w:rsid w:val="007C6259"/>
    <w:rsid w:val="007C6303"/>
    <w:rsid w:val="007C7996"/>
    <w:rsid w:val="007D2579"/>
    <w:rsid w:val="007D3329"/>
    <w:rsid w:val="007D4380"/>
    <w:rsid w:val="007D58A1"/>
    <w:rsid w:val="007D6394"/>
    <w:rsid w:val="007D73E8"/>
    <w:rsid w:val="007D7612"/>
    <w:rsid w:val="007D7F90"/>
    <w:rsid w:val="007E092B"/>
    <w:rsid w:val="007E0A48"/>
    <w:rsid w:val="007E17B1"/>
    <w:rsid w:val="007E2FFA"/>
    <w:rsid w:val="007E5261"/>
    <w:rsid w:val="007E57E7"/>
    <w:rsid w:val="007E5F99"/>
    <w:rsid w:val="007E64B5"/>
    <w:rsid w:val="007E6CDF"/>
    <w:rsid w:val="007E7333"/>
    <w:rsid w:val="007E7749"/>
    <w:rsid w:val="007F0AA4"/>
    <w:rsid w:val="007F0E1A"/>
    <w:rsid w:val="007F1556"/>
    <w:rsid w:val="007F1E07"/>
    <w:rsid w:val="007F20D0"/>
    <w:rsid w:val="007F22A5"/>
    <w:rsid w:val="007F22B1"/>
    <w:rsid w:val="007F2959"/>
    <w:rsid w:val="007F3D64"/>
    <w:rsid w:val="007F4D52"/>
    <w:rsid w:val="007F551E"/>
    <w:rsid w:val="007F5BD2"/>
    <w:rsid w:val="007F5CE1"/>
    <w:rsid w:val="007F724C"/>
    <w:rsid w:val="007F7876"/>
    <w:rsid w:val="00800A92"/>
    <w:rsid w:val="00800B3C"/>
    <w:rsid w:val="00801BCF"/>
    <w:rsid w:val="00802838"/>
    <w:rsid w:val="00802A3E"/>
    <w:rsid w:val="008039B3"/>
    <w:rsid w:val="00803AA5"/>
    <w:rsid w:val="008046BD"/>
    <w:rsid w:val="00804BD8"/>
    <w:rsid w:val="00804D7A"/>
    <w:rsid w:val="00805F76"/>
    <w:rsid w:val="008065A0"/>
    <w:rsid w:val="00807411"/>
    <w:rsid w:val="008102F9"/>
    <w:rsid w:val="00811A22"/>
    <w:rsid w:val="008120A7"/>
    <w:rsid w:val="008122CE"/>
    <w:rsid w:val="00812F7E"/>
    <w:rsid w:val="0081307B"/>
    <w:rsid w:val="0081322D"/>
    <w:rsid w:val="008138F7"/>
    <w:rsid w:val="008148DF"/>
    <w:rsid w:val="00814AF7"/>
    <w:rsid w:val="00815066"/>
    <w:rsid w:val="008153C3"/>
    <w:rsid w:val="00815F37"/>
    <w:rsid w:val="008166AE"/>
    <w:rsid w:val="00816B0F"/>
    <w:rsid w:val="00816BEA"/>
    <w:rsid w:val="00816DC3"/>
    <w:rsid w:val="00817044"/>
    <w:rsid w:val="0082036D"/>
    <w:rsid w:val="00820D13"/>
    <w:rsid w:val="00821956"/>
    <w:rsid w:val="008223BC"/>
    <w:rsid w:val="008223E8"/>
    <w:rsid w:val="00822B6D"/>
    <w:rsid w:val="00822D66"/>
    <w:rsid w:val="0082362B"/>
    <w:rsid w:val="00823926"/>
    <w:rsid w:val="008243D1"/>
    <w:rsid w:val="00824828"/>
    <w:rsid w:val="008259D9"/>
    <w:rsid w:val="0082611E"/>
    <w:rsid w:val="008342C2"/>
    <w:rsid w:val="00837723"/>
    <w:rsid w:val="00837AEE"/>
    <w:rsid w:val="00840933"/>
    <w:rsid w:val="00840E55"/>
    <w:rsid w:val="00840F84"/>
    <w:rsid w:val="008415AE"/>
    <w:rsid w:val="00842545"/>
    <w:rsid w:val="00842DE1"/>
    <w:rsid w:val="008432AA"/>
    <w:rsid w:val="008436E6"/>
    <w:rsid w:val="00843A85"/>
    <w:rsid w:val="00844831"/>
    <w:rsid w:val="00845C50"/>
    <w:rsid w:val="0084636A"/>
    <w:rsid w:val="00846894"/>
    <w:rsid w:val="00846897"/>
    <w:rsid w:val="008470FE"/>
    <w:rsid w:val="00847C47"/>
    <w:rsid w:val="00851501"/>
    <w:rsid w:val="008541E6"/>
    <w:rsid w:val="008545DC"/>
    <w:rsid w:val="00854B14"/>
    <w:rsid w:val="0085570C"/>
    <w:rsid w:val="008562A1"/>
    <w:rsid w:val="00856DCC"/>
    <w:rsid w:val="00856FD7"/>
    <w:rsid w:val="0085728C"/>
    <w:rsid w:val="00857495"/>
    <w:rsid w:val="008600DE"/>
    <w:rsid w:val="008606EA"/>
    <w:rsid w:val="00860BB1"/>
    <w:rsid w:val="00862675"/>
    <w:rsid w:val="00862811"/>
    <w:rsid w:val="00862D35"/>
    <w:rsid w:val="0086368F"/>
    <w:rsid w:val="00864A5A"/>
    <w:rsid w:val="0086511D"/>
    <w:rsid w:val="008654D9"/>
    <w:rsid w:val="00865635"/>
    <w:rsid w:val="00865B24"/>
    <w:rsid w:val="008667B4"/>
    <w:rsid w:val="0086722F"/>
    <w:rsid w:val="00870D6B"/>
    <w:rsid w:val="00871C42"/>
    <w:rsid w:val="00871DA8"/>
    <w:rsid w:val="00872F6D"/>
    <w:rsid w:val="00873923"/>
    <w:rsid w:val="00873C6E"/>
    <w:rsid w:val="0087428A"/>
    <w:rsid w:val="008758B0"/>
    <w:rsid w:val="00875E2A"/>
    <w:rsid w:val="00876A21"/>
    <w:rsid w:val="00877086"/>
    <w:rsid w:val="00877520"/>
    <w:rsid w:val="008777F9"/>
    <w:rsid w:val="008778BE"/>
    <w:rsid w:val="00877FD0"/>
    <w:rsid w:val="0088054E"/>
    <w:rsid w:val="008827FB"/>
    <w:rsid w:val="0088345A"/>
    <w:rsid w:val="00883803"/>
    <w:rsid w:val="00883941"/>
    <w:rsid w:val="00884D96"/>
    <w:rsid w:val="008856DB"/>
    <w:rsid w:val="00885B6C"/>
    <w:rsid w:val="00887D72"/>
    <w:rsid w:val="008903AE"/>
    <w:rsid w:val="008909A9"/>
    <w:rsid w:val="00891CCD"/>
    <w:rsid w:val="00893489"/>
    <w:rsid w:val="00893722"/>
    <w:rsid w:val="00893B47"/>
    <w:rsid w:val="0089403C"/>
    <w:rsid w:val="00895732"/>
    <w:rsid w:val="00895F05"/>
    <w:rsid w:val="008967DE"/>
    <w:rsid w:val="00896846"/>
    <w:rsid w:val="008A142B"/>
    <w:rsid w:val="008A2F73"/>
    <w:rsid w:val="008A4AC4"/>
    <w:rsid w:val="008A4F48"/>
    <w:rsid w:val="008A51A0"/>
    <w:rsid w:val="008A6316"/>
    <w:rsid w:val="008A63FF"/>
    <w:rsid w:val="008A6408"/>
    <w:rsid w:val="008A64F4"/>
    <w:rsid w:val="008A6C43"/>
    <w:rsid w:val="008A7DE5"/>
    <w:rsid w:val="008A7E43"/>
    <w:rsid w:val="008B0B30"/>
    <w:rsid w:val="008B1CF2"/>
    <w:rsid w:val="008B1D19"/>
    <w:rsid w:val="008B2155"/>
    <w:rsid w:val="008B2301"/>
    <w:rsid w:val="008B4717"/>
    <w:rsid w:val="008B487A"/>
    <w:rsid w:val="008B58E5"/>
    <w:rsid w:val="008B5F6A"/>
    <w:rsid w:val="008C0087"/>
    <w:rsid w:val="008C0437"/>
    <w:rsid w:val="008C0E04"/>
    <w:rsid w:val="008C0E5A"/>
    <w:rsid w:val="008C1F87"/>
    <w:rsid w:val="008C2D71"/>
    <w:rsid w:val="008C4E93"/>
    <w:rsid w:val="008C601B"/>
    <w:rsid w:val="008C7024"/>
    <w:rsid w:val="008C75DD"/>
    <w:rsid w:val="008C7AD2"/>
    <w:rsid w:val="008C7C32"/>
    <w:rsid w:val="008D02D6"/>
    <w:rsid w:val="008D04BA"/>
    <w:rsid w:val="008D0564"/>
    <w:rsid w:val="008D0AEE"/>
    <w:rsid w:val="008D1614"/>
    <w:rsid w:val="008D1693"/>
    <w:rsid w:val="008D255A"/>
    <w:rsid w:val="008D281E"/>
    <w:rsid w:val="008D425D"/>
    <w:rsid w:val="008D6911"/>
    <w:rsid w:val="008D7189"/>
    <w:rsid w:val="008D76AF"/>
    <w:rsid w:val="008E0263"/>
    <w:rsid w:val="008E1455"/>
    <w:rsid w:val="008E1899"/>
    <w:rsid w:val="008E2005"/>
    <w:rsid w:val="008E2652"/>
    <w:rsid w:val="008E27A3"/>
    <w:rsid w:val="008E291A"/>
    <w:rsid w:val="008E2C24"/>
    <w:rsid w:val="008E3A48"/>
    <w:rsid w:val="008E50C7"/>
    <w:rsid w:val="008E5926"/>
    <w:rsid w:val="008E6581"/>
    <w:rsid w:val="008E7F96"/>
    <w:rsid w:val="008F08F6"/>
    <w:rsid w:val="008F0C2C"/>
    <w:rsid w:val="008F10A9"/>
    <w:rsid w:val="008F15B8"/>
    <w:rsid w:val="008F2034"/>
    <w:rsid w:val="008F215E"/>
    <w:rsid w:val="008F3777"/>
    <w:rsid w:val="008F4100"/>
    <w:rsid w:val="008F4AD6"/>
    <w:rsid w:val="008F7DB8"/>
    <w:rsid w:val="008F7FEC"/>
    <w:rsid w:val="00900752"/>
    <w:rsid w:val="009007DE"/>
    <w:rsid w:val="00900BA2"/>
    <w:rsid w:val="00900F33"/>
    <w:rsid w:val="0090168E"/>
    <w:rsid w:val="009016B8"/>
    <w:rsid w:val="0090238E"/>
    <w:rsid w:val="00902F09"/>
    <w:rsid w:val="009038C3"/>
    <w:rsid w:val="00904AD7"/>
    <w:rsid w:val="00905916"/>
    <w:rsid w:val="00906C6D"/>
    <w:rsid w:val="00907AE4"/>
    <w:rsid w:val="00910B25"/>
    <w:rsid w:val="00911C64"/>
    <w:rsid w:val="009123F0"/>
    <w:rsid w:val="00914054"/>
    <w:rsid w:val="00915B8C"/>
    <w:rsid w:val="00915D0C"/>
    <w:rsid w:val="00915E14"/>
    <w:rsid w:val="00916838"/>
    <w:rsid w:val="00917000"/>
    <w:rsid w:val="00921280"/>
    <w:rsid w:val="0092129B"/>
    <w:rsid w:val="0092196D"/>
    <w:rsid w:val="009227CE"/>
    <w:rsid w:val="00922859"/>
    <w:rsid w:val="009238FC"/>
    <w:rsid w:val="00927438"/>
    <w:rsid w:val="009306D6"/>
    <w:rsid w:val="0093112B"/>
    <w:rsid w:val="009312F6"/>
    <w:rsid w:val="00931783"/>
    <w:rsid w:val="009326CF"/>
    <w:rsid w:val="00932805"/>
    <w:rsid w:val="00932BC0"/>
    <w:rsid w:val="00933E5F"/>
    <w:rsid w:val="0093409D"/>
    <w:rsid w:val="00934D74"/>
    <w:rsid w:val="00935E59"/>
    <w:rsid w:val="00935F46"/>
    <w:rsid w:val="0093605F"/>
    <w:rsid w:val="009364B7"/>
    <w:rsid w:val="00936A0A"/>
    <w:rsid w:val="0094052C"/>
    <w:rsid w:val="00940969"/>
    <w:rsid w:val="009418F1"/>
    <w:rsid w:val="009424A0"/>
    <w:rsid w:val="00942869"/>
    <w:rsid w:val="00944846"/>
    <w:rsid w:val="00944A0C"/>
    <w:rsid w:val="0094506C"/>
    <w:rsid w:val="009453F6"/>
    <w:rsid w:val="00950767"/>
    <w:rsid w:val="0095112F"/>
    <w:rsid w:val="00951F80"/>
    <w:rsid w:val="0095293A"/>
    <w:rsid w:val="009537A8"/>
    <w:rsid w:val="00953890"/>
    <w:rsid w:val="00953F72"/>
    <w:rsid w:val="00953FBB"/>
    <w:rsid w:val="00954E61"/>
    <w:rsid w:val="009564A2"/>
    <w:rsid w:val="009566DF"/>
    <w:rsid w:val="00956A2A"/>
    <w:rsid w:val="009574D2"/>
    <w:rsid w:val="00957C1D"/>
    <w:rsid w:val="00957DFF"/>
    <w:rsid w:val="009609D9"/>
    <w:rsid w:val="00960B69"/>
    <w:rsid w:val="00960BF4"/>
    <w:rsid w:val="00960FE9"/>
    <w:rsid w:val="00961441"/>
    <w:rsid w:val="00961B68"/>
    <w:rsid w:val="00961C42"/>
    <w:rsid w:val="0096204D"/>
    <w:rsid w:val="009626A5"/>
    <w:rsid w:val="00962A73"/>
    <w:rsid w:val="00962AE0"/>
    <w:rsid w:val="009641A7"/>
    <w:rsid w:val="00964A21"/>
    <w:rsid w:val="00964A29"/>
    <w:rsid w:val="00965479"/>
    <w:rsid w:val="00966014"/>
    <w:rsid w:val="00966CD5"/>
    <w:rsid w:val="00967738"/>
    <w:rsid w:val="009711A2"/>
    <w:rsid w:val="009722DE"/>
    <w:rsid w:val="0097393A"/>
    <w:rsid w:val="009743D3"/>
    <w:rsid w:val="00975408"/>
    <w:rsid w:val="0097551A"/>
    <w:rsid w:val="00975D7B"/>
    <w:rsid w:val="00975DC3"/>
    <w:rsid w:val="009765D9"/>
    <w:rsid w:val="00976614"/>
    <w:rsid w:val="00976705"/>
    <w:rsid w:val="00976AEB"/>
    <w:rsid w:val="009771EF"/>
    <w:rsid w:val="009815A7"/>
    <w:rsid w:val="009826BF"/>
    <w:rsid w:val="00984895"/>
    <w:rsid w:val="00984B5D"/>
    <w:rsid w:val="00986DC0"/>
    <w:rsid w:val="0098711E"/>
    <w:rsid w:val="00990097"/>
    <w:rsid w:val="009913D2"/>
    <w:rsid w:val="00992989"/>
    <w:rsid w:val="00993F11"/>
    <w:rsid w:val="009953E8"/>
    <w:rsid w:val="00995DA6"/>
    <w:rsid w:val="00996924"/>
    <w:rsid w:val="009A05A6"/>
    <w:rsid w:val="009A05E5"/>
    <w:rsid w:val="009A1988"/>
    <w:rsid w:val="009A1FAD"/>
    <w:rsid w:val="009A39C7"/>
    <w:rsid w:val="009A3DDF"/>
    <w:rsid w:val="009A5850"/>
    <w:rsid w:val="009A5A17"/>
    <w:rsid w:val="009A617E"/>
    <w:rsid w:val="009A6C5D"/>
    <w:rsid w:val="009A750C"/>
    <w:rsid w:val="009A7A52"/>
    <w:rsid w:val="009B0560"/>
    <w:rsid w:val="009B2DC0"/>
    <w:rsid w:val="009B3C5A"/>
    <w:rsid w:val="009B40CA"/>
    <w:rsid w:val="009B5FCA"/>
    <w:rsid w:val="009C04E3"/>
    <w:rsid w:val="009C094E"/>
    <w:rsid w:val="009C09D0"/>
    <w:rsid w:val="009C0CA2"/>
    <w:rsid w:val="009C14CA"/>
    <w:rsid w:val="009C15BA"/>
    <w:rsid w:val="009C1A34"/>
    <w:rsid w:val="009C1CF8"/>
    <w:rsid w:val="009C2E76"/>
    <w:rsid w:val="009C3010"/>
    <w:rsid w:val="009C352C"/>
    <w:rsid w:val="009C35D4"/>
    <w:rsid w:val="009C4D2E"/>
    <w:rsid w:val="009C6686"/>
    <w:rsid w:val="009C76A2"/>
    <w:rsid w:val="009C7F02"/>
    <w:rsid w:val="009D04F8"/>
    <w:rsid w:val="009D0AFD"/>
    <w:rsid w:val="009D10BF"/>
    <w:rsid w:val="009D1AC2"/>
    <w:rsid w:val="009D3269"/>
    <w:rsid w:val="009D3487"/>
    <w:rsid w:val="009D43B6"/>
    <w:rsid w:val="009D45A0"/>
    <w:rsid w:val="009D46C3"/>
    <w:rsid w:val="009D55A9"/>
    <w:rsid w:val="009D57FE"/>
    <w:rsid w:val="009D5893"/>
    <w:rsid w:val="009D61C5"/>
    <w:rsid w:val="009E00BA"/>
    <w:rsid w:val="009E02C4"/>
    <w:rsid w:val="009E0886"/>
    <w:rsid w:val="009E0963"/>
    <w:rsid w:val="009E1D1E"/>
    <w:rsid w:val="009E38DE"/>
    <w:rsid w:val="009E41EE"/>
    <w:rsid w:val="009E4698"/>
    <w:rsid w:val="009E6728"/>
    <w:rsid w:val="009E7635"/>
    <w:rsid w:val="009E7F32"/>
    <w:rsid w:val="009F36D1"/>
    <w:rsid w:val="009F3AD1"/>
    <w:rsid w:val="009F4AEF"/>
    <w:rsid w:val="009F506F"/>
    <w:rsid w:val="009F62BF"/>
    <w:rsid w:val="009F6620"/>
    <w:rsid w:val="009F78A3"/>
    <w:rsid w:val="00A00AC5"/>
    <w:rsid w:val="00A00C75"/>
    <w:rsid w:val="00A00ED2"/>
    <w:rsid w:val="00A01E74"/>
    <w:rsid w:val="00A0203C"/>
    <w:rsid w:val="00A0431E"/>
    <w:rsid w:val="00A07A1B"/>
    <w:rsid w:val="00A10B96"/>
    <w:rsid w:val="00A10D22"/>
    <w:rsid w:val="00A12235"/>
    <w:rsid w:val="00A124AD"/>
    <w:rsid w:val="00A128D9"/>
    <w:rsid w:val="00A12C8D"/>
    <w:rsid w:val="00A13945"/>
    <w:rsid w:val="00A1514E"/>
    <w:rsid w:val="00A15DFE"/>
    <w:rsid w:val="00A16A41"/>
    <w:rsid w:val="00A20250"/>
    <w:rsid w:val="00A20A0E"/>
    <w:rsid w:val="00A21F59"/>
    <w:rsid w:val="00A22A07"/>
    <w:rsid w:val="00A22C01"/>
    <w:rsid w:val="00A23583"/>
    <w:rsid w:val="00A26478"/>
    <w:rsid w:val="00A26BD4"/>
    <w:rsid w:val="00A26C18"/>
    <w:rsid w:val="00A304DF"/>
    <w:rsid w:val="00A30B02"/>
    <w:rsid w:val="00A30B3A"/>
    <w:rsid w:val="00A325ED"/>
    <w:rsid w:val="00A32CFA"/>
    <w:rsid w:val="00A33477"/>
    <w:rsid w:val="00A355D6"/>
    <w:rsid w:val="00A35D5D"/>
    <w:rsid w:val="00A37D8A"/>
    <w:rsid w:val="00A411ED"/>
    <w:rsid w:val="00A41221"/>
    <w:rsid w:val="00A4254C"/>
    <w:rsid w:val="00A42C86"/>
    <w:rsid w:val="00A42EC1"/>
    <w:rsid w:val="00A43F08"/>
    <w:rsid w:val="00A445BC"/>
    <w:rsid w:val="00A447D5"/>
    <w:rsid w:val="00A44B35"/>
    <w:rsid w:val="00A46B00"/>
    <w:rsid w:val="00A4708C"/>
    <w:rsid w:val="00A47C8B"/>
    <w:rsid w:val="00A51328"/>
    <w:rsid w:val="00A51A50"/>
    <w:rsid w:val="00A52137"/>
    <w:rsid w:val="00A52554"/>
    <w:rsid w:val="00A530CD"/>
    <w:rsid w:val="00A53700"/>
    <w:rsid w:val="00A53F33"/>
    <w:rsid w:val="00A54DF3"/>
    <w:rsid w:val="00A569A9"/>
    <w:rsid w:val="00A57256"/>
    <w:rsid w:val="00A60F1A"/>
    <w:rsid w:val="00A618C2"/>
    <w:rsid w:val="00A624F3"/>
    <w:rsid w:val="00A62FC0"/>
    <w:rsid w:val="00A63A8E"/>
    <w:rsid w:val="00A642D8"/>
    <w:rsid w:val="00A65196"/>
    <w:rsid w:val="00A65486"/>
    <w:rsid w:val="00A6621B"/>
    <w:rsid w:val="00A672AB"/>
    <w:rsid w:val="00A672C1"/>
    <w:rsid w:val="00A67B89"/>
    <w:rsid w:val="00A70307"/>
    <w:rsid w:val="00A7033E"/>
    <w:rsid w:val="00A70906"/>
    <w:rsid w:val="00A70CAE"/>
    <w:rsid w:val="00A70D3C"/>
    <w:rsid w:val="00A70DB6"/>
    <w:rsid w:val="00A7112F"/>
    <w:rsid w:val="00A71F61"/>
    <w:rsid w:val="00A7246D"/>
    <w:rsid w:val="00A72EF6"/>
    <w:rsid w:val="00A737A5"/>
    <w:rsid w:val="00A7570C"/>
    <w:rsid w:val="00A77373"/>
    <w:rsid w:val="00A77676"/>
    <w:rsid w:val="00A80B6A"/>
    <w:rsid w:val="00A82F89"/>
    <w:rsid w:val="00A83521"/>
    <w:rsid w:val="00A84C09"/>
    <w:rsid w:val="00A85C24"/>
    <w:rsid w:val="00A85C60"/>
    <w:rsid w:val="00A86600"/>
    <w:rsid w:val="00A90499"/>
    <w:rsid w:val="00A92E11"/>
    <w:rsid w:val="00A93414"/>
    <w:rsid w:val="00A9386B"/>
    <w:rsid w:val="00A93DB6"/>
    <w:rsid w:val="00A95131"/>
    <w:rsid w:val="00A95EFF"/>
    <w:rsid w:val="00A9696A"/>
    <w:rsid w:val="00A97024"/>
    <w:rsid w:val="00A978FF"/>
    <w:rsid w:val="00A97941"/>
    <w:rsid w:val="00A97961"/>
    <w:rsid w:val="00AA03FC"/>
    <w:rsid w:val="00AA0834"/>
    <w:rsid w:val="00AA2E67"/>
    <w:rsid w:val="00AA3FBD"/>
    <w:rsid w:val="00AA45E2"/>
    <w:rsid w:val="00AA49F1"/>
    <w:rsid w:val="00AA587A"/>
    <w:rsid w:val="00AA594B"/>
    <w:rsid w:val="00AA6FCA"/>
    <w:rsid w:val="00AA7D62"/>
    <w:rsid w:val="00AB03D6"/>
    <w:rsid w:val="00AB20B8"/>
    <w:rsid w:val="00AB2798"/>
    <w:rsid w:val="00AB314A"/>
    <w:rsid w:val="00AB33BE"/>
    <w:rsid w:val="00AB3602"/>
    <w:rsid w:val="00AB3B0F"/>
    <w:rsid w:val="00AB3B86"/>
    <w:rsid w:val="00AB3F51"/>
    <w:rsid w:val="00AB44CA"/>
    <w:rsid w:val="00AB5816"/>
    <w:rsid w:val="00AB6DE3"/>
    <w:rsid w:val="00AB741D"/>
    <w:rsid w:val="00AC03B7"/>
    <w:rsid w:val="00AC3675"/>
    <w:rsid w:val="00AC550D"/>
    <w:rsid w:val="00AC5EE8"/>
    <w:rsid w:val="00AC60F4"/>
    <w:rsid w:val="00AC659F"/>
    <w:rsid w:val="00AC6D08"/>
    <w:rsid w:val="00AC6EEC"/>
    <w:rsid w:val="00AC7366"/>
    <w:rsid w:val="00AC7E8F"/>
    <w:rsid w:val="00AD0127"/>
    <w:rsid w:val="00AD0A36"/>
    <w:rsid w:val="00AD0CC0"/>
    <w:rsid w:val="00AD1208"/>
    <w:rsid w:val="00AD1C0C"/>
    <w:rsid w:val="00AD2F67"/>
    <w:rsid w:val="00AD32D1"/>
    <w:rsid w:val="00AD4DB0"/>
    <w:rsid w:val="00AD564A"/>
    <w:rsid w:val="00AD5748"/>
    <w:rsid w:val="00AD576E"/>
    <w:rsid w:val="00AD5C98"/>
    <w:rsid w:val="00AD5E44"/>
    <w:rsid w:val="00AD6F24"/>
    <w:rsid w:val="00AD77E1"/>
    <w:rsid w:val="00AD7FAD"/>
    <w:rsid w:val="00AE05C7"/>
    <w:rsid w:val="00AE18B2"/>
    <w:rsid w:val="00AE1CA9"/>
    <w:rsid w:val="00AE227C"/>
    <w:rsid w:val="00AE2B4D"/>
    <w:rsid w:val="00AE2F5B"/>
    <w:rsid w:val="00AE4772"/>
    <w:rsid w:val="00AE484D"/>
    <w:rsid w:val="00AE59F8"/>
    <w:rsid w:val="00AE5AF6"/>
    <w:rsid w:val="00AE6169"/>
    <w:rsid w:val="00AE617A"/>
    <w:rsid w:val="00AE674A"/>
    <w:rsid w:val="00AE6C59"/>
    <w:rsid w:val="00AE6CB2"/>
    <w:rsid w:val="00AE6DBC"/>
    <w:rsid w:val="00AE7810"/>
    <w:rsid w:val="00AF08AE"/>
    <w:rsid w:val="00AF1516"/>
    <w:rsid w:val="00AF3103"/>
    <w:rsid w:val="00AF330C"/>
    <w:rsid w:val="00AF4D4B"/>
    <w:rsid w:val="00AF4E4C"/>
    <w:rsid w:val="00AF5DB3"/>
    <w:rsid w:val="00AF5DC8"/>
    <w:rsid w:val="00AF601A"/>
    <w:rsid w:val="00AF607F"/>
    <w:rsid w:val="00AF61C0"/>
    <w:rsid w:val="00B0089A"/>
    <w:rsid w:val="00B008E8"/>
    <w:rsid w:val="00B009FC"/>
    <w:rsid w:val="00B014F4"/>
    <w:rsid w:val="00B02F73"/>
    <w:rsid w:val="00B0329D"/>
    <w:rsid w:val="00B03EB5"/>
    <w:rsid w:val="00B04780"/>
    <w:rsid w:val="00B06911"/>
    <w:rsid w:val="00B070C9"/>
    <w:rsid w:val="00B076C7"/>
    <w:rsid w:val="00B077B9"/>
    <w:rsid w:val="00B108FD"/>
    <w:rsid w:val="00B10941"/>
    <w:rsid w:val="00B10DC3"/>
    <w:rsid w:val="00B113D7"/>
    <w:rsid w:val="00B11484"/>
    <w:rsid w:val="00B119B4"/>
    <w:rsid w:val="00B11D5D"/>
    <w:rsid w:val="00B12675"/>
    <w:rsid w:val="00B1294E"/>
    <w:rsid w:val="00B13117"/>
    <w:rsid w:val="00B13C67"/>
    <w:rsid w:val="00B14AD8"/>
    <w:rsid w:val="00B15BCD"/>
    <w:rsid w:val="00B1657C"/>
    <w:rsid w:val="00B1686D"/>
    <w:rsid w:val="00B16B4E"/>
    <w:rsid w:val="00B20897"/>
    <w:rsid w:val="00B20CBC"/>
    <w:rsid w:val="00B2127F"/>
    <w:rsid w:val="00B2256C"/>
    <w:rsid w:val="00B22B5C"/>
    <w:rsid w:val="00B22E2A"/>
    <w:rsid w:val="00B2433F"/>
    <w:rsid w:val="00B253E5"/>
    <w:rsid w:val="00B25499"/>
    <w:rsid w:val="00B25D2C"/>
    <w:rsid w:val="00B276C5"/>
    <w:rsid w:val="00B30C0E"/>
    <w:rsid w:val="00B319D1"/>
    <w:rsid w:val="00B31D65"/>
    <w:rsid w:val="00B327B4"/>
    <w:rsid w:val="00B3458A"/>
    <w:rsid w:val="00B34671"/>
    <w:rsid w:val="00B34D10"/>
    <w:rsid w:val="00B34DA1"/>
    <w:rsid w:val="00B3521E"/>
    <w:rsid w:val="00B35ACA"/>
    <w:rsid w:val="00B369F4"/>
    <w:rsid w:val="00B36E85"/>
    <w:rsid w:val="00B36F0E"/>
    <w:rsid w:val="00B37072"/>
    <w:rsid w:val="00B40077"/>
    <w:rsid w:val="00B40CA3"/>
    <w:rsid w:val="00B40E7D"/>
    <w:rsid w:val="00B40EA0"/>
    <w:rsid w:val="00B40F1C"/>
    <w:rsid w:val="00B411C5"/>
    <w:rsid w:val="00B413ED"/>
    <w:rsid w:val="00B41F43"/>
    <w:rsid w:val="00B42246"/>
    <w:rsid w:val="00B424FA"/>
    <w:rsid w:val="00B429D9"/>
    <w:rsid w:val="00B43168"/>
    <w:rsid w:val="00B431F3"/>
    <w:rsid w:val="00B44044"/>
    <w:rsid w:val="00B45906"/>
    <w:rsid w:val="00B465CE"/>
    <w:rsid w:val="00B475E5"/>
    <w:rsid w:val="00B50240"/>
    <w:rsid w:val="00B512E0"/>
    <w:rsid w:val="00B522E5"/>
    <w:rsid w:val="00B526B4"/>
    <w:rsid w:val="00B54977"/>
    <w:rsid w:val="00B550D4"/>
    <w:rsid w:val="00B553D0"/>
    <w:rsid w:val="00B55D40"/>
    <w:rsid w:val="00B562F0"/>
    <w:rsid w:val="00B56E1E"/>
    <w:rsid w:val="00B57032"/>
    <w:rsid w:val="00B57696"/>
    <w:rsid w:val="00B57C0F"/>
    <w:rsid w:val="00B57D2D"/>
    <w:rsid w:val="00B57E48"/>
    <w:rsid w:val="00B609AA"/>
    <w:rsid w:val="00B60BB5"/>
    <w:rsid w:val="00B619EC"/>
    <w:rsid w:val="00B61CD5"/>
    <w:rsid w:val="00B623CF"/>
    <w:rsid w:val="00B6370D"/>
    <w:rsid w:val="00B64484"/>
    <w:rsid w:val="00B64AAB"/>
    <w:rsid w:val="00B64EF6"/>
    <w:rsid w:val="00B65DA2"/>
    <w:rsid w:val="00B662C2"/>
    <w:rsid w:val="00B66B5F"/>
    <w:rsid w:val="00B67422"/>
    <w:rsid w:val="00B67697"/>
    <w:rsid w:val="00B701E5"/>
    <w:rsid w:val="00B707D9"/>
    <w:rsid w:val="00B70979"/>
    <w:rsid w:val="00B70A6A"/>
    <w:rsid w:val="00B710A0"/>
    <w:rsid w:val="00B71473"/>
    <w:rsid w:val="00B71811"/>
    <w:rsid w:val="00B7184A"/>
    <w:rsid w:val="00B74A21"/>
    <w:rsid w:val="00B74B34"/>
    <w:rsid w:val="00B74D26"/>
    <w:rsid w:val="00B74E35"/>
    <w:rsid w:val="00B7650F"/>
    <w:rsid w:val="00B77AA2"/>
    <w:rsid w:val="00B803A9"/>
    <w:rsid w:val="00B80838"/>
    <w:rsid w:val="00B81AF6"/>
    <w:rsid w:val="00B81BB6"/>
    <w:rsid w:val="00B826A0"/>
    <w:rsid w:val="00B82FFA"/>
    <w:rsid w:val="00B840BD"/>
    <w:rsid w:val="00B84DB6"/>
    <w:rsid w:val="00B878DD"/>
    <w:rsid w:val="00B90BFE"/>
    <w:rsid w:val="00B91817"/>
    <w:rsid w:val="00B9201C"/>
    <w:rsid w:val="00B92E83"/>
    <w:rsid w:val="00B9561E"/>
    <w:rsid w:val="00B965F1"/>
    <w:rsid w:val="00B97216"/>
    <w:rsid w:val="00B97298"/>
    <w:rsid w:val="00BA0765"/>
    <w:rsid w:val="00BA1621"/>
    <w:rsid w:val="00BA1B08"/>
    <w:rsid w:val="00BA1F03"/>
    <w:rsid w:val="00BA210C"/>
    <w:rsid w:val="00BA227C"/>
    <w:rsid w:val="00BA2890"/>
    <w:rsid w:val="00BA2AB8"/>
    <w:rsid w:val="00BA5013"/>
    <w:rsid w:val="00BA5E7C"/>
    <w:rsid w:val="00BA6137"/>
    <w:rsid w:val="00BA69E9"/>
    <w:rsid w:val="00BA6A80"/>
    <w:rsid w:val="00BB0C0E"/>
    <w:rsid w:val="00BB1171"/>
    <w:rsid w:val="00BB2420"/>
    <w:rsid w:val="00BB38E3"/>
    <w:rsid w:val="00BB4482"/>
    <w:rsid w:val="00BB5022"/>
    <w:rsid w:val="00BB52E7"/>
    <w:rsid w:val="00BB53E2"/>
    <w:rsid w:val="00BB60DC"/>
    <w:rsid w:val="00BC047B"/>
    <w:rsid w:val="00BC21B2"/>
    <w:rsid w:val="00BC21C7"/>
    <w:rsid w:val="00BC3122"/>
    <w:rsid w:val="00BC3459"/>
    <w:rsid w:val="00BC3A25"/>
    <w:rsid w:val="00BC5035"/>
    <w:rsid w:val="00BC5C10"/>
    <w:rsid w:val="00BC7F0A"/>
    <w:rsid w:val="00BD0F75"/>
    <w:rsid w:val="00BD1599"/>
    <w:rsid w:val="00BD1FCD"/>
    <w:rsid w:val="00BD255B"/>
    <w:rsid w:val="00BD2956"/>
    <w:rsid w:val="00BD324A"/>
    <w:rsid w:val="00BD3647"/>
    <w:rsid w:val="00BD372F"/>
    <w:rsid w:val="00BD3B34"/>
    <w:rsid w:val="00BD3DF2"/>
    <w:rsid w:val="00BD65C5"/>
    <w:rsid w:val="00BD6C52"/>
    <w:rsid w:val="00BD790D"/>
    <w:rsid w:val="00BE1383"/>
    <w:rsid w:val="00BE16CE"/>
    <w:rsid w:val="00BE26B9"/>
    <w:rsid w:val="00BE3D83"/>
    <w:rsid w:val="00BE3E7E"/>
    <w:rsid w:val="00BE4147"/>
    <w:rsid w:val="00BE5713"/>
    <w:rsid w:val="00BE66EA"/>
    <w:rsid w:val="00BE73BB"/>
    <w:rsid w:val="00BF008B"/>
    <w:rsid w:val="00BF036C"/>
    <w:rsid w:val="00BF112A"/>
    <w:rsid w:val="00BF154C"/>
    <w:rsid w:val="00BF1D6C"/>
    <w:rsid w:val="00BF2A39"/>
    <w:rsid w:val="00BF2D7C"/>
    <w:rsid w:val="00BF314F"/>
    <w:rsid w:val="00BF3278"/>
    <w:rsid w:val="00BF38E4"/>
    <w:rsid w:val="00BF5A20"/>
    <w:rsid w:val="00BF5F30"/>
    <w:rsid w:val="00BF6F4F"/>
    <w:rsid w:val="00C00100"/>
    <w:rsid w:val="00C00E51"/>
    <w:rsid w:val="00C0339A"/>
    <w:rsid w:val="00C033A6"/>
    <w:rsid w:val="00C044B6"/>
    <w:rsid w:val="00C0457F"/>
    <w:rsid w:val="00C060BE"/>
    <w:rsid w:val="00C06552"/>
    <w:rsid w:val="00C06C54"/>
    <w:rsid w:val="00C11964"/>
    <w:rsid w:val="00C11E1B"/>
    <w:rsid w:val="00C124D7"/>
    <w:rsid w:val="00C125E8"/>
    <w:rsid w:val="00C135A8"/>
    <w:rsid w:val="00C1374A"/>
    <w:rsid w:val="00C15228"/>
    <w:rsid w:val="00C172D1"/>
    <w:rsid w:val="00C17CD2"/>
    <w:rsid w:val="00C20778"/>
    <w:rsid w:val="00C20BF4"/>
    <w:rsid w:val="00C22EE7"/>
    <w:rsid w:val="00C23034"/>
    <w:rsid w:val="00C23B5A"/>
    <w:rsid w:val="00C242CF"/>
    <w:rsid w:val="00C24483"/>
    <w:rsid w:val="00C24699"/>
    <w:rsid w:val="00C24AA8"/>
    <w:rsid w:val="00C2581F"/>
    <w:rsid w:val="00C2613F"/>
    <w:rsid w:val="00C2668F"/>
    <w:rsid w:val="00C26A1F"/>
    <w:rsid w:val="00C2758D"/>
    <w:rsid w:val="00C27F89"/>
    <w:rsid w:val="00C30BD6"/>
    <w:rsid w:val="00C32091"/>
    <w:rsid w:val="00C324E0"/>
    <w:rsid w:val="00C3251D"/>
    <w:rsid w:val="00C3253C"/>
    <w:rsid w:val="00C32D7C"/>
    <w:rsid w:val="00C33809"/>
    <w:rsid w:val="00C33F81"/>
    <w:rsid w:val="00C3407C"/>
    <w:rsid w:val="00C36EB1"/>
    <w:rsid w:val="00C403AE"/>
    <w:rsid w:val="00C40803"/>
    <w:rsid w:val="00C426F8"/>
    <w:rsid w:val="00C44701"/>
    <w:rsid w:val="00C44FB9"/>
    <w:rsid w:val="00C45A50"/>
    <w:rsid w:val="00C45D15"/>
    <w:rsid w:val="00C46A4A"/>
    <w:rsid w:val="00C46BC9"/>
    <w:rsid w:val="00C47640"/>
    <w:rsid w:val="00C50BE3"/>
    <w:rsid w:val="00C51329"/>
    <w:rsid w:val="00C51455"/>
    <w:rsid w:val="00C51460"/>
    <w:rsid w:val="00C515F6"/>
    <w:rsid w:val="00C52157"/>
    <w:rsid w:val="00C527C0"/>
    <w:rsid w:val="00C53775"/>
    <w:rsid w:val="00C53E3C"/>
    <w:rsid w:val="00C5428A"/>
    <w:rsid w:val="00C54DCB"/>
    <w:rsid w:val="00C552C7"/>
    <w:rsid w:val="00C573BD"/>
    <w:rsid w:val="00C6153B"/>
    <w:rsid w:val="00C618D8"/>
    <w:rsid w:val="00C6289D"/>
    <w:rsid w:val="00C62BC1"/>
    <w:rsid w:val="00C62FEE"/>
    <w:rsid w:val="00C63B9D"/>
    <w:rsid w:val="00C63C4C"/>
    <w:rsid w:val="00C63D59"/>
    <w:rsid w:val="00C640CC"/>
    <w:rsid w:val="00C642C2"/>
    <w:rsid w:val="00C65176"/>
    <w:rsid w:val="00C65432"/>
    <w:rsid w:val="00C70EAB"/>
    <w:rsid w:val="00C71DCC"/>
    <w:rsid w:val="00C73235"/>
    <w:rsid w:val="00C732B4"/>
    <w:rsid w:val="00C73B50"/>
    <w:rsid w:val="00C756B5"/>
    <w:rsid w:val="00C758CF"/>
    <w:rsid w:val="00C75A46"/>
    <w:rsid w:val="00C75B21"/>
    <w:rsid w:val="00C75E15"/>
    <w:rsid w:val="00C75F1C"/>
    <w:rsid w:val="00C76511"/>
    <w:rsid w:val="00C7687A"/>
    <w:rsid w:val="00C77212"/>
    <w:rsid w:val="00C77248"/>
    <w:rsid w:val="00C800F8"/>
    <w:rsid w:val="00C808BE"/>
    <w:rsid w:val="00C81007"/>
    <w:rsid w:val="00C812C8"/>
    <w:rsid w:val="00C81E78"/>
    <w:rsid w:val="00C823BE"/>
    <w:rsid w:val="00C83826"/>
    <w:rsid w:val="00C847DE"/>
    <w:rsid w:val="00C850B4"/>
    <w:rsid w:val="00C90152"/>
    <w:rsid w:val="00C902E7"/>
    <w:rsid w:val="00C91DBE"/>
    <w:rsid w:val="00C9228D"/>
    <w:rsid w:val="00C93BF6"/>
    <w:rsid w:val="00C95786"/>
    <w:rsid w:val="00C96432"/>
    <w:rsid w:val="00C96B53"/>
    <w:rsid w:val="00C96E52"/>
    <w:rsid w:val="00C975C2"/>
    <w:rsid w:val="00CA1262"/>
    <w:rsid w:val="00CA3C3B"/>
    <w:rsid w:val="00CA6262"/>
    <w:rsid w:val="00CA65AB"/>
    <w:rsid w:val="00CA70C9"/>
    <w:rsid w:val="00CB16EE"/>
    <w:rsid w:val="00CB474B"/>
    <w:rsid w:val="00CB4C6B"/>
    <w:rsid w:val="00CB4E56"/>
    <w:rsid w:val="00CB5AC1"/>
    <w:rsid w:val="00CB786F"/>
    <w:rsid w:val="00CC1CE2"/>
    <w:rsid w:val="00CC2149"/>
    <w:rsid w:val="00CC350C"/>
    <w:rsid w:val="00CC3737"/>
    <w:rsid w:val="00CC6B1F"/>
    <w:rsid w:val="00CD0205"/>
    <w:rsid w:val="00CD3B00"/>
    <w:rsid w:val="00CD3F8E"/>
    <w:rsid w:val="00CD40CB"/>
    <w:rsid w:val="00CD414C"/>
    <w:rsid w:val="00CD43FE"/>
    <w:rsid w:val="00CD485A"/>
    <w:rsid w:val="00CD53F0"/>
    <w:rsid w:val="00CD7207"/>
    <w:rsid w:val="00CD751F"/>
    <w:rsid w:val="00CD7C14"/>
    <w:rsid w:val="00CE02E5"/>
    <w:rsid w:val="00CE214C"/>
    <w:rsid w:val="00CE2D4E"/>
    <w:rsid w:val="00CE45F2"/>
    <w:rsid w:val="00CE499F"/>
    <w:rsid w:val="00CE50C4"/>
    <w:rsid w:val="00CE6B55"/>
    <w:rsid w:val="00CE7CFC"/>
    <w:rsid w:val="00CF05A9"/>
    <w:rsid w:val="00CF3280"/>
    <w:rsid w:val="00CF34AC"/>
    <w:rsid w:val="00CF407C"/>
    <w:rsid w:val="00CF5704"/>
    <w:rsid w:val="00CF6611"/>
    <w:rsid w:val="00CF6D62"/>
    <w:rsid w:val="00CF7572"/>
    <w:rsid w:val="00D01272"/>
    <w:rsid w:val="00D01672"/>
    <w:rsid w:val="00D02A90"/>
    <w:rsid w:val="00D02C14"/>
    <w:rsid w:val="00D0409D"/>
    <w:rsid w:val="00D059B5"/>
    <w:rsid w:val="00D05CB2"/>
    <w:rsid w:val="00D0668D"/>
    <w:rsid w:val="00D070D7"/>
    <w:rsid w:val="00D072B5"/>
    <w:rsid w:val="00D07C26"/>
    <w:rsid w:val="00D10057"/>
    <w:rsid w:val="00D1059A"/>
    <w:rsid w:val="00D112BC"/>
    <w:rsid w:val="00D12124"/>
    <w:rsid w:val="00D12381"/>
    <w:rsid w:val="00D13436"/>
    <w:rsid w:val="00D138A5"/>
    <w:rsid w:val="00D149E4"/>
    <w:rsid w:val="00D1576B"/>
    <w:rsid w:val="00D16A12"/>
    <w:rsid w:val="00D20994"/>
    <w:rsid w:val="00D2127D"/>
    <w:rsid w:val="00D22194"/>
    <w:rsid w:val="00D228FA"/>
    <w:rsid w:val="00D251A6"/>
    <w:rsid w:val="00D25483"/>
    <w:rsid w:val="00D26184"/>
    <w:rsid w:val="00D26C76"/>
    <w:rsid w:val="00D26F75"/>
    <w:rsid w:val="00D27622"/>
    <w:rsid w:val="00D27952"/>
    <w:rsid w:val="00D302C4"/>
    <w:rsid w:val="00D306D9"/>
    <w:rsid w:val="00D307B2"/>
    <w:rsid w:val="00D30906"/>
    <w:rsid w:val="00D30A15"/>
    <w:rsid w:val="00D30FC1"/>
    <w:rsid w:val="00D315BD"/>
    <w:rsid w:val="00D3163F"/>
    <w:rsid w:val="00D34679"/>
    <w:rsid w:val="00D36270"/>
    <w:rsid w:val="00D37F6E"/>
    <w:rsid w:val="00D401BC"/>
    <w:rsid w:val="00D416AE"/>
    <w:rsid w:val="00D4186A"/>
    <w:rsid w:val="00D418F9"/>
    <w:rsid w:val="00D427F6"/>
    <w:rsid w:val="00D45490"/>
    <w:rsid w:val="00D45A25"/>
    <w:rsid w:val="00D46574"/>
    <w:rsid w:val="00D5051D"/>
    <w:rsid w:val="00D51F5A"/>
    <w:rsid w:val="00D52868"/>
    <w:rsid w:val="00D52A07"/>
    <w:rsid w:val="00D52AED"/>
    <w:rsid w:val="00D538E2"/>
    <w:rsid w:val="00D549DB"/>
    <w:rsid w:val="00D60614"/>
    <w:rsid w:val="00D60A0C"/>
    <w:rsid w:val="00D610A4"/>
    <w:rsid w:val="00D620EF"/>
    <w:rsid w:val="00D630D6"/>
    <w:rsid w:val="00D656DB"/>
    <w:rsid w:val="00D6624D"/>
    <w:rsid w:val="00D6640B"/>
    <w:rsid w:val="00D66431"/>
    <w:rsid w:val="00D67F56"/>
    <w:rsid w:val="00D701A1"/>
    <w:rsid w:val="00D70DF8"/>
    <w:rsid w:val="00D71066"/>
    <w:rsid w:val="00D7277E"/>
    <w:rsid w:val="00D728DC"/>
    <w:rsid w:val="00D738EE"/>
    <w:rsid w:val="00D73BD5"/>
    <w:rsid w:val="00D73C67"/>
    <w:rsid w:val="00D741A5"/>
    <w:rsid w:val="00D74BBA"/>
    <w:rsid w:val="00D75888"/>
    <w:rsid w:val="00D75E08"/>
    <w:rsid w:val="00D774AE"/>
    <w:rsid w:val="00D7769D"/>
    <w:rsid w:val="00D77D72"/>
    <w:rsid w:val="00D77D87"/>
    <w:rsid w:val="00D804B2"/>
    <w:rsid w:val="00D8059F"/>
    <w:rsid w:val="00D80FEF"/>
    <w:rsid w:val="00D8634F"/>
    <w:rsid w:val="00D86EE8"/>
    <w:rsid w:val="00D87121"/>
    <w:rsid w:val="00D875C0"/>
    <w:rsid w:val="00D90B5F"/>
    <w:rsid w:val="00D913EE"/>
    <w:rsid w:val="00D9307C"/>
    <w:rsid w:val="00D93299"/>
    <w:rsid w:val="00D933E5"/>
    <w:rsid w:val="00D9358C"/>
    <w:rsid w:val="00D936ED"/>
    <w:rsid w:val="00D95CF2"/>
    <w:rsid w:val="00D961DF"/>
    <w:rsid w:val="00D96BDF"/>
    <w:rsid w:val="00DA1C04"/>
    <w:rsid w:val="00DA1D4B"/>
    <w:rsid w:val="00DA3281"/>
    <w:rsid w:val="00DA3311"/>
    <w:rsid w:val="00DA400A"/>
    <w:rsid w:val="00DA4013"/>
    <w:rsid w:val="00DA43CF"/>
    <w:rsid w:val="00DA4474"/>
    <w:rsid w:val="00DA4FA4"/>
    <w:rsid w:val="00DA547C"/>
    <w:rsid w:val="00DA57F5"/>
    <w:rsid w:val="00DA6131"/>
    <w:rsid w:val="00DA7C56"/>
    <w:rsid w:val="00DB0064"/>
    <w:rsid w:val="00DB05AE"/>
    <w:rsid w:val="00DB0635"/>
    <w:rsid w:val="00DB1A47"/>
    <w:rsid w:val="00DB1F9D"/>
    <w:rsid w:val="00DB42DF"/>
    <w:rsid w:val="00DB650A"/>
    <w:rsid w:val="00DB6B29"/>
    <w:rsid w:val="00DB6CF9"/>
    <w:rsid w:val="00DB7237"/>
    <w:rsid w:val="00DC02D4"/>
    <w:rsid w:val="00DC0627"/>
    <w:rsid w:val="00DC2BE9"/>
    <w:rsid w:val="00DC2C9D"/>
    <w:rsid w:val="00DC332D"/>
    <w:rsid w:val="00DC350E"/>
    <w:rsid w:val="00DC43C9"/>
    <w:rsid w:val="00DC638C"/>
    <w:rsid w:val="00DC696B"/>
    <w:rsid w:val="00DC6C78"/>
    <w:rsid w:val="00DD0934"/>
    <w:rsid w:val="00DD0C30"/>
    <w:rsid w:val="00DD1E56"/>
    <w:rsid w:val="00DD2772"/>
    <w:rsid w:val="00DD2ACC"/>
    <w:rsid w:val="00DD2B80"/>
    <w:rsid w:val="00DD47B7"/>
    <w:rsid w:val="00DD50AB"/>
    <w:rsid w:val="00DD6430"/>
    <w:rsid w:val="00DD6443"/>
    <w:rsid w:val="00DD6A18"/>
    <w:rsid w:val="00DD6CCB"/>
    <w:rsid w:val="00DD6D2F"/>
    <w:rsid w:val="00DD754D"/>
    <w:rsid w:val="00DE0381"/>
    <w:rsid w:val="00DE1A03"/>
    <w:rsid w:val="00DE3251"/>
    <w:rsid w:val="00DE3252"/>
    <w:rsid w:val="00DE334D"/>
    <w:rsid w:val="00DE37FC"/>
    <w:rsid w:val="00DE3AD8"/>
    <w:rsid w:val="00DE3E84"/>
    <w:rsid w:val="00DE55F3"/>
    <w:rsid w:val="00DE61E3"/>
    <w:rsid w:val="00DF0415"/>
    <w:rsid w:val="00DF05A6"/>
    <w:rsid w:val="00DF0625"/>
    <w:rsid w:val="00DF0F6D"/>
    <w:rsid w:val="00DF1078"/>
    <w:rsid w:val="00DF10F2"/>
    <w:rsid w:val="00DF1882"/>
    <w:rsid w:val="00DF1D8D"/>
    <w:rsid w:val="00DF1FCB"/>
    <w:rsid w:val="00DF2809"/>
    <w:rsid w:val="00DF2DCB"/>
    <w:rsid w:val="00DF3315"/>
    <w:rsid w:val="00DF3689"/>
    <w:rsid w:val="00DF3E9C"/>
    <w:rsid w:val="00DF43F2"/>
    <w:rsid w:val="00DF4A10"/>
    <w:rsid w:val="00DF4FFB"/>
    <w:rsid w:val="00DF5E22"/>
    <w:rsid w:val="00DF6C50"/>
    <w:rsid w:val="00DF7B13"/>
    <w:rsid w:val="00E00CEB"/>
    <w:rsid w:val="00E00FF3"/>
    <w:rsid w:val="00E022B7"/>
    <w:rsid w:val="00E0248F"/>
    <w:rsid w:val="00E028F9"/>
    <w:rsid w:val="00E04D4B"/>
    <w:rsid w:val="00E04F0E"/>
    <w:rsid w:val="00E074C5"/>
    <w:rsid w:val="00E10F4D"/>
    <w:rsid w:val="00E113DA"/>
    <w:rsid w:val="00E1185A"/>
    <w:rsid w:val="00E12682"/>
    <w:rsid w:val="00E13573"/>
    <w:rsid w:val="00E1460A"/>
    <w:rsid w:val="00E15277"/>
    <w:rsid w:val="00E152CE"/>
    <w:rsid w:val="00E159D7"/>
    <w:rsid w:val="00E16541"/>
    <w:rsid w:val="00E16A05"/>
    <w:rsid w:val="00E1791A"/>
    <w:rsid w:val="00E20753"/>
    <w:rsid w:val="00E208FD"/>
    <w:rsid w:val="00E20953"/>
    <w:rsid w:val="00E24399"/>
    <w:rsid w:val="00E2455D"/>
    <w:rsid w:val="00E24D25"/>
    <w:rsid w:val="00E25A49"/>
    <w:rsid w:val="00E265D2"/>
    <w:rsid w:val="00E3037D"/>
    <w:rsid w:val="00E32D6B"/>
    <w:rsid w:val="00E35D82"/>
    <w:rsid w:val="00E36069"/>
    <w:rsid w:val="00E40597"/>
    <w:rsid w:val="00E41B81"/>
    <w:rsid w:val="00E42AED"/>
    <w:rsid w:val="00E4367B"/>
    <w:rsid w:val="00E438F4"/>
    <w:rsid w:val="00E465CC"/>
    <w:rsid w:val="00E4774D"/>
    <w:rsid w:val="00E47B96"/>
    <w:rsid w:val="00E47C52"/>
    <w:rsid w:val="00E47CBC"/>
    <w:rsid w:val="00E5003C"/>
    <w:rsid w:val="00E50143"/>
    <w:rsid w:val="00E50341"/>
    <w:rsid w:val="00E50858"/>
    <w:rsid w:val="00E51105"/>
    <w:rsid w:val="00E51C7A"/>
    <w:rsid w:val="00E52BF0"/>
    <w:rsid w:val="00E539AC"/>
    <w:rsid w:val="00E54046"/>
    <w:rsid w:val="00E55215"/>
    <w:rsid w:val="00E552EA"/>
    <w:rsid w:val="00E554EC"/>
    <w:rsid w:val="00E55B9A"/>
    <w:rsid w:val="00E56AC1"/>
    <w:rsid w:val="00E6193B"/>
    <w:rsid w:val="00E633E4"/>
    <w:rsid w:val="00E63693"/>
    <w:rsid w:val="00E6579D"/>
    <w:rsid w:val="00E65A78"/>
    <w:rsid w:val="00E665EC"/>
    <w:rsid w:val="00E66A42"/>
    <w:rsid w:val="00E66B46"/>
    <w:rsid w:val="00E6762D"/>
    <w:rsid w:val="00E7166C"/>
    <w:rsid w:val="00E71EB3"/>
    <w:rsid w:val="00E73D4F"/>
    <w:rsid w:val="00E75463"/>
    <w:rsid w:val="00E7605A"/>
    <w:rsid w:val="00E77424"/>
    <w:rsid w:val="00E805F6"/>
    <w:rsid w:val="00E807AC"/>
    <w:rsid w:val="00E816A0"/>
    <w:rsid w:val="00E81D34"/>
    <w:rsid w:val="00E826B2"/>
    <w:rsid w:val="00E82775"/>
    <w:rsid w:val="00E83358"/>
    <w:rsid w:val="00E8382F"/>
    <w:rsid w:val="00E841E9"/>
    <w:rsid w:val="00E84EA9"/>
    <w:rsid w:val="00E869D0"/>
    <w:rsid w:val="00E87C96"/>
    <w:rsid w:val="00E905DD"/>
    <w:rsid w:val="00E92872"/>
    <w:rsid w:val="00E93C6B"/>
    <w:rsid w:val="00E93EFA"/>
    <w:rsid w:val="00E94D9C"/>
    <w:rsid w:val="00E94DDD"/>
    <w:rsid w:val="00E9624F"/>
    <w:rsid w:val="00E97558"/>
    <w:rsid w:val="00E97712"/>
    <w:rsid w:val="00EA01FA"/>
    <w:rsid w:val="00EA0315"/>
    <w:rsid w:val="00EA0C18"/>
    <w:rsid w:val="00EA1D6B"/>
    <w:rsid w:val="00EA2116"/>
    <w:rsid w:val="00EA2334"/>
    <w:rsid w:val="00EA27FE"/>
    <w:rsid w:val="00EA2BA3"/>
    <w:rsid w:val="00EA3155"/>
    <w:rsid w:val="00EA3513"/>
    <w:rsid w:val="00EA3866"/>
    <w:rsid w:val="00EA40F9"/>
    <w:rsid w:val="00EA420F"/>
    <w:rsid w:val="00EA4A37"/>
    <w:rsid w:val="00EA4D5C"/>
    <w:rsid w:val="00EA51BC"/>
    <w:rsid w:val="00EA5703"/>
    <w:rsid w:val="00EA5B40"/>
    <w:rsid w:val="00EA6160"/>
    <w:rsid w:val="00EA73AD"/>
    <w:rsid w:val="00EA7860"/>
    <w:rsid w:val="00EB0CA5"/>
    <w:rsid w:val="00EB1235"/>
    <w:rsid w:val="00EB1B53"/>
    <w:rsid w:val="00EB1F35"/>
    <w:rsid w:val="00EB1FE0"/>
    <w:rsid w:val="00EB3C51"/>
    <w:rsid w:val="00EB445A"/>
    <w:rsid w:val="00EB6F19"/>
    <w:rsid w:val="00EB712A"/>
    <w:rsid w:val="00EB76F4"/>
    <w:rsid w:val="00EB7DC2"/>
    <w:rsid w:val="00EB7F42"/>
    <w:rsid w:val="00EC0077"/>
    <w:rsid w:val="00EC03E8"/>
    <w:rsid w:val="00EC0FDC"/>
    <w:rsid w:val="00EC1167"/>
    <w:rsid w:val="00EC1437"/>
    <w:rsid w:val="00EC1E68"/>
    <w:rsid w:val="00EC2686"/>
    <w:rsid w:val="00EC2866"/>
    <w:rsid w:val="00EC2EA2"/>
    <w:rsid w:val="00EC380E"/>
    <w:rsid w:val="00EC50D4"/>
    <w:rsid w:val="00EC57DD"/>
    <w:rsid w:val="00EC5B41"/>
    <w:rsid w:val="00EC6117"/>
    <w:rsid w:val="00EC72BD"/>
    <w:rsid w:val="00ED1476"/>
    <w:rsid w:val="00ED1A0B"/>
    <w:rsid w:val="00ED4E5C"/>
    <w:rsid w:val="00ED59B8"/>
    <w:rsid w:val="00ED5A59"/>
    <w:rsid w:val="00EE05C6"/>
    <w:rsid w:val="00EE0E13"/>
    <w:rsid w:val="00EE0F55"/>
    <w:rsid w:val="00EE14FD"/>
    <w:rsid w:val="00EE1A00"/>
    <w:rsid w:val="00EE1EAE"/>
    <w:rsid w:val="00EE1F7C"/>
    <w:rsid w:val="00EE2001"/>
    <w:rsid w:val="00EE2E54"/>
    <w:rsid w:val="00EE36B6"/>
    <w:rsid w:val="00EE561B"/>
    <w:rsid w:val="00EE7431"/>
    <w:rsid w:val="00EE75C1"/>
    <w:rsid w:val="00EE7866"/>
    <w:rsid w:val="00EE7D3B"/>
    <w:rsid w:val="00EF0B35"/>
    <w:rsid w:val="00EF11D3"/>
    <w:rsid w:val="00EF1D24"/>
    <w:rsid w:val="00EF231F"/>
    <w:rsid w:val="00EF23ED"/>
    <w:rsid w:val="00EF2466"/>
    <w:rsid w:val="00EF3303"/>
    <w:rsid w:val="00EF3ECC"/>
    <w:rsid w:val="00EF67FB"/>
    <w:rsid w:val="00F001B6"/>
    <w:rsid w:val="00F00242"/>
    <w:rsid w:val="00F00296"/>
    <w:rsid w:val="00F01AB5"/>
    <w:rsid w:val="00F01DA1"/>
    <w:rsid w:val="00F0259D"/>
    <w:rsid w:val="00F04106"/>
    <w:rsid w:val="00F04DC3"/>
    <w:rsid w:val="00F06360"/>
    <w:rsid w:val="00F075CE"/>
    <w:rsid w:val="00F10802"/>
    <w:rsid w:val="00F10E40"/>
    <w:rsid w:val="00F130A7"/>
    <w:rsid w:val="00F13B58"/>
    <w:rsid w:val="00F13F60"/>
    <w:rsid w:val="00F146A5"/>
    <w:rsid w:val="00F16433"/>
    <w:rsid w:val="00F16599"/>
    <w:rsid w:val="00F16926"/>
    <w:rsid w:val="00F16D39"/>
    <w:rsid w:val="00F17486"/>
    <w:rsid w:val="00F17862"/>
    <w:rsid w:val="00F20B89"/>
    <w:rsid w:val="00F20DFE"/>
    <w:rsid w:val="00F22B8C"/>
    <w:rsid w:val="00F22CDF"/>
    <w:rsid w:val="00F23F63"/>
    <w:rsid w:val="00F24136"/>
    <w:rsid w:val="00F25A65"/>
    <w:rsid w:val="00F25F51"/>
    <w:rsid w:val="00F26007"/>
    <w:rsid w:val="00F26364"/>
    <w:rsid w:val="00F274DD"/>
    <w:rsid w:val="00F279B4"/>
    <w:rsid w:val="00F31A99"/>
    <w:rsid w:val="00F31BE2"/>
    <w:rsid w:val="00F326F3"/>
    <w:rsid w:val="00F327DF"/>
    <w:rsid w:val="00F35594"/>
    <w:rsid w:val="00F355C4"/>
    <w:rsid w:val="00F358FF"/>
    <w:rsid w:val="00F361FD"/>
    <w:rsid w:val="00F3672C"/>
    <w:rsid w:val="00F4008E"/>
    <w:rsid w:val="00F41C5B"/>
    <w:rsid w:val="00F41E31"/>
    <w:rsid w:val="00F423E4"/>
    <w:rsid w:val="00F428F3"/>
    <w:rsid w:val="00F42E99"/>
    <w:rsid w:val="00F42FBF"/>
    <w:rsid w:val="00F43E15"/>
    <w:rsid w:val="00F45EA5"/>
    <w:rsid w:val="00F464C8"/>
    <w:rsid w:val="00F4670E"/>
    <w:rsid w:val="00F4734E"/>
    <w:rsid w:val="00F47676"/>
    <w:rsid w:val="00F47B9C"/>
    <w:rsid w:val="00F505AF"/>
    <w:rsid w:val="00F50608"/>
    <w:rsid w:val="00F515C6"/>
    <w:rsid w:val="00F518EE"/>
    <w:rsid w:val="00F52369"/>
    <w:rsid w:val="00F5257E"/>
    <w:rsid w:val="00F5435C"/>
    <w:rsid w:val="00F560E0"/>
    <w:rsid w:val="00F5610E"/>
    <w:rsid w:val="00F5675B"/>
    <w:rsid w:val="00F56D20"/>
    <w:rsid w:val="00F56DB0"/>
    <w:rsid w:val="00F5727F"/>
    <w:rsid w:val="00F57320"/>
    <w:rsid w:val="00F57C44"/>
    <w:rsid w:val="00F6043B"/>
    <w:rsid w:val="00F60F26"/>
    <w:rsid w:val="00F60F3A"/>
    <w:rsid w:val="00F6235D"/>
    <w:rsid w:val="00F62631"/>
    <w:rsid w:val="00F62A94"/>
    <w:rsid w:val="00F62D0C"/>
    <w:rsid w:val="00F630F6"/>
    <w:rsid w:val="00F644E6"/>
    <w:rsid w:val="00F64625"/>
    <w:rsid w:val="00F64AFD"/>
    <w:rsid w:val="00F64C84"/>
    <w:rsid w:val="00F64E63"/>
    <w:rsid w:val="00F71D6C"/>
    <w:rsid w:val="00F727A3"/>
    <w:rsid w:val="00F73814"/>
    <w:rsid w:val="00F75919"/>
    <w:rsid w:val="00F771B9"/>
    <w:rsid w:val="00F80604"/>
    <w:rsid w:val="00F80654"/>
    <w:rsid w:val="00F809EE"/>
    <w:rsid w:val="00F80DE9"/>
    <w:rsid w:val="00F8104A"/>
    <w:rsid w:val="00F81210"/>
    <w:rsid w:val="00F8247C"/>
    <w:rsid w:val="00F833F6"/>
    <w:rsid w:val="00F8348E"/>
    <w:rsid w:val="00F83E61"/>
    <w:rsid w:val="00F84D34"/>
    <w:rsid w:val="00F85AB7"/>
    <w:rsid w:val="00F90C64"/>
    <w:rsid w:val="00F90D57"/>
    <w:rsid w:val="00F93077"/>
    <w:rsid w:val="00F93197"/>
    <w:rsid w:val="00F9349A"/>
    <w:rsid w:val="00F9439E"/>
    <w:rsid w:val="00F9543B"/>
    <w:rsid w:val="00F955F7"/>
    <w:rsid w:val="00F96A95"/>
    <w:rsid w:val="00F97368"/>
    <w:rsid w:val="00F979A8"/>
    <w:rsid w:val="00FA0645"/>
    <w:rsid w:val="00FA0DA5"/>
    <w:rsid w:val="00FA15CE"/>
    <w:rsid w:val="00FA1710"/>
    <w:rsid w:val="00FA1D6B"/>
    <w:rsid w:val="00FA35C2"/>
    <w:rsid w:val="00FA5601"/>
    <w:rsid w:val="00FA5ADB"/>
    <w:rsid w:val="00FA5CBA"/>
    <w:rsid w:val="00FA7311"/>
    <w:rsid w:val="00FA7BC8"/>
    <w:rsid w:val="00FB03F1"/>
    <w:rsid w:val="00FB1BFD"/>
    <w:rsid w:val="00FB218A"/>
    <w:rsid w:val="00FB26B7"/>
    <w:rsid w:val="00FB34E0"/>
    <w:rsid w:val="00FB360E"/>
    <w:rsid w:val="00FB3D0D"/>
    <w:rsid w:val="00FB3DBC"/>
    <w:rsid w:val="00FB41FD"/>
    <w:rsid w:val="00FB5857"/>
    <w:rsid w:val="00FB6280"/>
    <w:rsid w:val="00FB7AE6"/>
    <w:rsid w:val="00FC0438"/>
    <w:rsid w:val="00FC2349"/>
    <w:rsid w:val="00FC2369"/>
    <w:rsid w:val="00FC2651"/>
    <w:rsid w:val="00FC2B34"/>
    <w:rsid w:val="00FC3760"/>
    <w:rsid w:val="00FC51EC"/>
    <w:rsid w:val="00FD022F"/>
    <w:rsid w:val="00FD066D"/>
    <w:rsid w:val="00FD0A4A"/>
    <w:rsid w:val="00FD0C3C"/>
    <w:rsid w:val="00FD1140"/>
    <w:rsid w:val="00FD14D1"/>
    <w:rsid w:val="00FD18C9"/>
    <w:rsid w:val="00FD1A29"/>
    <w:rsid w:val="00FD495F"/>
    <w:rsid w:val="00FD4D50"/>
    <w:rsid w:val="00FD5428"/>
    <w:rsid w:val="00FD5FDC"/>
    <w:rsid w:val="00FD654B"/>
    <w:rsid w:val="00FD7B4C"/>
    <w:rsid w:val="00FE0950"/>
    <w:rsid w:val="00FE0CAB"/>
    <w:rsid w:val="00FE1AED"/>
    <w:rsid w:val="00FE2CE8"/>
    <w:rsid w:val="00FE5003"/>
    <w:rsid w:val="00FE523C"/>
    <w:rsid w:val="00FE5BB3"/>
    <w:rsid w:val="00FF1481"/>
    <w:rsid w:val="00FF365C"/>
    <w:rsid w:val="00FF4285"/>
    <w:rsid w:val="00FF4BC2"/>
    <w:rsid w:val="00FF72BF"/>
    <w:rsid w:val="00FF7DA3"/>
    <w:rsid w:val="02775A86"/>
    <w:rsid w:val="036469E1"/>
    <w:rsid w:val="1ABA6662"/>
    <w:rsid w:val="1CB43AA4"/>
    <w:rsid w:val="241F6FB8"/>
    <w:rsid w:val="266B4CA7"/>
    <w:rsid w:val="29893721"/>
    <w:rsid w:val="29C700EC"/>
    <w:rsid w:val="2BBE330B"/>
    <w:rsid w:val="2C977DAA"/>
    <w:rsid w:val="307C5100"/>
    <w:rsid w:val="35916C2F"/>
    <w:rsid w:val="363B0C08"/>
    <w:rsid w:val="400548C8"/>
    <w:rsid w:val="415F48EE"/>
    <w:rsid w:val="46AB59D0"/>
    <w:rsid w:val="47945755"/>
    <w:rsid w:val="4B6A2537"/>
    <w:rsid w:val="4D346844"/>
    <w:rsid w:val="516B19D1"/>
    <w:rsid w:val="517F60C3"/>
    <w:rsid w:val="535F4DB5"/>
    <w:rsid w:val="53EF0E79"/>
    <w:rsid w:val="579B7496"/>
    <w:rsid w:val="5AAF0312"/>
    <w:rsid w:val="5BD66B7C"/>
    <w:rsid w:val="5FCD2EAB"/>
    <w:rsid w:val="678916A2"/>
    <w:rsid w:val="6D1A0C79"/>
    <w:rsid w:val="7127662C"/>
    <w:rsid w:val="71D00043"/>
    <w:rsid w:val="75C67D6A"/>
    <w:rsid w:val="7CB0572E"/>
    <w:rsid w:val="7FB1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GB" w:bidi="ar-SA"/>
    </w:rPr>
  </w:style>
  <w:style w:type="paragraph" w:styleId="2">
    <w:name w:val="heading 1"/>
    <w:basedOn w:val="3"/>
    <w:next w:val="1"/>
    <w:link w:val="33"/>
    <w:qFormat/>
    <w:uiPriority w:val="2"/>
    <w:pPr>
      <w:widowControl/>
      <w:numPr>
        <w:ilvl w:val="0"/>
        <w:numId w:val="1"/>
      </w:numPr>
      <w:spacing w:before="240" w:after="240"/>
      <w:ind w:firstLine="0" w:firstLineChars="0"/>
      <w:jc w:val="left"/>
      <w:outlineLvl w:val="0"/>
    </w:pPr>
    <w:rPr>
      <w:rFonts w:ascii="Times New Roman" w:hAnsi="Times New Roman" w:eastAsia="Cambria" w:cs="Times New Roman"/>
      <w:b/>
      <w:kern w:val="0"/>
      <w:sz w:val="24"/>
      <w:lang w:eastAsia="en-US"/>
    </w:rPr>
  </w:style>
  <w:style w:type="paragraph" w:styleId="4">
    <w:name w:val="heading 2"/>
    <w:basedOn w:val="2"/>
    <w:next w:val="1"/>
    <w:link w:val="34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35"/>
    <w:qFormat/>
    <w:uiPriority w:val="2"/>
    <w:pPr>
      <w:keepNext/>
      <w:keepLines/>
      <w:numPr>
        <w:ilvl w:val="2"/>
        <w:numId w:val="1"/>
      </w:numPr>
      <w:spacing w:before="40" w:after="120" w:line="259" w:lineRule="auto"/>
      <w:outlineLvl w:val="2"/>
    </w:pPr>
    <w:rPr>
      <w:rFonts w:eastAsiaTheme="majorEastAsia" w:cstheme="majorBidi"/>
      <w:b/>
      <w:lang w:val="en-US" w:eastAsia="en-US"/>
    </w:rPr>
  </w:style>
  <w:style w:type="paragraph" w:styleId="6">
    <w:name w:val="heading 4"/>
    <w:basedOn w:val="5"/>
    <w:next w:val="1"/>
    <w:link w:val="3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37"/>
    <w:qFormat/>
    <w:uiPriority w:val="2"/>
    <w:pPr>
      <w:numPr>
        <w:ilvl w:val="4"/>
      </w:numPr>
      <w:outlineLvl w:val="4"/>
    </w:p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link w:val="67"/>
    <w:qFormat/>
    <w:uiPriority w:val="34"/>
    <w:pPr>
      <w:widowControl w:val="0"/>
      <w:spacing w:after="160" w:line="259" w:lineRule="auto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eastAsia="zh-CN"/>
    </w:rPr>
  </w:style>
  <w:style w:type="paragraph" w:styleId="8">
    <w:name w:val="annotation text"/>
    <w:basedOn w:val="1"/>
    <w:link w:val="31"/>
    <w:unhideWhenUsed/>
    <w:qFormat/>
    <w:uiPriority w:val="99"/>
    <w:pPr>
      <w:widowControl w:val="0"/>
      <w:spacing w:after="160" w:line="259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/>
    </w:rPr>
  </w:style>
  <w:style w:type="paragraph" w:styleId="9">
    <w:name w:val="Balloon Text"/>
    <w:basedOn w:val="1"/>
    <w:link w:val="30"/>
    <w:semiHidden/>
    <w:unhideWhenUsed/>
    <w:qFormat/>
    <w:uiPriority w:val="99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18"/>
      <w:szCs w:val="18"/>
      <w:lang w:val="en-US" w:eastAsia="zh-CN"/>
    </w:rPr>
  </w:style>
  <w:style w:type="paragraph" w:styleId="10">
    <w:name w:val="footer"/>
    <w:basedOn w:val="1"/>
    <w:link w:val="2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160" w:line="259" w:lineRule="auto"/>
    </w:pPr>
    <w:rPr>
      <w:rFonts w:asciiTheme="minorHAnsi" w:hAnsiTheme="minorHAnsi" w:eastAsiaTheme="minorEastAsia" w:cstheme="minorBidi"/>
      <w:kern w:val="2"/>
      <w:sz w:val="18"/>
      <w:szCs w:val="18"/>
      <w:lang w:val="en-US" w:eastAsia="zh-CN"/>
    </w:rPr>
  </w:style>
  <w:style w:type="paragraph" w:styleId="11">
    <w:name w:val="header"/>
    <w:basedOn w:val="1"/>
    <w:link w:val="25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60" w:line="259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/>
    </w:rPr>
  </w:style>
  <w:style w:type="paragraph" w:styleId="12">
    <w:name w:val="footnote text"/>
    <w:basedOn w:val="1"/>
    <w:link w:val="40"/>
    <w:semiHidden/>
    <w:unhideWhenUsed/>
    <w:qFormat/>
    <w:uiPriority w:val="99"/>
    <w:pPr>
      <w:widowControl w:val="0"/>
      <w:snapToGrid w:val="0"/>
      <w:spacing w:after="160" w:line="259" w:lineRule="auto"/>
    </w:pPr>
    <w:rPr>
      <w:rFonts w:asciiTheme="minorHAnsi" w:hAnsiTheme="minorHAnsi" w:eastAsiaTheme="minorEastAsia" w:cstheme="minorBidi"/>
      <w:kern w:val="2"/>
      <w:sz w:val="18"/>
      <w:szCs w:val="18"/>
      <w:lang w:val="en-US" w:eastAsia="zh-CN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59" w:lineRule="auto"/>
    </w:pPr>
    <w:rPr>
      <w:lang w:val="en-US" w:eastAsia="en-US"/>
    </w:rPr>
  </w:style>
  <w:style w:type="paragraph" w:styleId="14">
    <w:name w:val="annotation subject"/>
    <w:basedOn w:val="8"/>
    <w:next w:val="8"/>
    <w:link w:val="32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FollowedHyperlink"/>
    <w:qFormat/>
    <w:uiPriority w:val="0"/>
    <w:rPr>
      <w:color w:val="800080"/>
      <w:u w:val="single"/>
    </w:rPr>
  </w:style>
  <w:style w:type="character" w:styleId="20">
    <w:name w:val="Emphasis"/>
    <w:basedOn w:val="17"/>
    <w:qFormat/>
    <w:uiPriority w:val="20"/>
    <w:rPr>
      <w:i/>
      <w:iCs/>
    </w:rPr>
  </w:style>
  <w:style w:type="character" w:styleId="21">
    <w:name w:val="line number"/>
    <w:basedOn w:val="17"/>
    <w:semiHidden/>
    <w:unhideWhenUsed/>
    <w:qFormat/>
    <w:uiPriority w:val="99"/>
  </w:style>
  <w:style w:type="character" w:styleId="22">
    <w:name w:val="Hyperlink"/>
    <w:basedOn w:val="17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17"/>
    <w:unhideWhenUsed/>
    <w:qFormat/>
    <w:uiPriority w:val="99"/>
    <w:rPr>
      <w:sz w:val="21"/>
      <w:szCs w:val="21"/>
    </w:rPr>
  </w:style>
  <w:style w:type="character" w:styleId="24">
    <w:name w:val="footnote reference"/>
    <w:basedOn w:val="17"/>
    <w:semiHidden/>
    <w:unhideWhenUsed/>
    <w:qFormat/>
    <w:uiPriority w:val="99"/>
    <w:rPr>
      <w:vertAlign w:val="superscript"/>
    </w:rPr>
  </w:style>
  <w:style w:type="character" w:customStyle="1" w:styleId="25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7"/>
    <w:link w:val="10"/>
    <w:qFormat/>
    <w:uiPriority w:val="99"/>
    <w:rPr>
      <w:sz w:val="18"/>
      <w:szCs w:val="18"/>
    </w:rPr>
  </w:style>
  <w:style w:type="table" w:customStyle="1" w:styleId="27">
    <w:name w:val="无格式表格 21"/>
    <w:basedOn w:val="15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28">
    <w:name w:val="content"/>
    <w:basedOn w:val="17"/>
    <w:qFormat/>
    <w:uiPriority w:val="0"/>
  </w:style>
  <w:style w:type="character" w:customStyle="1" w:styleId="29">
    <w:name w:val="fontstyle01"/>
    <w:basedOn w:val="17"/>
    <w:qFormat/>
    <w:uiPriority w:val="0"/>
    <w:rPr>
      <w:rFonts w:hint="default" w:ascii="Lato-Regular" w:hAnsi="Lato-Regular"/>
      <w:color w:val="242021"/>
      <w:sz w:val="18"/>
      <w:szCs w:val="18"/>
    </w:rPr>
  </w:style>
  <w:style w:type="character" w:customStyle="1" w:styleId="30">
    <w:name w:val="批注框文本 字符"/>
    <w:basedOn w:val="17"/>
    <w:link w:val="9"/>
    <w:semiHidden/>
    <w:qFormat/>
    <w:uiPriority w:val="99"/>
    <w:rPr>
      <w:sz w:val="18"/>
      <w:szCs w:val="18"/>
    </w:rPr>
  </w:style>
  <w:style w:type="character" w:customStyle="1" w:styleId="31">
    <w:name w:val="批注文字 字符"/>
    <w:basedOn w:val="17"/>
    <w:link w:val="8"/>
    <w:qFormat/>
    <w:uiPriority w:val="99"/>
  </w:style>
  <w:style w:type="character" w:customStyle="1" w:styleId="32">
    <w:name w:val="批注主题 字符"/>
    <w:basedOn w:val="31"/>
    <w:link w:val="14"/>
    <w:semiHidden/>
    <w:qFormat/>
    <w:uiPriority w:val="99"/>
    <w:rPr>
      <w:b/>
      <w:bCs/>
    </w:rPr>
  </w:style>
  <w:style w:type="character" w:customStyle="1" w:styleId="33">
    <w:name w:val="标题 1 字符"/>
    <w:basedOn w:val="17"/>
    <w:link w:val="2"/>
    <w:qFormat/>
    <w:uiPriority w:val="2"/>
    <w:rPr>
      <w:rFonts w:ascii="Times New Roman" w:hAnsi="Times New Roman" w:eastAsia="Cambria" w:cs="Times New Roman"/>
      <w:b/>
      <w:kern w:val="0"/>
      <w:sz w:val="24"/>
      <w:szCs w:val="24"/>
      <w:lang w:eastAsia="en-US"/>
    </w:rPr>
  </w:style>
  <w:style w:type="character" w:customStyle="1" w:styleId="34">
    <w:name w:val="标题 2 字符"/>
    <w:basedOn w:val="17"/>
    <w:link w:val="4"/>
    <w:qFormat/>
    <w:uiPriority w:val="2"/>
    <w:rPr>
      <w:rFonts w:ascii="Times New Roman" w:hAnsi="Times New Roman" w:eastAsia="Cambria" w:cs="Times New Roman"/>
      <w:b/>
      <w:kern w:val="0"/>
      <w:sz w:val="24"/>
      <w:szCs w:val="24"/>
      <w:lang w:eastAsia="en-US"/>
    </w:rPr>
  </w:style>
  <w:style w:type="character" w:customStyle="1" w:styleId="35">
    <w:name w:val="标题 3 字符"/>
    <w:basedOn w:val="17"/>
    <w:link w:val="5"/>
    <w:qFormat/>
    <w:uiPriority w:val="2"/>
    <w:rPr>
      <w:rFonts w:ascii="Times New Roman" w:hAnsi="Times New Roman" w:eastAsiaTheme="majorEastAsia" w:cstheme="majorBidi"/>
      <w:b/>
      <w:kern w:val="0"/>
      <w:sz w:val="24"/>
      <w:szCs w:val="24"/>
      <w:lang w:eastAsia="en-US"/>
    </w:rPr>
  </w:style>
  <w:style w:type="character" w:customStyle="1" w:styleId="36">
    <w:name w:val="标题 4 字符"/>
    <w:basedOn w:val="17"/>
    <w:link w:val="6"/>
    <w:qFormat/>
    <w:uiPriority w:val="2"/>
    <w:rPr>
      <w:rFonts w:ascii="Times New Roman" w:hAnsi="Times New Roman" w:eastAsiaTheme="majorEastAsia" w:cstheme="majorBidi"/>
      <w:b/>
      <w:iCs/>
      <w:kern w:val="0"/>
      <w:sz w:val="24"/>
      <w:szCs w:val="24"/>
      <w:lang w:eastAsia="en-US"/>
    </w:rPr>
  </w:style>
  <w:style w:type="character" w:customStyle="1" w:styleId="37">
    <w:name w:val="标题 5 字符"/>
    <w:basedOn w:val="17"/>
    <w:link w:val="7"/>
    <w:qFormat/>
    <w:uiPriority w:val="2"/>
    <w:rPr>
      <w:rFonts w:ascii="Times New Roman" w:hAnsi="Times New Roman" w:eastAsiaTheme="majorEastAsia" w:cstheme="majorBidi"/>
      <w:b/>
      <w:iCs/>
      <w:kern w:val="0"/>
      <w:sz w:val="24"/>
      <w:szCs w:val="24"/>
      <w:lang w:eastAsia="en-US"/>
    </w:rPr>
  </w:style>
  <w:style w:type="paragraph" w:customStyle="1" w:styleId="38">
    <w:name w:val="修订1"/>
    <w:hidden/>
    <w:semiHidden/>
    <w:qFormat/>
    <w:uiPriority w:val="99"/>
    <w:pPr>
      <w:spacing w:after="160" w:line="259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9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脚注文本 字符"/>
    <w:basedOn w:val="17"/>
    <w:link w:val="12"/>
    <w:semiHidden/>
    <w:qFormat/>
    <w:uiPriority w:val="99"/>
    <w:rPr>
      <w:sz w:val="18"/>
      <w:szCs w:val="18"/>
    </w:rPr>
  </w:style>
  <w:style w:type="character" w:customStyle="1" w:styleId="41">
    <w:name w:val="Unresolved Mention2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EndNote Bibliography Title"/>
    <w:basedOn w:val="1"/>
    <w:link w:val="43"/>
    <w:qFormat/>
    <w:uiPriority w:val="0"/>
    <w:pPr>
      <w:widowControl w:val="0"/>
      <w:spacing w:after="160" w:line="259" w:lineRule="auto"/>
      <w:jc w:val="center"/>
    </w:pPr>
    <w:rPr>
      <w:rFonts w:ascii="Calibri" w:hAnsi="Calibri" w:cs="Calibri" w:eastAsiaTheme="minorEastAsia"/>
      <w:kern w:val="2"/>
      <w:sz w:val="20"/>
      <w:szCs w:val="22"/>
      <w:lang w:val="en-US" w:eastAsia="zh-CN"/>
    </w:rPr>
  </w:style>
  <w:style w:type="character" w:customStyle="1" w:styleId="43">
    <w:name w:val="EndNote Bibliography Title Char"/>
    <w:basedOn w:val="17"/>
    <w:link w:val="42"/>
    <w:qFormat/>
    <w:uiPriority w:val="0"/>
    <w:rPr>
      <w:rFonts w:ascii="Calibri" w:hAnsi="Calibri" w:cs="Calibri"/>
      <w:kern w:val="2"/>
      <w:szCs w:val="22"/>
    </w:rPr>
  </w:style>
  <w:style w:type="paragraph" w:customStyle="1" w:styleId="44">
    <w:name w:val="EndNote Bibliography"/>
    <w:basedOn w:val="1"/>
    <w:link w:val="45"/>
    <w:qFormat/>
    <w:uiPriority w:val="0"/>
    <w:pPr>
      <w:widowControl w:val="0"/>
      <w:spacing w:after="160"/>
      <w:jc w:val="both"/>
    </w:pPr>
    <w:rPr>
      <w:rFonts w:ascii="Calibri" w:hAnsi="Calibri" w:cs="Calibri" w:eastAsiaTheme="minorEastAsia"/>
      <w:kern w:val="2"/>
      <w:sz w:val="20"/>
      <w:szCs w:val="22"/>
      <w:lang w:val="en-US" w:eastAsia="zh-CN"/>
    </w:rPr>
  </w:style>
  <w:style w:type="character" w:customStyle="1" w:styleId="45">
    <w:name w:val="EndNote Bibliography Char"/>
    <w:basedOn w:val="17"/>
    <w:link w:val="44"/>
    <w:qFormat/>
    <w:uiPriority w:val="0"/>
    <w:rPr>
      <w:rFonts w:ascii="Calibri" w:hAnsi="Calibri" w:cs="Calibri"/>
      <w:kern w:val="2"/>
      <w:szCs w:val="22"/>
    </w:rPr>
  </w:style>
  <w:style w:type="paragraph" w:customStyle="1" w:styleId="46">
    <w:name w:val="Paragraph"/>
    <w:basedOn w:val="1"/>
    <w:link w:val="60"/>
    <w:qFormat/>
    <w:uiPriority w:val="0"/>
    <w:pPr>
      <w:spacing w:before="120"/>
      <w:ind w:firstLine="720"/>
    </w:pPr>
    <w:rPr>
      <w:lang w:val="en-US" w:eastAsia="en-US"/>
    </w:rPr>
  </w:style>
  <w:style w:type="paragraph" w:customStyle="1" w:styleId="47">
    <w:name w:val="Acknowledgement"/>
    <w:basedOn w:val="1"/>
    <w:qFormat/>
    <w:uiPriority w:val="0"/>
    <w:pPr>
      <w:spacing w:before="120"/>
      <w:ind w:left="720" w:hanging="720"/>
    </w:pPr>
    <w:rPr>
      <w:lang w:val="en-US" w:eastAsia="en-US"/>
    </w:rPr>
  </w:style>
  <w:style w:type="table" w:customStyle="1" w:styleId="48">
    <w:name w:val="浅色底纹 - 强调文字颜色 11"/>
    <w:basedOn w:val="15"/>
    <w:qFormat/>
    <w:uiPriority w:val="60"/>
    <w:rPr>
      <w:rFonts w:eastAsia="宋体"/>
      <w:color w:val="2E75B6" w:themeColor="accent1" w:themeShade="BF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49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TableNote"/>
    <w:basedOn w:val="1"/>
    <w:qFormat/>
    <w:uiPriority w:val="0"/>
    <w:pPr>
      <w:spacing w:line="300" w:lineRule="exact"/>
    </w:pPr>
    <w:rPr>
      <w:rFonts w:eastAsia="宋体"/>
      <w:szCs w:val="20"/>
      <w:lang w:eastAsia="en-US"/>
    </w:rPr>
  </w:style>
  <w:style w:type="paragraph" w:customStyle="1" w:styleId="52">
    <w:name w:val="TableTitle"/>
    <w:basedOn w:val="1"/>
    <w:qFormat/>
    <w:uiPriority w:val="0"/>
    <w:pPr>
      <w:spacing w:line="300" w:lineRule="exact"/>
    </w:pPr>
    <w:rPr>
      <w:rFonts w:eastAsia="宋体"/>
      <w:szCs w:val="20"/>
      <w:lang w:eastAsia="en-US"/>
    </w:rPr>
  </w:style>
  <w:style w:type="paragraph" w:customStyle="1" w:styleId="53">
    <w:name w:val="TableHeader"/>
    <w:basedOn w:val="1"/>
    <w:qFormat/>
    <w:uiPriority w:val="0"/>
    <w:pPr>
      <w:spacing w:before="120"/>
    </w:pPr>
    <w:rPr>
      <w:rFonts w:eastAsia="宋体"/>
      <w:b/>
      <w:szCs w:val="20"/>
      <w:lang w:eastAsia="en-US"/>
    </w:rPr>
  </w:style>
  <w:style w:type="paragraph" w:customStyle="1" w:styleId="54">
    <w:name w:val="TableSubHead"/>
    <w:basedOn w:val="53"/>
    <w:qFormat/>
    <w:uiPriority w:val="0"/>
  </w:style>
  <w:style w:type="character" w:customStyle="1" w:styleId="55">
    <w:name w:val="Unresolved Mention3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6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7">
    <w:name w:val="authors-list-item"/>
    <w:basedOn w:val="17"/>
    <w:qFormat/>
    <w:uiPriority w:val="0"/>
  </w:style>
  <w:style w:type="character" w:customStyle="1" w:styleId="58">
    <w:name w:val="author-sup-separator"/>
    <w:basedOn w:val="17"/>
    <w:qFormat/>
    <w:uiPriority w:val="0"/>
  </w:style>
  <w:style w:type="paragraph" w:customStyle="1" w:styleId="59">
    <w:name w:val="公式"/>
    <w:basedOn w:val="46"/>
    <w:link w:val="61"/>
    <w:qFormat/>
    <w:uiPriority w:val="0"/>
    <w:pPr>
      <w:tabs>
        <w:tab w:val="right" w:pos="0"/>
        <w:tab w:val="right" w:pos="8820"/>
        <w:tab w:val="right" w:pos="10110"/>
      </w:tabs>
      <w:spacing w:before="0" w:line="360" w:lineRule="auto"/>
      <w:ind w:firstLine="0"/>
    </w:pPr>
    <w:rPr>
      <w:color w:val="000000" w:themeColor="text1"/>
      <w:sz w:val="22"/>
      <w:szCs w:val="22"/>
      <w:lang w:val="en-GB"/>
      <w14:textFill>
        <w14:solidFill>
          <w14:schemeClr w14:val="tx1"/>
        </w14:solidFill>
      </w14:textFill>
    </w:rPr>
  </w:style>
  <w:style w:type="character" w:customStyle="1" w:styleId="60">
    <w:name w:val="Paragraph Char"/>
    <w:basedOn w:val="17"/>
    <w:link w:val="46"/>
    <w:qFormat/>
    <w:uiPriority w:val="0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customStyle="1" w:styleId="61">
    <w:name w:val="公式 Char"/>
    <w:basedOn w:val="60"/>
    <w:link w:val="59"/>
    <w:qFormat/>
    <w:uiPriority w:val="0"/>
    <w:rPr>
      <w:rFonts w:ascii="Times New Roman" w:hAnsi="Times New Roman" w:eastAsia="Times New Roman" w:cs="Times New Roman"/>
      <w:color w:val="000000" w:themeColor="text1"/>
      <w:sz w:val="22"/>
      <w:szCs w:val="22"/>
      <w:lang w:val="en-GB" w:eastAsia="en-US"/>
      <w14:textFill>
        <w14:solidFill>
          <w14:schemeClr w14:val="tx1"/>
        </w14:solidFill>
      </w14:textFill>
    </w:rPr>
  </w:style>
  <w:style w:type="paragraph" w:customStyle="1" w:styleId="62">
    <w:name w:val="SM caption"/>
    <w:basedOn w:val="1"/>
    <w:qFormat/>
    <w:uiPriority w:val="0"/>
    <w:rPr>
      <w:rFonts w:eastAsiaTheme="minorEastAsia"/>
      <w:szCs w:val="20"/>
      <w:lang w:val="en-US" w:eastAsia="en-US"/>
    </w:rPr>
  </w:style>
  <w:style w:type="paragraph" w:customStyle="1" w:styleId="63">
    <w:name w:val="列出段落3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 w:eastAsia="宋体"/>
      <w:kern w:val="2"/>
      <w:sz w:val="21"/>
      <w:szCs w:val="22"/>
      <w:lang w:val="en-US" w:eastAsia="zh-CN"/>
    </w:rPr>
  </w:style>
  <w:style w:type="table" w:customStyle="1" w:styleId="64">
    <w:name w:val="中等深浅底纹 1 - 强调文字颜色 11"/>
    <w:basedOn w:val="15"/>
    <w:qFormat/>
    <w:uiPriority w:val="63"/>
    <w:rPr>
      <w:kern w:val="2"/>
      <w:sz w:val="21"/>
      <w:szCs w:val="22"/>
    </w:rPr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4B4DF" w:themeColor="accent1" w:themeTint="BF" w:sz="6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6E6F4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character" w:customStyle="1" w:styleId="65">
    <w:name w:val="ng-binding"/>
    <w:basedOn w:val="17"/>
    <w:qFormat/>
    <w:uiPriority w:val="0"/>
  </w:style>
  <w:style w:type="character" w:customStyle="1" w:styleId="66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7">
    <w:name w:val="列表段落 字符"/>
    <w:basedOn w:val="17"/>
    <w:link w:val="3"/>
    <w:qFormat/>
    <w:uiPriority w:val="34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4A0C7-650E-4D7F-8937-9A10C03079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</Pages>
  <Words>1598</Words>
  <Characters>9232</Characters>
  <Lines>94</Lines>
  <Paragraphs>26</Paragraphs>
  <TotalTime>96</TotalTime>
  <ScaleCrop>false</ScaleCrop>
  <LinksUpToDate>false</LinksUpToDate>
  <CharactersWithSpaces>10562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2023-03-28T06:50:00Z</dcterms:created>
  <dc:creator>霜33</dc:creator>
  <cp:lastModifiedBy>Administrator</cp:lastModifiedBy>
  <cp:lastPrinted>2021-05-07T03:13:00Z</cp:lastPrinted>
  <dcterms:modified xsi:type="dcterms:W3CDTF">2023-05-19T12:50:52Z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http://www.zotero.org/styles/genome-medicine</vt:lpwstr>
  </property>
  <property fmtid="{D5CDD505-2E9C-101B-9397-08002B2CF9AE}" pid="11" name="Mendeley Recent Style Name 4_1">
    <vt:lpwstr>Genome Medicine</vt:lpwstr>
  </property>
  <property fmtid="{D5CDD505-2E9C-101B-9397-08002B2CF9AE}" pid="12" name="Mendeley Recent Style Id 5_1">
    <vt:lpwstr>http://csl.mendeley.com/styles/499340731/HRB-2</vt:lpwstr>
  </property>
  <property fmtid="{D5CDD505-2E9C-101B-9397-08002B2CF9AE}" pid="13" name="Mendeley Recent Style Name 5_1">
    <vt:lpwstr>HRB</vt:lpwstr>
  </property>
  <property fmtid="{D5CDD505-2E9C-101B-9397-08002B2CF9AE}" pid="14" name="Mendeley Recent Style Id 6_1">
    <vt:lpwstr>http://www.zotero.org/styles/journal-of-translational-medicine</vt:lpwstr>
  </property>
  <property fmtid="{D5CDD505-2E9C-101B-9397-08002B2CF9AE}" pid="15" name="Mendeley Recent Style Name 6_1">
    <vt:lpwstr>Journal of Translational Medicine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8e848b52-9f65-3b93-9338-8d7c63737b11</vt:lpwstr>
  </property>
  <property fmtid="{D5CDD505-2E9C-101B-9397-08002B2CF9AE}" pid="24" name="Mendeley Citation Style_1">
    <vt:lpwstr>http://www.zotero.org/styles/genome-medicine</vt:lpwstr>
  </property>
  <property fmtid="{D5CDD505-2E9C-101B-9397-08002B2CF9AE}" pid="25" name="KSOProductBuildVer">
    <vt:lpwstr>2052-11.1.0.14309</vt:lpwstr>
  </property>
  <property fmtid="{D5CDD505-2E9C-101B-9397-08002B2CF9AE}" pid="26" name="ICV">
    <vt:lpwstr>11A6AD14E3E24A708B58BB2BF9F0C17F</vt:lpwstr>
  </property>
</Properties>
</file>