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A35579" w14:textId="77777777" w:rsidR="00A66593" w:rsidRPr="00A66593" w:rsidRDefault="00A66593" w:rsidP="00516BB7">
      <w:pPr>
        <w:rPr>
          <w:rFonts w:ascii="Times New Roman" w:eastAsia="Times New Roman" w:hAnsi="Times New Roman" w:cs="Times New Roman"/>
          <w:b/>
          <w:sz w:val="22"/>
          <w:szCs w:val="22"/>
        </w:rPr>
      </w:pPr>
      <w:r w:rsidRPr="00A66593">
        <w:rPr>
          <w:rFonts w:ascii="Times New Roman" w:eastAsia="Times New Roman" w:hAnsi="Times New Roman" w:cs="Times New Roman"/>
          <w:b/>
          <w:sz w:val="22"/>
          <w:szCs w:val="22"/>
        </w:rPr>
        <w:t>Supplemental Figure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>s</w:t>
      </w:r>
      <w:r w:rsidRPr="00A66593">
        <w:rPr>
          <w:rFonts w:ascii="Times New Roman" w:eastAsia="Times New Roman" w:hAnsi="Times New Roman" w:cs="Times New Roman"/>
          <w:b/>
          <w:sz w:val="22"/>
          <w:szCs w:val="22"/>
        </w:rPr>
        <w:t xml:space="preserve"> </w:t>
      </w:r>
    </w:p>
    <w:p w14:paraId="3412C56B" w14:textId="77777777" w:rsidR="00A66593" w:rsidRDefault="00A66593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4F2C7821" w14:textId="77777777" w:rsidR="00516BB7" w:rsidRPr="004040BB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noProof/>
          <w:sz w:val="22"/>
          <w:szCs w:val="22"/>
        </w:rPr>
        <w:drawing>
          <wp:inline distT="0" distB="0" distL="0" distR="0" wp14:anchorId="69795545" wp14:editId="6EC93352">
            <wp:extent cx="5943600" cy="4177665"/>
            <wp:effectExtent l="0" t="0" r="0" b="0"/>
            <wp:docPr id="1" name="Picture 1" descr="C:\Users\pbarrazaflores\Documents\Burkin Lab\NDS\Paper\Figures\SupplementalFig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barrazaflores\Documents\Burkin Lab\NDS\Paper\Figures\SupplementalFigure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7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97728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Supplemental Figure 1. Fibrosis is not significantly changed between immuno deficient and immuno competent LAMA2-CMD muscle. </w:t>
      </w:r>
      <w:r w:rsidRPr="004040BB">
        <w:rPr>
          <w:rFonts w:ascii="Times New Roman" w:eastAsia="Times New Roman" w:hAnsi="Times New Roman" w:cs="Times New Roman"/>
          <w:b/>
          <w:sz w:val="22"/>
          <w:szCs w:val="22"/>
        </w:rPr>
        <w:t xml:space="preserve">(A) </w:t>
      </w:r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Detection of </w:t>
      </w:r>
      <w:proofErr w:type="spellStart"/>
      <w:r w:rsidRPr="004040BB">
        <w:rPr>
          <w:rFonts w:ascii="Times New Roman" w:eastAsia="Times New Roman" w:hAnsi="Times New Roman" w:cs="Times New Roman"/>
          <w:sz w:val="22"/>
          <w:szCs w:val="22"/>
        </w:rPr>
        <w:t>sirius</w:t>
      </w:r>
      <w:proofErr w:type="spellEnd"/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 red stain in TA sections of wild type, NOD Scid, dy</w:t>
      </w:r>
      <w:r w:rsidRPr="004040BB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W</w:t>
      </w:r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 and NODScid dy</w:t>
      </w:r>
      <w:r w:rsidRPr="004040BB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W</w:t>
      </w:r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 mice. Quantification of hydroxyproline in quadriceps of male (N=4, 6, 8, 5 respectively; p-value &lt;0.05*, 0.004**)</w:t>
      </w:r>
      <w:r w:rsidRPr="004040BB">
        <w:rPr>
          <w:rFonts w:ascii="Times New Roman" w:eastAsia="Times New Roman" w:hAnsi="Times New Roman" w:cs="Times New Roman"/>
          <w:b/>
          <w:sz w:val="22"/>
          <w:szCs w:val="22"/>
        </w:rPr>
        <w:t xml:space="preserve"> (B)</w:t>
      </w:r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 and female male (N=5, 4, 5, 6 respectively; p-value &lt;0.05*, 0.0014**)</w:t>
      </w:r>
      <w:r w:rsidRPr="004040BB">
        <w:rPr>
          <w:rFonts w:ascii="Times New Roman" w:eastAsia="Times New Roman" w:hAnsi="Times New Roman" w:cs="Times New Roman"/>
          <w:b/>
          <w:sz w:val="22"/>
          <w:szCs w:val="22"/>
        </w:rPr>
        <w:t xml:space="preserve"> (C)</w:t>
      </w:r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 wild type, NOD Scid, dy</w:t>
      </w:r>
      <w:r w:rsidRPr="004040BB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W</w:t>
      </w:r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 and NODScid dy</w:t>
      </w:r>
      <w:r w:rsidRPr="004040BB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W</w:t>
      </w:r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 mice. </w:t>
      </w:r>
    </w:p>
    <w:p w14:paraId="1E2D2C53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460A2A1E" w14:textId="77777777" w:rsidR="00516BB7" w:rsidRPr="004040BB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37C2C946" wp14:editId="46B05F44">
            <wp:extent cx="5943600" cy="3168650"/>
            <wp:effectExtent l="0" t="0" r="0" b="0"/>
            <wp:docPr id="3" name="Picture 3" descr="C:\Users\pbarrazaflores\Documents\Burkin Lab\NDS\Paper\Figures\Supplemental Figure2 immune infiltra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barrazaflores\Documents\Burkin Lab\NDS\Paper\Figures\Supplemental Figure2 immune infiltration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6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EA30F" w14:textId="77777777" w:rsidR="00516BB7" w:rsidRPr="004040BB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59C227FA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Supplemental Figure 2. Macrophages and eosinophils are not severely changed in immuno deficient compared to immuno competent LAMA2-CMD muscle. </w:t>
      </w:r>
      <w:r w:rsidRPr="004040BB">
        <w:rPr>
          <w:rFonts w:ascii="Times New Roman" w:eastAsia="Times New Roman" w:hAnsi="Times New Roman" w:cs="Times New Roman"/>
          <w:b/>
          <w:sz w:val="22"/>
          <w:szCs w:val="22"/>
        </w:rPr>
        <w:t xml:space="preserve">(A) </w:t>
      </w:r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Detection of CD11B positive cells in TA sections of NODScid dyW, dyW and wild type. </w:t>
      </w:r>
      <w:r>
        <w:rPr>
          <w:rFonts w:ascii="Times New Roman" w:eastAsia="Times New Roman" w:hAnsi="Times New Roman" w:cs="Times New Roman"/>
          <w:sz w:val="22"/>
          <w:szCs w:val="22"/>
        </w:rPr>
        <w:t>Scale bar 100 µm.</w:t>
      </w:r>
    </w:p>
    <w:p w14:paraId="08847E23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5DE7AFCC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1C500FF6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46810498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5E9A05D9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55DF2C60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6DB630D8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017CC3BC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2A6DC11D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4F9649C1" w14:textId="77777777" w:rsidR="00516BB7" w:rsidRPr="004040BB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77438F90" wp14:editId="75E77BAC">
            <wp:extent cx="5943600" cy="3168650"/>
            <wp:effectExtent l="0" t="0" r="0" b="0"/>
            <wp:docPr id="4" name="Picture 4" descr="C:\Users\pbarrazaflores\Documents\Burkin Lab\NDS\Paper\Figures\Supplemental Figure3 immune infiltra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barrazaflores\Documents\Burkin Lab\NDS\Paper\Figures\Supplemental Figure3 immune infiltration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6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85CBF" w14:textId="77777777" w:rsidR="00516BB7" w:rsidRPr="004040BB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172AF5A3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Supplemental Figure 3. Neutrophils are not severely changed in immuno deficient compared to immuno competent LAMA2-CMD muscle. </w:t>
      </w:r>
      <w:r w:rsidRPr="004040BB">
        <w:rPr>
          <w:rFonts w:ascii="Times New Roman" w:eastAsia="Times New Roman" w:hAnsi="Times New Roman" w:cs="Times New Roman"/>
          <w:b/>
          <w:sz w:val="22"/>
          <w:szCs w:val="22"/>
        </w:rPr>
        <w:t xml:space="preserve">(A) </w:t>
      </w:r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Detection of </w:t>
      </w:r>
      <w:proofErr w:type="spellStart"/>
      <w:r w:rsidRPr="004040BB">
        <w:rPr>
          <w:rFonts w:ascii="Times New Roman" w:eastAsia="Times New Roman" w:hAnsi="Times New Roman" w:cs="Times New Roman"/>
          <w:sz w:val="22"/>
          <w:szCs w:val="22"/>
        </w:rPr>
        <w:t>LysC</w:t>
      </w:r>
      <w:proofErr w:type="spellEnd"/>
      <w:r w:rsidRPr="004040BB">
        <w:rPr>
          <w:rFonts w:ascii="Times New Roman" w:eastAsia="Times New Roman" w:hAnsi="Times New Roman" w:cs="Times New Roman"/>
          <w:sz w:val="22"/>
          <w:szCs w:val="22"/>
        </w:rPr>
        <w:t xml:space="preserve"> positive cells in TA sections of NODScid dyW, dyW and wild type. </w:t>
      </w:r>
      <w:r>
        <w:rPr>
          <w:rFonts w:ascii="Times New Roman" w:eastAsia="Times New Roman" w:hAnsi="Times New Roman" w:cs="Times New Roman"/>
          <w:sz w:val="22"/>
          <w:szCs w:val="22"/>
        </w:rPr>
        <w:t>Scale bar 100 µm.</w:t>
      </w:r>
    </w:p>
    <w:p w14:paraId="661E376B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3040EF78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481D86" w14:paraId="11082076" w14:textId="77777777" w:rsidTr="00481D86">
        <w:tc>
          <w:tcPr>
            <w:tcW w:w="9350" w:type="dxa"/>
          </w:tcPr>
          <w:p w14:paraId="6F0AEBE2" w14:textId="35E1C4F4" w:rsidR="00481D86" w:rsidRDefault="00481D86" w:rsidP="00481D8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noProof/>
                <w:sz w:val="22"/>
                <w:szCs w:val="22"/>
              </w:rPr>
              <w:lastRenderedPageBreak/>
              <w:drawing>
                <wp:inline distT="0" distB="0" distL="0" distR="0" wp14:anchorId="314D93FE" wp14:editId="2C6F5502">
                  <wp:extent cx="3388138" cy="6098650"/>
                  <wp:effectExtent l="0" t="0" r="3175" b="0"/>
                  <wp:docPr id="5" name="Picture 5" descr="A screenshot of a cell ph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Supplemental Fig4.ps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4859" cy="6110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2FA224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2C6C06DC" w14:textId="77777777" w:rsidR="00516BB7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47500036" w14:textId="1C269431" w:rsidR="00516BB7" w:rsidRPr="004040BB" w:rsidRDefault="00516BB7" w:rsidP="00516BB7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401073A0" w14:textId="1944CAEF" w:rsidR="00A66593" w:rsidRPr="007A2412" w:rsidRDefault="00481D86" w:rsidP="00A66593">
      <w:pPr>
        <w:rPr>
          <w:rFonts w:ascii="Times New Roman" w:eastAsia="Times New Roman" w:hAnsi="Times New Roman" w:cs="Times New Roman"/>
          <w:sz w:val="22"/>
          <w:szCs w:val="22"/>
        </w:rPr>
      </w:pP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Supplemental Fig 4. Immunofluorescence shows positive staining of </w:t>
      </w:r>
      <w:r w:rsidR="000765B4">
        <w:rPr>
          <w:rFonts w:ascii="Times New Roman" w:eastAsia="Times New Roman" w:hAnsi="Times New Roman" w:cs="Times New Roman"/>
          <w:sz w:val="22"/>
          <w:szCs w:val="22"/>
        </w:rPr>
        <w:t xml:space="preserve">human Laminin-111 </w:t>
      </w: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in TA of immunocompromised LAMA2-CMD mice treated with </w:t>
      </w:r>
      <w:r w:rsidR="000765B4">
        <w:rPr>
          <w:rFonts w:ascii="Times New Roman" w:eastAsia="Times New Roman" w:hAnsi="Times New Roman" w:cs="Times New Roman"/>
          <w:sz w:val="22"/>
          <w:szCs w:val="22"/>
        </w:rPr>
        <w:t>human recombinant Laminin-111</w:t>
      </w: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. HsLam-111 treated </w:t>
      </w:r>
      <w:proofErr w:type="spellStart"/>
      <w:r w:rsidRPr="00481D86">
        <w:rPr>
          <w:rFonts w:ascii="Times New Roman" w:eastAsia="Times New Roman" w:hAnsi="Times New Roman" w:cs="Times New Roman"/>
          <w:sz w:val="22"/>
          <w:szCs w:val="22"/>
        </w:rPr>
        <w:t>NODScid</w:t>
      </w:r>
      <w:proofErr w:type="spellEnd"/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 Dy</w:t>
      </w:r>
      <w:r w:rsidRPr="00481D86">
        <w:rPr>
          <w:rFonts w:ascii="Times New Roman" w:eastAsia="Times New Roman" w:hAnsi="Times New Roman" w:cs="Times New Roman"/>
          <w:sz w:val="22"/>
          <w:szCs w:val="22"/>
          <w:vertAlign w:val="superscript"/>
        </w:rPr>
        <w:t>W</w:t>
      </w: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 show positive staining </w:t>
      </w:r>
      <w:r w:rsidR="00070127">
        <w:rPr>
          <w:rFonts w:ascii="Times New Roman" w:eastAsia="Times New Roman" w:hAnsi="Times New Roman" w:cs="Times New Roman"/>
          <w:sz w:val="22"/>
          <w:szCs w:val="22"/>
        </w:rPr>
        <w:t xml:space="preserve">against human Laminin-111 </w:t>
      </w: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C-terminal domain </w:t>
      </w:r>
      <w:r w:rsidRPr="00481D86">
        <w:rPr>
          <w:rFonts w:ascii="Times New Roman" w:eastAsia="Times New Roman" w:hAnsi="Times New Roman" w:cs="Times New Roman"/>
          <w:b/>
          <w:bCs/>
          <w:sz w:val="22"/>
          <w:szCs w:val="22"/>
        </w:rPr>
        <w:t>(A)</w:t>
      </w: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 and rod terminal domain </w:t>
      </w:r>
      <w:r w:rsidRPr="00481D86">
        <w:rPr>
          <w:rFonts w:ascii="Times New Roman" w:eastAsia="Times New Roman" w:hAnsi="Times New Roman" w:cs="Times New Roman"/>
          <w:b/>
          <w:bCs/>
          <w:sz w:val="22"/>
          <w:szCs w:val="22"/>
        </w:rPr>
        <w:t>(B)</w:t>
      </w: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 compared to PBS treated mice. Antibodies are specific for human Laminin-111 </w:t>
      </w:r>
      <w:r w:rsidR="00070127">
        <w:rPr>
          <w:rFonts w:ascii="Times New Roman" w:eastAsia="Times New Roman" w:hAnsi="Times New Roman" w:cs="Times New Roman"/>
          <w:sz w:val="22"/>
          <w:szCs w:val="22"/>
        </w:rPr>
        <w:t>compared to mouse and 211 isoforms</w:t>
      </w:r>
      <w:r w:rsidRPr="00481D86">
        <w:rPr>
          <w:rFonts w:ascii="Times New Roman" w:eastAsia="Times New Roman" w:hAnsi="Times New Roman" w:cs="Times New Roman"/>
          <w:sz w:val="22"/>
          <w:szCs w:val="22"/>
        </w:rPr>
        <w:t>. Western blot of 1</w:t>
      </w:r>
      <w:r w:rsidR="007A2412">
        <w:rPr>
          <w:rFonts w:ascii="Times New Roman" w:eastAsia="Times New Roman" w:hAnsi="Times New Roman" w:cs="Times New Roman"/>
          <w:sz w:val="22"/>
          <w:szCs w:val="22"/>
        </w:rPr>
        <w:sym w:font="Symbol" w:char="F06D"/>
      </w: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g of </w:t>
      </w:r>
      <w:r w:rsidR="007A2412">
        <w:rPr>
          <w:rFonts w:ascii="Times New Roman" w:eastAsia="Times New Roman" w:hAnsi="Times New Roman" w:cs="Times New Roman"/>
          <w:sz w:val="22"/>
          <w:szCs w:val="22"/>
        </w:rPr>
        <w:t xml:space="preserve">mouse </w:t>
      </w:r>
      <w:r w:rsidRPr="00481D86">
        <w:rPr>
          <w:rFonts w:ascii="Times New Roman" w:eastAsia="Times New Roman" w:hAnsi="Times New Roman" w:cs="Times New Roman"/>
          <w:sz w:val="22"/>
          <w:szCs w:val="22"/>
        </w:rPr>
        <w:t>Lam</w:t>
      </w:r>
      <w:r w:rsidR="007A2412">
        <w:rPr>
          <w:rFonts w:ascii="Times New Roman" w:eastAsia="Times New Roman" w:hAnsi="Times New Roman" w:cs="Times New Roman"/>
          <w:sz w:val="22"/>
          <w:szCs w:val="22"/>
        </w:rPr>
        <w:t>inin</w:t>
      </w: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-111, HsLam-111 and HsLam-211 protein probed </w:t>
      </w:r>
      <w:r w:rsidR="007A2412">
        <w:rPr>
          <w:rFonts w:ascii="Times New Roman" w:eastAsia="Times New Roman" w:hAnsi="Times New Roman" w:cs="Times New Roman"/>
          <w:sz w:val="22"/>
          <w:szCs w:val="22"/>
        </w:rPr>
        <w:t>against</w:t>
      </w: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7A2412">
        <w:rPr>
          <w:rFonts w:ascii="Times New Roman" w:eastAsia="Times New Roman" w:hAnsi="Times New Roman" w:cs="Times New Roman"/>
          <w:sz w:val="22"/>
          <w:szCs w:val="22"/>
        </w:rPr>
        <w:sym w:font="Symbol" w:char="F061"/>
      </w: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-human Laminin-111 </w:t>
      </w:r>
      <w:r w:rsidRPr="00481D86">
        <w:rPr>
          <w:rFonts w:ascii="Times New Roman" w:eastAsia="Times New Roman" w:hAnsi="Times New Roman" w:cs="Times New Roman"/>
          <w:b/>
          <w:bCs/>
          <w:sz w:val="22"/>
          <w:szCs w:val="22"/>
        </w:rPr>
        <w:t>(C)</w:t>
      </w: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 rod-domain and </w:t>
      </w:r>
      <w:r w:rsidRPr="00481D86">
        <w:rPr>
          <w:rFonts w:ascii="Times New Roman" w:eastAsia="Times New Roman" w:hAnsi="Times New Roman" w:cs="Times New Roman"/>
          <w:b/>
          <w:bCs/>
          <w:sz w:val="22"/>
          <w:szCs w:val="22"/>
        </w:rPr>
        <w:t>(D)</w:t>
      </w:r>
      <w:r w:rsidRPr="00481D86">
        <w:rPr>
          <w:rFonts w:ascii="Times New Roman" w:eastAsia="Times New Roman" w:hAnsi="Times New Roman" w:cs="Times New Roman"/>
          <w:sz w:val="22"/>
          <w:szCs w:val="22"/>
        </w:rPr>
        <w:t xml:space="preserve"> C-terminal domain.    </w:t>
      </w:r>
    </w:p>
    <w:p w14:paraId="213DCB3E" w14:textId="77777777" w:rsidR="002615DE" w:rsidRPr="002615DE" w:rsidRDefault="002615DE" w:rsidP="00A66593">
      <w:pPr>
        <w:rPr>
          <w:rFonts w:ascii="Times New Roman" w:eastAsia="Times New Roman" w:hAnsi="Times New Roman" w:cs="Times New Roman"/>
          <w:bCs/>
          <w:sz w:val="22"/>
          <w:szCs w:val="22"/>
        </w:rPr>
      </w:pPr>
    </w:p>
    <w:p w14:paraId="379C33AB" w14:textId="77777777" w:rsidR="007E11D6" w:rsidRPr="002615DE" w:rsidRDefault="007E11D6" w:rsidP="00A66593">
      <w:pPr>
        <w:rPr>
          <w:rFonts w:ascii="Times New Roman" w:eastAsia="Times New Roman" w:hAnsi="Times New Roman" w:cs="Times New Roman"/>
          <w:bCs/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7E11D6" w14:paraId="5A05AFDC" w14:textId="77777777" w:rsidTr="00481D86">
        <w:trPr>
          <w:jc w:val="center"/>
        </w:trPr>
        <w:tc>
          <w:tcPr>
            <w:tcW w:w="467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449"/>
            </w:tblGrid>
            <w:tr w:rsidR="00481D86" w14:paraId="20B83437" w14:textId="77777777" w:rsidTr="00E953A2">
              <w:tc>
                <w:tcPr>
                  <w:tcW w:w="4449" w:type="dxa"/>
                </w:tcPr>
                <w:p w14:paraId="223D321D" w14:textId="176425C5" w:rsidR="00481D86" w:rsidRDefault="00481D86" w:rsidP="00A66593">
                  <w:pPr>
                    <w:rPr>
                      <w:rFonts w:ascii="Times New Roman" w:eastAsia="Times New Roman" w:hAnsi="Times New Roman" w:cs="Times New Roman"/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D2D0A03" w14:textId="461CEAF1" w:rsidR="007E11D6" w:rsidRDefault="007E11D6" w:rsidP="00A66593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4675" w:type="dxa"/>
          </w:tcPr>
          <w:p w14:paraId="73E602C8" w14:textId="32DE5BFD" w:rsidR="007E11D6" w:rsidRDefault="007E11D6" w:rsidP="007E11D6">
            <w:pPr>
              <w:pStyle w:val="Caption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</w:tc>
      </w:tr>
    </w:tbl>
    <w:p w14:paraId="50F9DBB2" w14:textId="7809B73A" w:rsidR="002615DE" w:rsidRDefault="002615DE" w:rsidP="00A66593">
      <w:pPr>
        <w:rPr>
          <w:rFonts w:ascii="Times New Roman" w:eastAsia="Times New Roman" w:hAnsi="Times New Roman" w:cs="Times New Roman"/>
          <w:bCs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E953A2" w14:paraId="3DA37367" w14:textId="77777777" w:rsidTr="00E953A2">
        <w:tc>
          <w:tcPr>
            <w:tcW w:w="9350" w:type="dxa"/>
          </w:tcPr>
          <w:p w14:paraId="2AC4093F" w14:textId="428F1521" w:rsidR="00E953A2" w:rsidRDefault="00E953A2" w:rsidP="00E953A2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2"/>
                <w:szCs w:val="22"/>
              </w:rPr>
              <w:drawing>
                <wp:inline distT="0" distB="0" distL="0" distR="0" wp14:anchorId="062A5D3F" wp14:editId="2247ED97">
                  <wp:extent cx="3065639" cy="2689412"/>
                  <wp:effectExtent l="0" t="0" r="0" b="3175"/>
                  <wp:docPr id="7" name="Picture 7" descr="A close 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upplemental Fig5.tif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273"/>
                          <a:stretch/>
                        </pic:blipFill>
                        <pic:spPr bwMode="auto">
                          <a:xfrm>
                            <a:off x="0" y="0"/>
                            <a:ext cx="3078606" cy="27007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C722E9" w14:textId="77777777" w:rsidR="00E953A2" w:rsidRPr="007E11D6" w:rsidRDefault="00E953A2" w:rsidP="00A66593">
      <w:pPr>
        <w:rPr>
          <w:rFonts w:ascii="Times New Roman" w:eastAsia="Times New Roman" w:hAnsi="Times New Roman" w:cs="Times New Roman"/>
          <w:bCs/>
          <w:sz w:val="22"/>
          <w:szCs w:val="22"/>
        </w:rPr>
      </w:pPr>
    </w:p>
    <w:p w14:paraId="6C2FBA59" w14:textId="15DF6A0F" w:rsidR="00481D86" w:rsidRPr="00481D86" w:rsidRDefault="00481D86" w:rsidP="00481D86">
      <w:pPr>
        <w:rPr>
          <w:rFonts w:ascii="Times New Roman" w:eastAsia="Times New Roman" w:hAnsi="Times New Roman" w:cs="Times New Roman"/>
          <w:bCs/>
          <w:sz w:val="22"/>
          <w:szCs w:val="22"/>
        </w:rPr>
      </w:pPr>
      <w:r w:rsidRPr="00481D86">
        <w:rPr>
          <w:rFonts w:ascii="Times New Roman" w:eastAsia="Times New Roman" w:hAnsi="Times New Roman" w:cs="Times New Roman"/>
          <w:bCs/>
          <w:sz w:val="22"/>
          <w:szCs w:val="22"/>
        </w:rPr>
        <w:t xml:space="preserve">Supplemental Fig 5. </w:t>
      </w:r>
      <w:r w:rsidR="00E66D55">
        <w:rPr>
          <w:rFonts w:ascii="Times New Roman" w:eastAsia="Times New Roman" w:hAnsi="Times New Roman" w:cs="Times New Roman"/>
          <w:bCs/>
          <w:sz w:val="22"/>
          <w:szCs w:val="22"/>
        </w:rPr>
        <w:t>T</w:t>
      </w:r>
      <w:r w:rsidR="00E66D55" w:rsidRPr="00481D86">
        <w:rPr>
          <w:rFonts w:ascii="Times New Roman" w:eastAsia="Times New Roman" w:hAnsi="Times New Roman" w:cs="Times New Roman"/>
          <w:bCs/>
          <w:sz w:val="22"/>
          <w:szCs w:val="22"/>
        </w:rPr>
        <w:t>reat</w:t>
      </w:r>
      <w:r w:rsidR="00E66D55">
        <w:rPr>
          <w:rFonts w:ascii="Times New Roman" w:eastAsia="Times New Roman" w:hAnsi="Times New Roman" w:cs="Times New Roman"/>
          <w:bCs/>
          <w:sz w:val="22"/>
          <w:szCs w:val="22"/>
        </w:rPr>
        <w:t>ment</w:t>
      </w:r>
      <w:r w:rsidR="00E66D55" w:rsidRPr="00481D86">
        <w:rPr>
          <w:rFonts w:ascii="Times New Roman" w:eastAsia="Times New Roman" w:hAnsi="Times New Roman" w:cs="Times New Roman"/>
          <w:bCs/>
          <w:sz w:val="22"/>
          <w:szCs w:val="22"/>
        </w:rPr>
        <w:t xml:space="preserve"> with human Laminin-111</w:t>
      </w:r>
      <w:r w:rsidR="00E66D55">
        <w:rPr>
          <w:rFonts w:ascii="Times New Roman" w:eastAsia="Times New Roman" w:hAnsi="Times New Roman" w:cs="Times New Roman"/>
          <w:bCs/>
          <w:sz w:val="22"/>
          <w:szCs w:val="22"/>
        </w:rPr>
        <w:t xml:space="preserve"> or 211 does </w:t>
      </w:r>
      <w:r w:rsidRPr="00481D86">
        <w:rPr>
          <w:rFonts w:ascii="Times New Roman" w:eastAsia="Times New Roman" w:hAnsi="Times New Roman" w:cs="Times New Roman"/>
          <w:bCs/>
          <w:sz w:val="22"/>
          <w:szCs w:val="22"/>
        </w:rPr>
        <w:t xml:space="preserve">not significantly </w:t>
      </w:r>
      <w:r w:rsidR="00E66D55">
        <w:rPr>
          <w:rFonts w:ascii="Times New Roman" w:eastAsia="Times New Roman" w:hAnsi="Times New Roman" w:cs="Times New Roman"/>
          <w:bCs/>
          <w:sz w:val="22"/>
          <w:szCs w:val="22"/>
        </w:rPr>
        <w:t xml:space="preserve">change grip strength </w:t>
      </w:r>
      <w:r w:rsidRPr="00481D86">
        <w:rPr>
          <w:rFonts w:ascii="Times New Roman" w:eastAsia="Times New Roman" w:hAnsi="Times New Roman" w:cs="Times New Roman"/>
          <w:bCs/>
          <w:sz w:val="22"/>
          <w:szCs w:val="22"/>
        </w:rPr>
        <w:t xml:space="preserve">in an immunocompromised mouse model of LAMA2-CMD. </w:t>
      </w:r>
      <w:r w:rsidRPr="00481D86">
        <w:rPr>
          <w:rFonts w:ascii="Times New Roman" w:eastAsia="Times New Roman" w:hAnsi="Times New Roman" w:cs="Times New Roman"/>
          <w:b/>
          <w:sz w:val="22"/>
          <w:szCs w:val="22"/>
        </w:rPr>
        <w:t>(A)</w:t>
      </w:r>
      <w:r w:rsidR="0004115D">
        <w:rPr>
          <w:rFonts w:ascii="Times New Roman" w:eastAsia="Times New Roman" w:hAnsi="Times New Roman" w:cs="Times New Roman"/>
          <w:bCs/>
          <w:sz w:val="22"/>
          <w:szCs w:val="22"/>
        </w:rPr>
        <w:t xml:space="preserve"> </w:t>
      </w:r>
      <w:r w:rsidRPr="00481D86">
        <w:rPr>
          <w:rFonts w:ascii="Times New Roman" w:eastAsia="Times New Roman" w:hAnsi="Times New Roman" w:cs="Times New Roman"/>
          <w:bCs/>
          <w:sz w:val="22"/>
          <w:szCs w:val="22"/>
        </w:rPr>
        <w:t xml:space="preserve">HsLam-111 and HsLam-211 treated </w:t>
      </w:r>
      <w:proofErr w:type="spellStart"/>
      <w:r w:rsidRPr="00481D86">
        <w:rPr>
          <w:rFonts w:ascii="Times New Roman" w:eastAsia="Times New Roman" w:hAnsi="Times New Roman" w:cs="Times New Roman"/>
          <w:bCs/>
          <w:sz w:val="22"/>
          <w:szCs w:val="22"/>
        </w:rPr>
        <w:t>NSDy</w:t>
      </w:r>
      <w:r w:rsidRPr="00481D86">
        <w:rPr>
          <w:rFonts w:ascii="Times New Roman" w:eastAsia="Times New Roman" w:hAnsi="Times New Roman" w:cs="Times New Roman"/>
          <w:bCs/>
          <w:sz w:val="22"/>
          <w:szCs w:val="22"/>
          <w:vertAlign w:val="superscript"/>
        </w:rPr>
        <w:t>W</w:t>
      </w:r>
      <w:proofErr w:type="spellEnd"/>
      <w:r w:rsidRPr="00481D86">
        <w:rPr>
          <w:rFonts w:ascii="Times New Roman" w:eastAsia="Times New Roman" w:hAnsi="Times New Roman" w:cs="Times New Roman"/>
          <w:bCs/>
          <w:sz w:val="22"/>
          <w:szCs w:val="22"/>
          <w:vertAlign w:val="superscript"/>
        </w:rPr>
        <w:t xml:space="preserve"> </w:t>
      </w:r>
      <w:r w:rsidRPr="00481D86">
        <w:rPr>
          <w:rFonts w:ascii="Times New Roman" w:eastAsia="Times New Roman" w:hAnsi="Times New Roman" w:cs="Times New Roman"/>
          <w:bCs/>
          <w:sz w:val="22"/>
          <w:szCs w:val="22"/>
        </w:rPr>
        <w:t xml:space="preserve">mice did not show a significant increase in grip strength when compared to </w:t>
      </w:r>
      <w:r w:rsidR="001E4498">
        <w:rPr>
          <w:rFonts w:ascii="Times New Roman" w:eastAsia="Times New Roman" w:hAnsi="Times New Roman" w:cs="Times New Roman"/>
          <w:bCs/>
          <w:sz w:val="22"/>
          <w:szCs w:val="22"/>
        </w:rPr>
        <w:t>PBS</w:t>
      </w:r>
      <w:r w:rsidRPr="00481D86">
        <w:rPr>
          <w:rFonts w:ascii="Times New Roman" w:eastAsia="Times New Roman" w:hAnsi="Times New Roman" w:cs="Times New Roman"/>
          <w:bCs/>
          <w:sz w:val="22"/>
          <w:szCs w:val="22"/>
        </w:rPr>
        <w:t xml:space="preserve"> treated group (N=6). </w:t>
      </w:r>
    </w:p>
    <w:p w14:paraId="12CF439A" w14:textId="71E7907C" w:rsidR="002615DE" w:rsidRDefault="002615DE" w:rsidP="00A66593">
      <w:pPr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0C26AEEE" w14:textId="77777777" w:rsidR="002615DE" w:rsidRDefault="002615DE" w:rsidP="00A66593">
      <w:pPr>
        <w:rPr>
          <w:rFonts w:ascii="Times New Roman" w:eastAsia="Times New Roman" w:hAnsi="Times New Roman" w:cs="Times New Roman"/>
          <w:b/>
          <w:sz w:val="22"/>
          <w:szCs w:val="22"/>
        </w:rPr>
      </w:pPr>
    </w:p>
    <w:p w14:paraId="72D17B6F" w14:textId="43118673" w:rsidR="00A66593" w:rsidRPr="00A66593" w:rsidRDefault="00A66593"/>
    <w:sectPr w:rsidR="00A66593" w:rsidRPr="00A665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1A1AF0" w14:textId="77777777" w:rsidR="00992989" w:rsidRDefault="00992989" w:rsidP="00E953A2">
      <w:r>
        <w:separator/>
      </w:r>
    </w:p>
  </w:endnote>
  <w:endnote w:type="continuationSeparator" w:id="0">
    <w:p w14:paraId="1561C736" w14:textId="77777777" w:rsidR="00992989" w:rsidRDefault="00992989" w:rsidP="00E953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CEFBFA" w14:textId="77777777" w:rsidR="00992989" w:rsidRDefault="00992989" w:rsidP="00E953A2">
      <w:r>
        <w:separator/>
      </w:r>
    </w:p>
  </w:footnote>
  <w:footnote w:type="continuationSeparator" w:id="0">
    <w:p w14:paraId="57313554" w14:textId="77777777" w:rsidR="00992989" w:rsidRDefault="00992989" w:rsidP="00E953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BB7"/>
    <w:rsid w:val="0004115D"/>
    <w:rsid w:val="00070127"/>
    <w:rsid w:val="000765B4"/>
    <w:rsid w:val="001E4498"/>
    <w:rsid w:val="002615DE"/>
    <w:rsid w:val="00481D86"/>
    <w:rsid w:val="00516BB7"/>
    <w:rsid w:val="00665CC3"/>
    <w:rsid w:val="007A2412"/>
    <w:rsid w:val="007E11D6"/>
    <w:rsid w:val="00881760"/>
    <w:rsid w:val="00992989"/>
    <w:rsid w:val="009A00D0"/>
    <w:rsid w:val="00A66593"/>
    <w:rsid w:val="00A752E3"/>
    <w:rsid w:val="00B54BD4"/>
    <w:rsid w:val="00C0367C"/>
    <w:rsid w:val="00D5170F"/>
    <w:rsid w:val="00E66D55"/>
    <w:rsid w:val="00E9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DDB41"/>
  <w15:chartTrackingRefBased/>
  <w15:docId w15:val="{0C00572E-CECF-4515-BFF7-040E25EC3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16BB7"/>
    <w:pPr>
      <w:spacing w:after="0" w:line="240" w:lineRule="auto"/>
    </w:pPr>
    <w:rPr>
      <w:rFonts w:ascii="Cambria" w:eastAsia="Cambria" w:hAnsi="Cambria" w:cs="Cambria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1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E11D6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953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53A2"/>
    <w:rPr>
      <w:rFonts w:ascii="Cambria" w:eastAsia="Cambria" w:hAnsi="Cambria" w:cs="Cambr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953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53A2"/>
    <w:rPr>
      <w:rFonts w:ascii="Cambria" w:eastAsia="Cambria" w:hAnsi="Cambria" w:cs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18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869DF-C3A2-1745-B62A-546FA4E28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Nevada, Reno</Company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Barraza-Flores</dc:creator>
  <cp:keywords/>
  <dc:description/>
  <cp:lastModifiedBy>Pamela Barraza-Flores</cp:lastModifiedBy>
  <cp:revision>13</cp:revision>
  <dcterms:created xsi:type="dcterms:W3CDTF">2020-01-07T21:31:00Z</dcterms:created>
  <dcterms:modified xsi:type="dcterms:W3CDTF">2020-05-04T18:15:00Z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http://www.zotero.org/styles/human-molecular-genetics</vt:lpwstr>
  </property>
  <property fmtid="{D5CDD505-2E9C-101B-9397-08002B2CF9AE}" pid="9" name="Mendeley Recent Style Name 3_1">
    <vt:lpwstr>Human Molecular Genetics</vt:lpwstr>
  </property>
  <property fmtid="{D5CDD505-2E9C-101B-9397-08002B2CF9AE}" pid="10" name="Mendeley Recent Style Id 4_1">
    <vt:lpwstr>http://www.zotero.org/styles/modern-humanities-research-association</vt:lpwstr>
  </property>
  <property fmtid="{D5CDD505-2E9C-101B-9397-08002B2CF9AE}" pid="11" name="Mendeley Recent Style Name 4_1">
    <vt:lpwstr>Modern Humanities Research Association 3rd edition (note with bibliography)</vt:lpwstr>
  </property>
  <property fmtid="{D5CDD505-2E9C-101B-9397-08002B2CF9AE}" pid="12" name="Mendeley Recent Style Id 5_1">
    <vt:lpwstr>http://www.zotero.org/styles/modern-language-association</vt:lpwstr>
  </property>
  <property fmtid="{D5CDD505-2E9C-101B-9397-08002B2CF9AE}" pid="13" name="Mendeley Recent Style Name 5_1">
    <vt:lpwstr>Modern Language Association 8th edition</vt:lpwstr>
  </property>
  <property fmtid="{D5CDD505-2E9C-101B-9397-08002B2CF9AE}" pid="14" name="Mendeley Recent Style Id 6_1">
    <vt:lpwstr>http://www.zotero.org/styles/molecular-therapy</vt:lpwstr>
  </property>
  <property fmtid="{D5CDD505-2E9C-101B-9397-08002B2CF9AE}" pid="15" name="Mendeley Recent Style Name 6_1">
    <vt:lpwstr>Molecular Therapy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http://www.zotero.org/styles/the-embo-journal</vt:lpwstr>
  </property>
  <property fmtid="{D5CDD505-2E9C-101B-9397-08002B2CF9AE}" pid="19" name="Mendeley Recent Style Name 8_1">
    <vt:lpwstr>The EMBO Journal</vt:lpwstr>
  </property>
  <property fmtid="{D5CDD505-2E9C-101B-9397-08002B2CF9AE}" pid="20" name="Mendeley Recent Style Id 9_1">
    <vt:lpwstr>http://www.zotero.org/styles/the-journal-of-clinical-investigation</vt:lpwstr>
  </property>
  <property fmtid="{D5CDD505-2E9C-101B-9397-08002B2CF9AE}" pid="21" name="Mendeley Recent Style Name 9_1">
    <vt:lpwstr>The Journal of Clinical Investigation</vt:lpwstr>
  </property>
</Properties>
</file>