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FB34C" w14:textId="4D691C88" w:rsidR="00AB77F1" w:rsidRPr="00AB77F1" w:rsidRDefault="00AB77F1" w:rsidP="00AB77F1">
      <w:pPr>
        <w:spacing w:line="360" w:lineRule="auto"/>
        <w:jc w:val="center"/>
        <w:rPr>
          <w:rFonts w:ascii="Times New Roman" w:hAnsi="Times New Roman" w:cs="Times New Roman"/>
          <w:b/>
          <w:bCs/>
          <w:sz w:val="32"/>
          <w:szCs w:val="32"/>
          <w:lang w:val="en-US"/>
        </w:rPr>
      </w:pPr>
      <w:r w:rsidRPr="00AB77F1">
        <w:rPr>
          <w:rFonts w:ascii="Times New Roman" w:hAnsi="Times New Roman" w:cs="Times New Roman"/>
          <w:b/>
          <w:bCs/>
          <w:sz w:val="32"/>
          <w:szCs w:val="32"/>
          <w:lang w:val="en-US"/>
        </w:rPr>
        <w:t xml:space="preserve">Supplementary Information for </w:t>
      </w:r>
    </w:p>
    <w:p w14:paraId="5478728F" w14:textId="2BCFBA08" w:rsidR="00AB77F1" w:rsidRPr="00AB77F1" w:rsidRDefault="00AB77F1" w:rsidP="00AB77F1">
      <w:pPr>
        <w:spacing w:line="360" w:lineRule="auto"/>
        <w:jc w:val="center"/>
        <w:rPr>
          <w:rFonts w:ascii="Times New Roman" w:hAnsi="Times New Roman" w:cs="Times New Roman"/>
          <w:b/>
          <w:bCs/>
          <w:lang w:val="en-US"/>
        </w:rPr>
      </w:pPr>
    </w:p>
    <w:p w14:paraId="0C20C674" w14:textId="77777777" w:rsidR="00AB77F1" w:rsidRPr="00AB77F1" w:rsidRDefault="00AB77F1" w:rsidP="00AB77F1">
      <w:pPr>
        <w:pStyle w:val="Head"/>
        <w:spacing w:line="360" w:lineRule="auto"/>
        <w:jc w:val="both"/>
      </w:pPr>
      <w:r w:rsidRPr="00AB77F1">
        <w:t>Tetracarbonate melts and the fate of primordial carbon in the deep Earth</w:t>
      </w:r>
    </w:p>
    <w:p w14:paraId="6069FAD9" w14:textId="139F7674" w:rsidR="00AB77F1" w:rsidRPr="00AB77F1" w:rsidRDefault="00AB77F1" w:rsidP="00AB77F1">
      <w:pPr>
        <w:pStyle w:val="Authors"/>
        <w:spacing w:line="360" w:lineRule="auto"/>
        <w:jc w:val="both"/>
      </w:pPr>
      <w:r w:rsidRPr="00AB77F1">
        <w:t>Valerio Cerantola</w:t>
      </w:r>
      <w:r w:rsidRPr="00AB77F1">
        <w:rPr>
          <w:vertAlign w:val="superscript"/>
        </w:rPr>
        <w:t>1,2*</w:t>
      </w:r>
      <w:r w:rsidRPr="00AB77F1">
        <w:t>, Christoph J. Sahle</w:t>
      </w:r>
      <w:r w:rsidRPr="00AB77F1">
        <w:rPr>
          <w:vertAlign w:val="superscript"/>
        </w:rPr>
        <w:t>2</w:t>
      </w:r>
      <w:r w:rsidRPr="00AB77F1">
        <w:t>, Sylvain Petitgirard</w:t>
      </w:r>
      <w:r w:rsidRPr="00AB77F1">
        <w:rPr>
          <w:vertAlign w:val="superscript"/>
        </w:rPr>
        <w:t>3,4</w:t>
      </w:r>
      <w:r w:rsidRPr="00AB77F1">
        <w:t>, Min Wu</w:t>
      </w:r>
      <w:r w:rsidRPr="00AB77F1">
        <w:rPr>
          <w:vertAlign w:val="superscript"/>
        </w:rPr>
        <w:t>5</w:t>
      </w:r>
      <w:r w:rsidRPr="00AB77F1">
        <w:t>, Stefano Checchia</w:t>
      </w:r>
      <w:r w:rsidRPr="00AB77F1">
        <w:rPr>
          <w:vertAlign w:val="superscript"/>
        </w:rPr>
        <w:t>2</w:t>
      </w:r>
      <w:r w:rsidRPr="00AB77F1">
        <w:t>, Christopher Weis</w:t>
      </w:r>
      <w:r w:rsidRPr="00AB77F1">
        <w:rPr>
          <w:vertAlign w:val="superscript"/>
        </w:rPr>
        <w:t>6</w:t>
      </w:r>
      <w:r w:rsidRPr="00AB77F1">
        <w:t>, Marco Di Michiel</w:t>
      </w:r>
      <w:r w:rsidRPr="00AB77F1">
        <w:rPr>
          <w:vertAlign w:val="superscript"/>
        </w:rPr>
        <w:t>2</w:t>
      </w:r>
      <w:r w:rsidRPr="00AB77F1">
        <w:t>, Gavin B. M. Vaughan</w:t>
      </w:r>
      <w:r w:rsidRPr="00AB77F1">
        <w:rPr>
          <w:vertAlign w:val="superscript"/>
        </w:rPr>
        <w:t>2</w:t>
      </w:r>
      <w:r w:rsidRPr="00AB77F1">
        <w:t>, Ines E. Collings</w:t>
      </w:r>
      <w:r w:rsidRPr="00AB77F1">
        <w:rPr>
          <w:vertAlign w:val="superscript"/>
        </w:rPr>
        <w:t>2</w:t>
      </w:r>
      <w:r w:rsidRPr="00AB77F1">
        <w:t xml:space="preserve">, </w:t>
      </w:r>
      <w:proofErr w:type="spellStart"/>
      <w:r w:rsidRPr="00AB77F1">
        <w:t>Róbert</w:t>
      </w:r>
      <w:proofErr w:type="spellEnd"/>
      <w:r w:rsidRPr="00AB77F1">
        <w:t xml:space="preserve"> Arató</w:t>
      </w:r>
      <w:r w:rsidRPr="00AB77F1">
        <w:rPr>
          <w:vertAlign w:val="superscript"/>
        </w:rPr>
        <w:t>4,7</w:t>
      </w:r>
      <w:r w:rsidRPr="00AB77F1">
        <w:t>, Max Wilke</w:t>
      </w:r>
      <w:r w:rsidRPr="00AB77F1">
        <w:rPr>
          <w:vertAlign w:val="superscript"/>
        </w:rPr>
        <w:t>8</w:t>
      </w:r>
      <w:r w:rsidRPr="00AB77F1">
        <w:t>, Adrian P. Jones</w:t>
      </w:r>
      <w:r w:rsidRPr="00AB77F1">
        <w:rPr>
          <w:vertAlign w:val="superscript"/>
        </w:rPr>
        <w:t>9</w:t>
      </w:r>
      <w:r w:rsidRPr="00AB77F1">
        <w:t>, Michael Hanfland</w:t>
      </w:r>
      <w:r w:rsidRPr="00AB77F1">
        <w:rPr>
          <w:vertAlign w:val="superscript"/>
        </w:rPr>
        <w:t>2</w:t>
      </w:r>
      <w:r w:rsidRPr="00AB77F1">
        <w:t>, John S. Tse</w:t>
      </w:r>
      <w:r w:rsidRPr="00AB77F1">
        <w:rPr>
          <w:vertAlign w:val="superscript"/>
        </w:rPr>
        <w:t>10</w:t>
      </w:r>
    </w:p>
    <w:p w14:paraId="5CC94533" w14:textId="77777777" w:rsidR="00AB77F1" w:rsidRPr="00AB77F1" w:rsidRDefault="00AB77F1" w:rsidP="00AB77F1">
      <w:pPr>
        <w:pStyle w:val="Standarduser"/>
        <w:spacing w:line="360" w:lineRule="auto"/>
        <w:jc w:val="center"/>
        <w:rPr>
          <w:lang w:val="en-US"/>
        </w:rPr>
      </w:pPr>
    </w:p>
    <w:p w14:paraId="3070A4B9" w14:textId="77777777" w:rsidR="00AB77F1" w:rsidRPr="00AB77F1" w:rsidRDefault="00AB77F1" w:rsidP="00AB77F1">
      <w:pPr>
        <w:pStyle w:val="Standarduser"/>
        <w:spacing w:line="360" w:lineRule="auto"/>
        <w:jc w:val="center"/>
        <w:rPr>
          <w:lang w:val="en-US"/>
        </w:rPr>
      </w:pPr>
      <w:r w:rsidRPr="00AB77F1">
        <w:rPr>
          <w:lang w:val="en-US"/>
        </w:rPr>
        <w:t>Correspondence to: valerio.cerantola@xfel.eu</w:t>
      </w:r>
    </w:p>
    <w:p w14:paraId="6C6C15F6" w14:textId="77777777" w:rsidR="00AB77F1" w:rsidRPr="00AB77F1" w:rsidRDefault="00AB77F1" w:rsidP="00AB77F1">
      <w:pPr>
        <w:pStyle w:val="Standarduser"/>
        <w:spacing w:line="360" w:lineRule="auto"/>
        <w:rPr>
          <w:lang w:val="en-US"/>
        </w:rPr>
      </w:pPr>
    </w:p>
    <w:p w14:paraId="09936685" w14:textId="77777777" w:rsidR="00AB77F1" w:rsidRPr="00AB77F1" w:rsidRDefault="00AB77F1" w:rsidP="00AB77F1">
      <w:pPr>
        <w:pStyle w:val="Standarduser"/>
        <w:spacing w:line="360" w:lineRule="auto"/>
        <w:rPr>
          <w:b/>
          <w:lang w:val="en-US"/>
        </w:rPr>
      </w:pPr>
    </w:p>
    <w:p w14:paraId="7E57B942" w14:textId="69C23CBE" w:rsidR="00AB77F1" w:rsidRPr="00AB77F1" w:rsidRDefault="00AB77F1" w:rsidP="00AB77F1">
      <w:pPr>
        <w:pStyle w:val="Standarduser"/>
        <w:spacing w:line="360" w:lineRule="auto"/>
        <w:rPr>
          <w:lang w:val="en-US"/>
        </w:rPr>
      </w:pPr>
      <w:r w:rsidRPr="00AB77F1">
        <w:rPr>
          <w:b/>
          <w:lang w:val="en-US"/>
        </w:rPr>
        <w:t>This file includes</w:t>
      </w:r>
    </w:p>
    <w:p w14:paraId="066B228C" w14:textId="77777777" w:rsidR="00AB77F1" w:rsidRPr="00AB77F1" w:rsidRDefault="00AB77F1" w:rsidP="00AB77F1">
      <w:pPr>
        <w:pStyle w:val="Standarduser"/>
        <w:spacing w:line="360" w:lineRule="auto"/>
        <w:rPr>
          <w:lang w:val="en-US"/>
        </w:rPr>
      </w:pPr>
    </w:p>
    <w:p w14:paraId="57191B37" w14:textId="46EA3B84" w:rsidR="00AB77F1" w:rsidRPr="008C029E" w:rsidRDefault="00AB77F1" w:rsidP="00AB77F1">
      <w:pPr>
        <w:pStyle w:val="Standarduser"/>
        <w:spacing w:line="360" w:lineRule="auto"/>
        <w:ind w:left="720"/>
        <w:rPr>
          <w:u w:val="single"/>
          <w:lang w:val="en-US"/>
        </w:rPr>
      </w:pPr>
      <w:r w:rsidRPr="008C029E">
        <w:rPr>
          <w:u w:val="single"/>
          <w:lang w:val="en-US"/>
        </w:rPr>
        <w:t>Supplementary Text:</w:t>
      </w:r>
    </w:p>
    <w:p w14:paraId="4D36B5D3" w14:textId="77777777" w:rsidR="00AB77F1" w:rsidRPr="00AB77F1" w:rsidRDefault="00AB77F1" w:rsidP="00AB77F1">
      <w:pPr>
        <w:pStyle w:val="Standarduser"/>
        <w:spacing w:line="360" w:lineRule="auto"/>
        <w:ind w:left="720"/>
        <w:rPr>
          <w:lang w:val="en-US"/>
        </w:rPr>
      </w:pPr>
    </w:p>
    <w:p w14:paraId="7935FC52" w14:textId="59914089" w:rsidR="00AB77F1" w:rsidRPr="00AB77F1" w:rsidRDefault="00AB77F1" w:rsidP="00AB77F1">
      <w:pPr>
        <w:pStyle w:val="SMSubheading"/>
        <w:numPr>
          <w:ilvl w:val="0"/>
          <w:numId w:val="1"/>
        </w:numPr>
        <w:spacing w:line="360" w:lineRule="auto"/>
        <w:rPr>
          <w:u w:val="none"/>
        </w:rPr>
      </w:pPr>
      <w:r w:rsidRPr="00AB77F1">
        <w:rPr>
          <w:u w:val="none"/>
        </w:rPr>
        <w:t>Structural evolution and compaction mechanisms of K</w:t>
      </w:r>
      <w:r w:rsidRPr="00AB77F1">
        <w:rPr>
          <w:u w:val="none"/>
          <w:vertAlign w:val="subscript"/>
        </w:rPr>
        <w:t>2</w:t>
      </w:r>
      <w:r w:rsidRPr="00AB77F1">
        <w:rPr>
          <w:u w:val="none"/>
        </w:rPr>
        <w:t>MgCO</w:t>
      </w:r>
      <w:r w:rsidRPr="00AB77F1">
        <w:rPr>
          <w:u w:val="none"/>
          <w:vertAlign w:val="subscript"/>
        </w:rPr>
        <w:t>3</w:t>
      </w:r>
      <w:r w:rsidRPr="00AB77F1">
        <w:rPr>
          <w:u w:val="none"/>
        </w:rPr>
        <w:t xml:space="preserve"> from 1 bar to 115 </w:t>
      </w:r>
      <w:proofErr w:type="spellStart"/>
      <w:r w:rsidRPr="00AB77F1">
        <w:rPr>
          <w:u w:val="none"/>
        </w:rPr>
        <w:t>GPa</w:t>
      </w:r>
      <w:proofErr w:type="spellEnd"/>
      <w:r w:rsidRPr="00AB77F1">
        <w:rPr>
          <w:u w:val="none"/>
        </w:rPr>
        <w:t>.</w:t>
      </w:r>
    </w:p>
    <w:p w14:paraId="6C9CE1D9" w14:textId="77777777" w:rsidR="00AB77F1" w:rsidRPr="00AB77F1" w:rsidRDefault="00AB77F1" w:rsidP="00AB77F1">
      <w:pPr>
        <w:pStyle w:val="SMSubheading"/>
        <w:spacing w:line="360" w:lineRule="auto"/>
        <w:ind w:left="1800"/>
      </w:pPr>
    </w:p>
    <w:p w14:paraId="271DD2D9" w14:textId="18A7270E" w:rsidR="00AB77F1" w:rsidRPr="00AB77F1" w:rsidRDefault="00AB77F1" w:rsidP="00AB77F1">
      <w:pPr>
        <w:pStyle w:val="SMText"/>
        <w:numPr>
          <w:ilvl w:val="0"/>
          <w:numId w:val="1"/>
        </w:numPr>
        <w:spacing w:line="360" w:lineRule="auto"/>
        <w:jc w:val="both"/>
        <w:rPr>
          <w:bCs/>
          <w:color w:val="000000"/>
          <w:lang w:val="en-GB"/>
        </w:rPr>
      </w:pPr>
      <w:r w:rsidRPr="00AB77F1">
        <w:rPr>
          <w:bCs/>
          <w:color w:val="000000"/>
          <w:lang w:val="en-GB"/>
        </w:rPr>
        <w:t>Carbon isotopic content in hotspots volcanism</w:t>
      </w:r>
    </w:p>
    <w:p w14:paraId="39AF6449" w14:textId="77777777" w:rsidR="00AB77F1" w:rsidRPr="00AB77F1" w:rsidRDefault="00AB77F1" w:rsidP="00AB77F1">
      <w:pPr>
        <w:pStyle w:val="SMText"/>
        <w:spacing w:line="360" w:lineRule="auto"/>
        <w:ind w:firstLine="0"/>
        <w:jc w:val="both"/>
      </w:pPr>
    </w:p>
    <w:p w14:paraId="3E2E8874" w14:textId="71C95604" w:rsidR="00AB77F1" w:rsidRDefault="00AB77F1" w:rsidP="008C029E">
      <w:pPr>
        <w:pStyle w:val="Standarduser"/>
        <w:numPr>
          <w:ilvl w:val="0"/>
          <w:numId w:val="1"/>
        </w:numPr>
        <w:spacing w:line="360" w:lineRule="auto"/>
        <w:rPr>
          <w:lang w:val="en-US"/>
        </w:rPr>
      </w:pPr>
      <w:r w:rsidRPr="00AB77F1">
        <w:rPr>
          <w:lang w:val="en-US"/>
        </w:rPr>
        <w:t>Subducted carbon contribution to the thermochemical piles</w:t>
      </w:r>
    </w:p>
    <w:p w14:paraId="53F5CB85" w14:textId="77777777" w:rsidR="008C029E" w:rsidRDefault="008C029E" w:rsidP="008C029E">
      <w:pPr>
        <w:pStyle w:val="ListParagraph"/>
        <w:rPr>
          <w:lang w:val="en-US"/>
        </w:rPr>
      </w:pPr>
    </w:p>
    <w:p w14:paraId="0055AC8D" w14:textId="178D7D1E" w:rsidR="008C029E" w:rsidRDefault="008C029E" w:rsidP="008C029E">
      <w:pPr>
        <w:pStyle w:val="Standarduser"/>
        <w:spacing w:line="360" w:lineRule="auto"/>
        <w:rPr>
          <w:lang w:val="en-US"/>
        </w:rPr>
      </w:pPr>
    </w:p>
    <w:p w14:paraId="2A05AC89" w14:textId="79B3D1C7" w:rsidR="008C029E" w:rsidRPr="008C029E" w:rsidRDefault="008C029E" w:rsidP="008C029E">
      <w:pPr>
        <w:pStyle w:val="Standarduser"/>
        <w:spacing w:line="360" w:lineRule="auto"/>
        <w:ind w:left="720"/>
        <w:rPr>
          <w:u w:val="single"/>
          <w:lang w:val="en-US"/>
        </w:rPr>
      </w:pPr>
      <w:r w:rsidRPr="008C029E">
        <w:rPr>
          <w:u w:val="single"/>
          <w:lang w:val="en-US"/>
        </w:rPr>
        <w:t>References</w:t>
      </w:r>
    </w:p>
    <w:p w14:paraId="6E7E3D1A" w14:textId="7BFAEDFA" w:rsidR="00AB77F1" w:rsidRPr="00AB77F1" w:rsidRDefault="00AB77F1" w:rsidP="00AB77F1">
      <w:pPr>
        <w:pStyle w:val="Standarduser"/>
        <w:spacing w:line="360" w:lineRule="auto"/>
        <w:rPr>
          <w:lang w:val="en-US"/>
        </w:rPr>
      </w:pPr>
    </w:p>
    <w:p w14:paraId="64888070" w14:textId="63B422D3" w:rsidR="00AB77F1" w:rsidRPr="00AB77F1" w:rsidRDefault="00AB77F1" w:rsidP="00AB77F1">
      <w:pPr>
        <w:pStyle w:val="Standarduser"/>
        <w:spacing w:line="360" w:lineRule="auto"/>
        <w:rPr>
          <w:lang w:val="en-US"/>
        </w:rPr>
      </w:pPr>
    </w:p>
    <w:p w14:paraId="10A8E633" w14:textId="3A93FB6F" w:rsidR="00AB77F1" w:rsidRPr="00AB77F1" w:rsidRDefault="00AB77F1" w:rsidP="00AB77F1">
      <w:pPr>
        <w:pStyle w:val="Standarduser"/>
        <w:spacing w:line="360" w:lineRule="auto"/>
        <w:rPr>
          <w:lang w:val="en-US"/>
        </w:rPr>
      </w:pPr>
    </w:p>
    <w:p w14:paraId="5A21A10C" w14:textId="572C2D63" w:rsidR="00AB77F1" w:rsidRPr="00AB77F1" w:rsidRDefault="00AB77F1" w:rsidP="00AB77F1">
      <w:pPr>
        <w:pStyle w:val="Standarduser"/>
        <w:spacing w:line="360" w:lineRule="auto"/>
        <w:rPr>
          <w:lang w:val="en-US"/>
        </w:rPr>
      </w:pPr>
    </w:p>
    <w:p w14:paraId="54D61B9C" w14:textId="34EE180C" w:rsidR="00AB77F1" w:rsidRPr="00AB77F1" w:rsidRDefault="00AB77F1" w:rsidP="00AB77F1">
      <w:pPr>
        <w:pStyle w:val="Standarduser"/>
        <w:spacing w:line="360" w:lineRule="auto"/>
        <w:rPr>
          <w:lang w:val="en-US"/>
        </w:rPr>
      </w:pPr>
    </w:p>
    <w:p w14:paraId="2D1D5F2D" w14:textId="5AD8FA84" w:rsidR="00AB77F1" w:rsidRPr="00AB77F1" w:rsidRDefault="00AB77F1" w:rsidP="00AB77F1">
      <w:pPr>
        <w:pStyle w:val="Standarduser"/>
        <w:spacing w:line="360" w:lineRule="auto"/>
        <w:rPr>
          <w:lang w:val="en-US"/>
        </w:rPr>
      </w:pPr>
    </w:p>
    <w:p w14:paraId="510F8A7F" w14:textId="5C40FD3B" w:rsidR="00AB77F1" w:rsidRPr="00AB77F1" w:rsidRDefault="00AB77F1" w:rsidP="00AB77F1">
      <w:pPr>
        <w:pStyle w:val="Standarduser"/>
        <w:spacing w:line="360" w:lineRule="auto"/>
        <w:rPr>
          <w:lang w:val="en-US"/>
        </w:rPr>
      </w:pPr>
    </w:p>
    <w:p w14:paraId="443FAB22" w14:textId="59950401" w:rsidR="00AB77F1" w:rsidRPr="00AB77F1" w:rsidRDefault="00AB77F1" w:rsidP="00AB77F1">
      <w:pPr>
        <w:pStyle w:val="Standarduser"/>
        <w:spacing w:line="360" w:lineRule="auto"/>
        <w:rPr>
          <w:lang w:val="en-US"/>
        </w:rPr>
      </w:pPr>
    </w:p>
    <w:p w14:paraId="152507FD" w14:textId="77777777" w:rsidR="008C029E" w:rsidRDefault="008C029E" w:rsidP="00AB77F1">
      <w:pPr>
        <w:pStyle w:val="SMSubheading"/>
        <w:spacing w:line="360" w:lineRule="auto"/>
        <w:rPr>
          <w:b/>
          <w:bCs/>
          <w:u w:val="none"/>
        </w:rPr>
      </w:pPr>
    </w:p>
    <w:p w14:paraId="2B2448C7" w14:textId="0283CB90" w:rsidR="00AB77F1" w:rsidRPr="00F57842" w:rsidRDefault="00AB77F1" w:rsidP="00AB77F1">
      <w:pPr>
        <w:pStyle w:val="SMSubheading"/>
        <w:spacing w:line="360" w:lineRule="auto"/>
        <w:rPr>
          <w:b/>
          <w:bCs/>
          <w:color w:val="000000" w:themeColor="text1"/>
          <w:u w:val="none"/>
        </w:rPr>
      </w:pPr>
      <w:r w:rsidRPr="00AB77F1">
        <w:rPr>
          <w:b/>
          <w:bCs/>
          <w:u w:val="none"/>
        </w:rPr>
        <w:lastRenderedPageBreak/>
        <w:t xml:space="preserve">1. Structural evolution and </w:t>
      </w:r>
      <w:r w:rsidRPr="00F57842">
        <w:rPr>
          <w:b/>
          <w:bCs/>
          <w:color w:val="000000" w:themeColor="text1"/>
          <w:u w:val="none"/>
        </w:rPr>
        <w:t>compaction mechanisms of K</w:t>
      </w:r>
      <w:r w:rsidRPr="00F57842">
        <w:rPr>
          <w:b/>
          <w:bCs/>
          <w:color w:val="000000" w:themeColor="text1"/>
          <w:u w:val="none"/>
          <w:vertAlign w:val="subscript"/>
        </w:rPr>
        <w:t>2</w:t>
      </w:r>
      <w:r w:rsidRPr="00F57842">
        <w:rPr>
          <w:b/>
          <w:bCs/>
          <w:color w:val="000000" w:themeColor="text1"/>
          <w:u w:val="none"/>
        </w:rPr>
        <w:t>MgCO</w:t>
      </w:r>
      <w:r w:rsidRPr="00F57842">
        <w:rPr>
          <w:b/>
          <w:bCs/>
          <w:color w:val="000000" w:themeColor="text1"/>
          <w:u w:val="none"/>
          <w:vertAlign w:val="subscript"/>
        </w:rPr>
        <w:t>3</w:t>
      </w:r>
      <w:r w:rsidRPr="00F57842">
        <w:rPr>
          <w:b/>
          <w:bCs/>
          <w:color w:val="000000" w:themeColor="text1"/>
          <w:u w:val="none"/>
        </w:rPr>
        <w:t xml:space="preserve"> from 1bar to 115 </w:t>
      </w:r>
      <w:proofErr w:type="spellStart"/>
      <w:r w:rsidRPr="00F57842">
        <w:rPr>
          <w:b/>
          <w:bCs/>
          <w:color w:val="000000" w:themeColor="text1"/>
          <w:u w:val="none"/>
        </w:rPr>
        <w:t>GPa</w:t>
      </w:r>
      <w:proofErr w:type="spellEnd"/>
    </w:p>
    <w:p w14:paraId="2A08B3EA" w14:textId="176D28EF" w:rsidR="00AB77F1" w:rsidRPr="00F57842" w:rsidRDefault="00AB77F1" w:rsidP="00AB77F1">
      <w:pPr>
        <w:pStyle w:val="Teaser"/>
        <w:spacing w:line="360" w:lineRule="auto"/>
        <w:ind w:firstLine="720"/>
        <w:jc w:val="both"/>
        <w:rPr>
          <w:color w:val="000000" w:themeColor="text1"/>
        </w:rPr>
      </w:pPr>
      <w:r w:rsidRPr="00F57842">
        <w:rPr>
          <w:color w:val="000000" w:themeColor="text1"/>
        </w:rPr>
        <w:t>At ambient conditions, the glass structure is characterized by two distinct structural populations of carbonate ions. The first, more symmetrical unit, strongly interacts with bridging Mg</w:t>
      </w:r>
      <w:r w:rsidRPr="00F57842">
        <w:rPr>
          <w:color w:val="000000" w:themeColor="text1"/>
          <w:vertAlign w:val="superscript"/>
        </w:rPr>
        <w:t>2+</w:t>
      </w:r>
      <w:r w:rsidRPr="00F57842">
        <w:rPr>
          <w:color w:val="000000" w:themeColor="text1"/>
        </w:rPr>
        <w:t xml:space="preserve"> cations, and the second, more distorted, bonds to non-bridging K</w:t>
      </w:r>
      <w:r w:rsidRPr="00F57842">
        <w:rPr>
          <w:color w:val="000000" w:themeColor="text1"/>
          <w:vertAlign w:val="superscript"/>
        </w:rPr>
        <w:t>+</w:t>
      </w:r>
      <w:r w:rsidR="008C029E" w:rsidRPr="00F57842">
        <w:rPr>
          <w:color w:val="000000" w:themeColor="text1"/>
          <w:vertAlign w:val="superscript"/>
        </w:rPr>
        <w:t xml:space="preserve"> 47,48</w:t>
      </w:r>
      <w:r w:rsidRPr="00F57842">
        <w:rPr>
          <w:color w:val="000000" w:themeColor="text1"/>
        </w:rPr>
        <w:t>. Via ionic bonding Mg</w:t>
      </w:r>
      <w:r w:rsidRPr="00F57842">
        <w:rPr>
          <w:color w:val="000000" w:themeColor="text1"/>
          <w:vertAlign w:val="superscript"/>
        </w:rPr>
        <w:t>2+</w:t>
      </w:r>
      <w:r w:rsidRPr="00F57842">
        <w:rPr>
          <w:color w:val="000000" w:themeColor="text1"/>
        </w:rPr>
        <w:t xml:space="preserve"> and CO</w:t>
      </w:r>
      <w:r w:rsidRPr="00F57842">
        <w:rPr>
          <w:color w:val="000000" w:themeColor="text1"/>
          <w:vertAlign w:val="subscript"/>
        </w:rPr>
        <w:t>3</w:t>
      </w:r>
      <w:r w:rsidRPr="00F57842">
        <w:rPr>
          <w:color w:val="000000" w:themeColor="text1"/>
          <w:vertAlign w:val="superscript"/>
        </w:rPr>
        <w:t>2-</w:t>
      </w:r>
      <w:r w:rsidRPr="00F57842">
        <w:rPr>
          <w:color w:val="000000" w:themeColor="text1"/>
        </w:rPr>
        <w:t xml:space="preserve"> form a flexible framework structure, which is supported by K atoms sitting in the voids of networking rings</w:t>
      </w:r>
      <w:r w:rsidR="008C029E" w:rsidRPr="00F57842">
        <w:rPr>
          <w:color w:val="000000" w:themeColor="text1"/>
          <w:vertAlign w:val="superscript"/>
        </w:rPr>
        <w:t>47</w:t>
      </w:r>
      <w:r w:rsidRPr="00F57842">
        <w:rPr>
          <w:color w:val="000000" w:themeColor="text1"/>
        </w:rPr>
        <w:t xml:space="preserve">. Upon pressure increase, compression dominates the structural behavior of the glass. Below ~45 </w:t>
      </w:r>
      <w:proofErr w:type="spellStart"/>
      <w:r w:rsidRPr="00F57842">
        <w:rPr>
          <w:color w:val="000000" w:themeColor="text1"/>
        </w:rPr>
        <w:t>GPa</w:t>
      </w:r>
      <w:proofErr w:type="spellEnd"/>
      <w:r w:rsidRPr="00F57842">
        <w:rPr>
          <w:color w:val="000000" w:themeColor="text1"/>
        </w:rPr>
        <w:t xml:space="preserve"> the compression mechanism is mostly due to collapsing of void spaces around the K atoms, 0 – 10 </w:t>
      </w:r>
      <w:proofErr w:type="spellStart"/>
      <w:r w:rsidRPr="00F57842">
        <w:rPr>
          <w:color w:val="000000" w:themeColor="text1"/>
        </w:rPr>
        <w:t>GPa</w:t>
      </w:r>
      <w:proofErr w:type="spellEnd"/>
      <w:r w:rsidRPr="00F57842">
        <w:rPr>
          <w:color w:val="000000" w:themeColor="text1"/>
        </w:rPr>
        <w:t xml:space="preserve">, and compressional rearrangement of the medium range ordered structure, owing to the high flexibility and distortion acceptance of the carbonate ions, 10-45 </w:t>
      </w:r>
      <w:proofErr w:type="spellStart"/>
      <w:r w:rsidRPr="00F57842">
        <w:rPr>
          <w:color w:val="000000" w:themeColor="text1"/>
        </w:rPr>
        <w:t>GPa</w:t>
      </w:r>
      <w:proofErr w:type="spellEnd"/>
      <w:r w:rsidRPr="00F57842">
        <w:rPr>
          <w:color w:val="000000" w:themeColor="text1"/>
        </w:rPr>
        <w:t>. The fast collapse of the void spaces around the K atoms is visible from the high shift-rate in the position of the FSDP towards higher reciprocal space values (</w:t>
      </w:r>
      <w:r w:rsidRPr="00F57842">
        <w:rPr>
          <w:iCs/>
          <w:color w:val="000000" w:themeColor="text1"/>
          <w:lang w:val="en-GB"/>
        </w:rPr>
        <w:t>Å</w:t>
      </w:r>
      <w:r w:rsidRPr="00F57842">
        <w:rPr>
          <w:iCs/>
          <w:color w:val="000000" w:themeColor="text1"/>
          <w:vertAlign w:val="superscript"/>
          <w:lang w:val="en-GB"/>
        </w:rPr>
        <w:t>-1</w:t>
      </w:r>
      <w:r w:rsidRPr="00F57842">
        <w:rPr>
          <w:iCs/>
          <w:color w:val="000000" w:themeColor="text1"/>
          <w:lang w:val="en-GB"/>
        </w:rPr>
        <w:t>) (</w:t>
      </w:r>
      <w:r w:rsidR="000911C2" w:rsidRPr="00F57842">
        <w:rPr>
          <w:iCs/>
          <w:color w:val="000000" w:themeColor="text1"/>
          <w:lang w:val="en-GB"/>
        </w:rPr>
        <w:t xml:space="preserve">Extended Data </w:t>
      </w:r>
      <w:r w:rsidRPr="00F57842">
        <w:rPr>
          <w:iCs/>
          <w:color w:val="000000" w:themeColor="text1"/>
          <w:lang w:val="en-GB"/>
        </w:rPr>
        <w:t>Fig. 5). R</w:t>
      </w:r>
      <w:proofErr w:type="spellStart"/>
      <w:r w:rsidRPr="00F57842">
        <w:rPr>
          <w:color w:val="000000" w:themeColor="text1"/>
        </w:rPr>
        <w:t>adial</w:t>
      </w:r>
      <w:proofErr w:type="spellEnd"/>
      <w:r w:rsidRPr="00F57842">
        <w:rPr>
          <w:color w:val="000000" w:themeColor="text1"/>
        </w:rPr>
        <w:t xml:space="preserve"> distribution function (RDF) calculations indicate that the major contributions for FSDP and SSDP are K-O, O-O and Mg-O, O-O respectively. Moreover, an initial compaction of the glass seems to be complementary to the structural evolution observed in the crystalline counterpart</w:t>
      </w:r>
      <w:r w:rsidR="008C029E" w:rsidRPr="00F57842">
        <w:rPr>
          <w:color w:val="000000" w:themeColor="text1"/>
          <w:vertAlign w:val="superscript"/>
        </w:rPr>
        <w:t>46</w:t>
      </w:r>
      <w:r w:rsidRPr="00F57842">
        <w:rPr>
          <w:color w:val="000000" w:themeColor="text1"/>
        </w:rPr>
        <w:t>, with K</w:t>
      </w:r>
      <w:r w:rsidRPr="00F57842">
        <w:rPr>
          <w:color w:val="000000" w:themeColor="text1"/>
          <w:vertAlign w:val="subscript"/>
        </w:rPr>
        <w:t>2</w:t>
      </w:r>
      <w:r w:rsidRPr="00F57842">
        <w:rPr>
          <w:color w:val="000000" w:themeColor="text1"/>
        </w:rPr>
        <w:t>Mg(CO</w:t>
      </w:r>
      <w:r w:rsidRPr="00F57842">
        <w:rPr>
          <w:color w:val="000000" w:themeColor="text1"/>
          <w:vertAlign w:val="subscript"/>
        </w:rPr>
        <w:t>3</w:t>
      </w:r>
      <w:r w:rsidRPr="00F57842">
        <w:rPr>
          <w:color w:val="000000" w:themeColor="text1"/>
        </w:rPr>
        <w:t>)</w:t>
      </w:r>
      <w:r w:rsidRPr="00F57842">
        <w:rPr>
          <w:color w:val="000000" w:themeColor="text1"/>
          <w:vertAlign w:val="subscript"/>
        </w:rPr>
        <w:t>2</w:t>
      </w:r>
      <w:r w:rsidRPr="00F57842">
        <w:rPr>
          <w:color w:val="000000" w:themeColor="text1"/>
        </w:rPr>
        <w:t xml:space="preserve"> crystal stable in trigonal </w:t>
      </w:r>
      <w:r w:rsidRPr="00F57842">
        <w:rPr>
          <w:i/>
          <w:color w:val="000000" w:themeColor="text1"/>
        </w:rPr>
        <w:t>R-3m</w:t>
      </w:r>
      <w:r w:rsidRPr="00F57842">
        <w:rPr>
          <w:color w:val="000000" w:themeColor="text1"/>
        </w:rPr>
        <w:t xml:space="preserve"> space group up to ~8 </w:t>
      </w:r>
      <w:proofErr w:type="spellStart"/>
      <w:r w:rsidRPr="00F57842">
        <w:rPr>
          <w:color w:val="000000" w:themeColor="text1"/>
        </w:rPr>
        <w:t>GPa</w:t>
      </w:r>
      <w:proofErr w:type="spellEnd"/>
      <w:r w:rsidRPr="00F57842">
        <w:rPr>
          <w:color w:val="000000" w:themeColor="text1"/>
        </w:rPr>
        <w:t>, where it transforms into a monoclinic (</w:t>
      </w:r>
      <w:r w:rsidRPr="00F57842">
        <w:rPr>
          <w:i/>
          <w:color w:val="000000" w:themeColor="text1"/>
        </w:rPr>
        <w:t>C2/m</w:t>
      </w:r>
      <w:r w:rsidRPr="00F57842">
        <w:rPr>
          <w:color w:val="000000" w:themeColor="text1"/>
        </w:rPr>
        <w:t>) polymorph. The topology of the high-pressure polymorph is similar to the low-pressure one, but with a significant distortion of the structural elements, in particular the carbonate ions</w:t>
      </w:r>
      <w:r w:rsidR="008C029E" w:rsidRPr="00F57842">
        <w:rPr>
          <w:color w:val="000000" w:themeColor="text1"/>
          <w:vertAlign w:val="superscript"/>
        </w:rPr>
        <w:t>46</w:t>
      </w:r>
      <w:r w:rsidRPr="00F57842">
        <w:rPr>
          <w:color w:val="000000" w:themeColor="text1"/>
        </w:rPr>
        <w:t>. For both crystalline and glass K</w:t>
      </w:r>
      <w:r w:rsidRPr="00F57842">
        <w:rPr>
          <w:color w:val="000000" w:themeColor="text1"/>
          <w:vertAlign w:val="subscript"/>
        </w:rPr>
        <w:t>2</w:t>
      </w:r>
      <w:r w:rsidRPr="00F57842">
        <w:rPr>
          <w:color w:val="000000" w:themeColor="text1"/>
        </w:rPr>
        <w:t>Mg(CO</w:t>
      </w:r>
      <w:r w:rsidRPr="00F57842">
        <w:rPr>
          <w:color w:val="000000" w:themeColor="text1"/>
          <w:vertAlign w:val="subscript"/>
        </w:rPr>
        <w:t>3</w:t>
      </w:r>
      <w:r w:rsidRPr="00F57842">
        <w:rPr>
          <w:color w:val="000000" w:themeColor="text1"/>
        </w:rPr>
        <w:t>)</w:t>
      </w:r>
      <w:r w:rsidRPr="00F57842">
        <w:rPr>
          <w:color w:val="000000" w:themeColor="text1"/>
          <w:vertAlign w:val="subscript"/>
        </w:rPr>
        <w:t>2</w:t>
      </w:r>
      <w:r w:rsidRPr="00F57842">
        <w:rPr>
          <w:color w:val="000000" w:themeColor="text1"/>
        </w:rPr>
        <w:t>, the polyhedron of the bigger cation, K</w:t>
      </w:r>
      <w:r w:rsidRPr="00F57842">
        <w:rPr>
          <w:color w:val="000000" w:themeColor="text1"/>
          <w:vertAlign w:val="superscript"/>
        </w:rPr>
        <w:t>+</w:t>
      </w:r>
      <w:r w:rsidRPr="00F57842">
        <w:rPr>
          <w:color w:val="000000" w:themeColor="text1"/>
        </w:rPr>
        <w:t>, is more compressible than the polyhedron containing Mg</w:t>
      </w:r>
      <w:r w:rsidRPr="00F57842">
        <w:rPr>
          <w:color w:val="000000" w:themeColor="text1"/>
          <w:vertAlign w:val="superscript"/>
        </w:rPr>
        <w:t>2+</w:t>
      </w:r>
      <w:r w:rsidRPr="00F57842">
        <w:rPr>
          <w:color w:val="000000" w:themeColor="text1"/>
        </w:rPr>
        <w:t xml:space="preserve"> (</w:t>
      </w:r>
      <w:r w:rsidR="000911C2" w:rsidRPr="00F57842">
        <w:rPr>
          <w:iCs/>
          <w:color w:val="000000" w:themeColor="text1"/>
          <w:lang w:val="en-GB"/>
        </w:rPr>
        <w:t>Extended Data Fig.</w:t>
      </w:r>
      <w:r w:rsidR="000911C2" w:rsidRPr="00F57842">
        <w:rPr>
          <w:iCs/>
          <w:color w:val="000000" w:themeColor="text1"/>
          <w:lang w:val="en-GB"/>
        </w:rPr>
        <w:t xml:space="preserve"> </w:t>
      </w:r>
      <w:r w:rsidRPr="00F57842">
        <w:rPr>
          <w:color w:val="000000" w:themeColor="text1"/>
        </w:rPr>
        <w:t>8). In the glass, the fast compression around K atoms allows the C-O bond to rearrange in a wide variety of bond lengths, between 1.09 - 1.4</w:t>
      </w:r>
      <w:bookmarkStart w:id="0" w:name="OLE_LINK39"/>
      <w:bookmarkStart w:id="1" w:name="OLE_LINK6"/>
      <w:bookmarkStart w:id="2" w:name="OLE_LINK5"/>
      <w:bookmarkEnd w:id="0"/>
      <w:bookmarkEnd w:id="1"/>
      <w:bookmarkEnd w:id="2"/>
      <w:r w:rsidRPr="00F57842">
        <w:rPr>
          <w:color w:val="000000" w:themeColor="text1"/>
        </w:rPr>
        <w:t xml:space="preserve">0 </w:t>
      </w:r>
      <w:r w:rsidRPr="00F57842">
        <w:rPr>
          <w:iCs/>
          <w:color w:val="000000" w:themeColor="text1"/>
          <w:lang w:val="en-GB"/>
        </w:rPr>
        <w:t>Å, which evidences the distortion accepted by the carbonate group. Molecular dynamic simulations</w:t>
      </w:r>
      <w:r w:rsidR="008C029E" w:rsidRPr="00F57842">
        <w:rPr>
          <w:iCs/>
          <w:color w:val="000000" w:themeColor="text1"/>
          <w:vertAlign w:val="superscript"/>
          <w:lang w:val="en-GB"/>
        </w:rPr>
        <w:t>48</w:t>
      </w:r>
      <w:r w:rsidRPr="00F57842">
        <w:rPr>
          <w:iCs/>
          <w:color w:val="000000" w:themeColor="text1"/>
          <w:lang w:val="en-GB"/>
        </w:rPr>
        <w:t xml:space="preserve"> on liquid K</w:t>
      </w:r>
      <w:r w:rsidRPr="00F57842">
        <w:rPr>
          <w:iCs/>
          <w:color w:val="000000" w:themeColor="text1"/>
          <w:vertAlign w:val="subscript"/>
          <w:lang w:val="en-GB"/>
        </w:rPr>
        <w:t>2</w:t>
      </w:r>
      <w:r w:rsidRPr="00F57842">
        <w:rPr>
          <w:iCs/>
          <w:color w:val="000000" w:themeColor="text1"/>
          <w:lang w:val="en-GB"/>
        </w:rPr>
        <w:t>Mg(CO</w:t>
      </w:r>
      <w:r w:rsidRPr="00F57842">
        <w:rPr>
          <w:iCs/>
          <w:color w:val="000000" w:themeColor="text1"/>
          <w:vertAlign w:val="subscript"/>
          <w:lang w:val="en-GB"/>
        </w:rPr>
        <w:t>3</w:t>
      </w:r>
      <w:r w:rsidRPr="00F57842">
        <w:rPr>
          <w:iCs/>
          <w:color w:val="000000" w:themeColor="text1"/>
          <w:lang w:val="en-GB"/>
        </w:rPr>
        <w:t>)</w:t>
      </w:r>
      <w:r w:rsidRPr="00F57842">
        <w:rPr>
          <w:iCs/>
          <w:color w:val="000000" w:themeColor="text1"/>
          <w:vertAlign w:val="subscript"/>
          <w:lang w:val="en-GB"/>
        </w:rPr>
        <w:t>2</w:t>
      </w:r>
      <w:r w:rsidRPr="00F57842">
        <w:rPr>
          <w:iCs/>
          <w:color w:val="000000" w:themeColor="text1"/>
          <w:lang w:val="en-GB"/>
        </w:rPr>
        <w:t xml:space="preserve"> also show distorted carbonate units with the carbon atom moving out of plane, in line with the observed changes in the XRS spectra between ambient and 10 </w:t>
      </w:r>
      <w:proofErr w:type="spellStart"/>
      <w:r w:rsidRPr="00F57842">
        <w:rPr>
          <w:iCs/>
          <w:color w:val="000000" w:themeColor="text1"/>
          <w:lang w:val="en-GB"/>
        </w:rPr>
        <w:t>GPa</w:t>
      </w:r>
      <w:proofErr w:type="spellEnd"/>
      <w:r w:rsidRPr="00F57842">
        <w:rPr>
          <w:iCs/>
          <w:color w:val="000000" w:themeColor="text1"/>
          <w:lang w:val="en-GB"/>
        </w:rPr>
        <w:t>, where the loss of D</w:t>
      </w:r>
      <w:r w:rsidRPr="00F57842">
        <w:rPr>
          <w:iCs/>
          <w:color w:val="000000" w:themeColor="text1"/>
          <w:vertAlign w:val="subscript"/>
          <w:lang w:val="en-GB"/>
        </w:rPr>
        <w:t xml:space="preserve">3h </w:t>
      </w:r>
      <w:r w:rsidRPr="00F57842">
        <w:rPr>
          <w:iCs/>
          <w:color w:val="000000" w:themeColor="text1"/>
          <w:lang w:val="en-GB"/>
        </w:rPr>
        <w:t xml:space="preserve">symmetry results in a drop of the </w:t>
      </w:r>
      <w:r w:rsidRPr="00F57842">
        <w:rPr>
          <w:i/>
          <w:iCs/>
          <w:color w:val="000000" w:themeColor="text1"/>
          <w:lang w:val="de-DE"/>
        </w:rPr>
        <w:t>π</w:t>
      </w:r>
      <w:r w:rsidRPr="00F57842">
        <w:rPr>
          <w:i/>
          <w:iCs/>
          <w:color w:val="000000" w:themeColor="text1"/>
        </w:rPr>
        <w:t xml:space="preserve">* </w:t>
      </w:r>
      <w:r w:rsidRPr="00F57842">
        <w:rPr>
          <w:iCs/>
          <w:color w:val="000000" w:themeColor="text1"/>
          <w:lang w:val="en-GB"/>
        </w:rPr>
        <w:t xml:space="preserve"> resonance intensity. However, the most notable changes in response to compression are observed between K-O ions. As the pressure increases, the bond length shifts to significant lower values, from 2.85(1) Å at 1 bar to 2.47(1) Å at 46 </w:t>
      </w:r>
      <w:proofErr w:type="spellStart"/>
      <w:r w:rsidRPr="00F57842">
        <w:rPr>
          <w:iCs/>
          <w:color w:val="000000" w:themeColor="text1"/>
          <w:lang w:val="en-GB"/>
        </w:rPr>
        <w:t>GPa</w:t>
      </w:r>
      <w:proofErr w:type="spellEnd"/>
      <w:r w:rsidRPr="00F57842">
        <w:rPr>
          <w:iCs/>
          <w:color w:val="000000" w:themeColor="text1"/>
          <w:lang w:val="en-GB"/>
        </w:rPr>
        <w:t xml:space="preserve"> (Table 1, </w:t>
      </w:r>
      <w:r w:rsidR="000911C2" w:rsidRPr="00F57842">
        <w:rPr>
          <w:iCs/>
          <w:color w:val="000000" w:themeColor="text1"/>
          <w:lang w:val="en-GB"/>
        </w:rPr>
        <w:t>Extended Data Fig.</w:t>
      </w:r>
      <w:r w:rsidR="000911C2" w:rsidRPr="00F57842">
        <w:rPr>
          <w:iCs/>
          <w:color w:val="000000" w:themeColor="text1"/>
          <w:lang w:val="en-GB"/>
        </w:rPr>
        <w:t xml:space="preserve"> 8</w:t>
      </w:r>
      <w:r w:rsidRPr="00F57842">
        <w:rPr>
          <w:iCs/>
          <w:color w:val="000000" w:themeColor="text1"/>
          <w:lang w:val="en-GB"/>
        </w:rPr>
        <w:t xml:space="preserve">), however showing a significant stiffening of the bond above that pressure, which we interpret as a change in the role of potassium, to act as network-former ion.  </w:t>
      </w:r>
    </w:p>
    <w:p w14:paraId="2AEAE5A3" w14:textId="3B31CC9F" w:rsidR="00AB77F1" w:rsidRPr="00F57842" w:rsidRDefault="00AB77F1" w:rsidP="00AB77F1">
      <w:pPr>
        <w:pStyle w:val="Teaser"/>
        <w:spacing w:line="360" w:lineRule="auto"/>
        <w:ind w:firstLine="720"/>
        <w:jc w:val="both"/>
        <w:rPr>
          <w:color w:val="000000" w:themeColor="text1"/>
        </w:rPr>
      </w:pPr>
      <w:r w:rsidRPr="00F57842">
        <w:rPr>
          <w:color w:val="000000" w:themeColor="text1"/>
        </w:rPr>
        <w:t xml:space="preserve">The increase of C-O distance and the disappearance of the </w:t>
      </w:r>
      <w:r w:rsidRPr="00F57842">
        <w:rPr>
          <w:i/>
          <w:color w:val="000000" w:themeColor="text1"/>
        </w:rPr>
        <w:t>π*</w:t>
      </w:r>
      <w:r w:rsidRPr="00F57842">
        <w:rPr>
          <w:color w:val="000000" w:themeColor="text1"/>
        </w:rPr>
        <w:t xml:space="preserve">-resonance between ~45 and ~85 </w:t>
      </w:r>
      <w:proofErr w:type="spellStart"/>
      <w:r w:rsidRPr="00F57842">
        <w:rPr>
          <w:color w:val="000000" w:themeColor="text1"/>
        </w:rPr>
        <w:t>GPa</w:t>
      </w:r>
      <w:proofErr w:type="spellEnd"/>
      <w:r w:rsidRPr="00F57842">
        <w:rPr>
          <w:color w:val="000000" w:themeColor="text1"/>
        </w:rPr>
        <w:t xml:space="preserve">, is due to the transition from </w:t>
      </w:r>
      <w:r w:rsidRPr="00F57842">
        <w:rPr>
          <w:bCs/>
          <w:i/>
          <w:color w:val="000000" w:themeColor="text1"/>
        </w:rPr>
        <w:t>sp</w:t>
      </w:r>
      <w:r w:rsidRPr="00F57842">
        <w:rPr>
          <w:bCs/>
          <w:i/>
          <w:color w:val="000000" w:themeColor="text1"/>
          <w:vertAlign w:val="superscript"/>
        </w:rPr>
        <w:t>2</w:t>
      </w:r>
      <w:r w:rsidRPr="00F57842">
        <w:rPr>
          <w:bCs/>
          <w:color w:val="000000" w:themeColor="text1"/>
        </w:rPr>
        <w:t xml:space="preserve"> to </w:t>
      </w:r>
      <w:r w:rsidRPr="00F57842">
        <w:rPr>
          <w:bCs/>
          <w:i/>
          <w:color w:val="000000" w:themeColor="text1"/>
        </w:rPr>
        <w:t>sp</w:t>
      </w:r>
      <w:r w:rsidRPr="00F57842">
        <w:rPr>
          <w:bCs/>
          <w:i/>
          <w:color w:val="000000" w:themeColor="text1"/>
          <w:vertAlign w:val="superscript"/>
        </w:rPr>
        <w:t>3</w:t>
      </w:r>
      <w:r w:rsidRPr="00F57842">
        <w:rPr>
          <w:bCs/>
          <w:color w:val="000000" w:themeColor="text1"/>
        </w:rPr>
        <w:t xml:space="preserve"> hybridized carbon, </w:t>
      </w:r>
      <w:r w:rsidRPr="00F57842">
        <w:rPr>
          <w:color w:val="000000" w:themeColor="text1"/>
        </w:rPr>
        <w:t xml:space="preserve">where the resonant </w:t>
      </w:r>
      <w:proofErr w:type="spellStart"/>
      <w:r w:rsidRPr="00F57842">
        <w:rPr>
          <w:i/>
          <w:color w:val="000000" w:themeColor="text1"/>
        </w:rPr>
        <w:t>sp</w:t>
      </w:r>
      <w:proofErr w:type="spellEnd"/>
      <w:r w:rsidRPr="00F57842">
        <w:rPr>
          <w:color w:val="000000" w:themeColor="text1"/>
        </w:rPr>
        <w:t xml:space="preserve"> double bond in the planar CO</w:t>
      </w:r>
      <w:r w:rsidRPr="00F57842">
        <w:rPr>
          <w:color w:val="000000" w:themeColor="text1"/>
          <w:vertAlign w:val="subscript"/>
        </w:rPr>
        <w:t>3</w:t>
      </w:r>
      <w:r w:rsidRPr="00F57842">
        <w:rPr>
          <w:color w:val="000000" w:themeColor="text1"/>
        </w:rPr>
        <w:t xml:space="preserve">-unit is broken via the formation of an additional covalent bond </w:t>
      </w:r>
      <w:r w:rsidRPr="00F57842">
        <w:rPr>
          <w:color w:val="000000" w:themeColor="text1"/>
        </w:rPr>
        <w:lastRenderedPageBreak/>
        <w:t>and thus a transition from planar CO</w:t>
      </w:r>
      <w:r w:rsidRPr="00F57842">
        <w:rPr>
          <w:color w:val="000000" w:themeColor="text1"/>
          <w:vertAlign w:val="subscript"/>
        </w:rPr>
        <w:t>3</w:t>
      </w:r>
      <w:r w:rsidRPr="00F57842">
        <w:rPr>
          <w:color w:val="000000" w:themeColor="text1"/>
        </w:rPr>
        <w:t>- to tetrahedral CO</w:t>
      </w:r>
      <w:r w:rsidRPr="00F57842">
        <w:rPr>
          <w:color w:val="000000" w:themeColor="text1"/>
          <w:vertAlign w:val="subscript"/>
        </w:rPr>
        <w:t>4</w:t>
      </w:r>
      <w:r w:rsidRPr="00F57842">
        <w:rPr>
          <w:color w:val="000000" w:themeColor="text1"/>
        </w:rPr>
        <w:t xml:space="preserve">-units. A strong change in the glass structure around 40 </w:t>
      </w:r>
      <w:proofErr w:type="spellStart"/>
      <w:r w:rsidRPr="00F57842">
        <w:rPr>
          <w:color w:val="000000" w:themeColor="text1"/>
        </w:rPr>
        <w:t>GPa</w:t>
      </w:r>
      <w:proofErr w:type="spellEnd"/>
      <w:r w:rsidRPr="00F57842">
        <w:rPr>
          <w:color w:val="000000" w:themeColor="text1"/>
        </w:rPr>
        <w:t xml:space="preserve"> is also detected from the position of the FSDP and SSDP of the S(</w:t>
      </w:r>
      <w:r w:rsidRPr="00F57842">
        <w:rPr>
          <w:i/>
          <w:color w:val="000000" w:themeColor="text1"/>
        </w:rPr>
        <w:t>Q</w:t>
      </w:r>
      <w:r w:rsidRPr="00F57842">
        <w:rPr>
          <w:color w:val="000000" w:themeColor="text1"/>
        </w:rPr>
        <w:t>) (</w:t>
      </w:r>
      <w:r w:rsidR="000911C2" w:rsidRPr="00F57842">
        <w:rPr>
          <w:iCs/>
          <w:color w:val="000000" w:themeColor="text1"/>
          <w:lang w:val="en-GB"/>
        </w:rPr>
        <w:t>Extended Data Fig.</w:t>
      </w:r>
      <w:r w:rsidR="000911C2" w:rsidRPr="00F57842">
        <w:rPr>
          <w:iCs/>
          <w:color w:val="000000" w:themeColor="text1"/>
          <w:lang w:val="en-GB"/>
        </w:rPr>
        <w:t xml:space="preserve"> 5</w:t>
      </w:r>
      <w:r w:rsidRPr="00F57842">
        <w:rPr>
          <w:color w:val="000000" w:themeColor="text1"/>
        </w:rPr>
        <w:t xml:space="preserve">). In the pressure region around 40 </w:t>
      </w:r>
      <w:proofErr w:type="spellStart"/>
      <w:r w:rsidRPr="00F57842">
        <w:rPr>
          <w:color w:val="000000" w:themeColor="text1"/>
        </w:rPr>
        <w:t>GPa</w:t>
      </w:r>
      <w:proofErr w:type="spellEnd"/>
      <w:r w:rsidRPr="00F57842">
        <w:rPr>
          <w:color w:val="000000" w:themeColor="text1"/>
        </w:rPr>
        <w:t xml:space="preserve"> the shifts of FSDP and SSDP with pressure flatten, then jump to higher values at &gt; 50 </w:t>
      </w:r>
      <w:proofErr w:type="spellStart"/>
      <w:r w:rsidRPr="00F57842">
        <w:rPr>
          <w:color w:val="000000" w:themeColor="text1"/>
        </w:rPr>
        <w:t>GPa</w:t>
      </w:r>
      <w:proofErr w:type="spellEnd"/>
      <w:r w:rsidRPr="00F57842">
        <w:rPr>
          <w:color w:val="000000" w:themeColor="text1"/>
        </w:rPr>
        <w:t xml:space="preserve"> following a different compressional regime. These observations reflect strong underlying changes in the carbonate ion structure, their flexibility determining the response of the system at high pressures.</w:t>
      </w:r>
    </w:p>
    <w:p w14:paraId="10785896" w14:textId="214D800D" w:rsidR="00AB77F1" w:rsidRPr="00F57842" w:rsidRDefault="00AB77F1" w:rsidP="00AB77F1">
      <w:pPr>
        <w:pStyle w:val="Teaser"/>
        <w:spacing w:line="360" w:lineRule="auto"/>
        <w:ind w:firstLine="720"/>
        <w:jc w:val="both"/>
        <w:rPr>
          <w:color w:val="000000" w:themeColor="text1"/>
        </w:rPr>
      </w:pPr>
      <w:r w:rsidRPr="00F57842">
        <w:rPr>
          <w:color w:val="000000" w:themeColor="text1"/>
        </w:rPr>
        <w:t xml:space="preserve">Above 85 </w:t>
      </w:r>
      <w:proofErr w:type="spellStart"/>
      <w:r w:rsidRPr="00F57842">
        <w:rPr>
          <w:color w:val="000000" w:themeColor="text1"/>
        </w:rPr>
        <w:t>GPa</w:t>
      </w:r>
      <w:proofErr w:type="spellEnd"/>
      <w:r w:rsidRPr="00F57842">
        <w:rPr>
          <w:color w:val="000000" w:themeColor="text1"/>
        </w:rPr>
        <w:t xml:space="preserve">, we observe the onset of a fully polymerized network structure. The gain in spectral O K-edge weight in the high energy loss region (&gt; 550 eV, Fig. 1A,B) is concomitant with the second compaction seen in the C-O atomic distances in the PDFs. The intensity increase in </w:t>
      </w:r>
      <w:r w:rsidRPr="00F57842">
        <w:rPr>
          <w:iCs/>
          <w:color w:val="000000" w:themeColor="text1"/>
          <w:lang w:val="en-GB"/>
        </w:rPr>
        <w:t xml:space="preserve">the </w:t>
      </w:r>
      <w:bookmarkStart w:id="3" w:name="OLE_LINK26"/>
      <w:bookmarkStart w:id="4" w:name="OLE_LINK25"/>
      <w:bookmarkStart w:id="5" w:name="OLE_LINK41"/>
      <w:bookmarkStart w:id="6" w:name="OLE_LINK40"/>
      <w:r w:rsidRPr="00F57842">
        <w:rPr>
          <w:bCs/>
          <w:i/>
          <w:color w:val="000000" w:themeColor="text1"/>
          <w:lang w:val="en-GB"/>
        </w:rPr>
        <w:t>σ*</w:t>
      </w:r>
      <w:r w:rsidRPr="00F57842">
        <w:rPr>
          <w:color w:val="000000" w:themeColor="text1"/>
        </w:rPr>
        <w:t xml:space="preserve"> </w:t>
      </w:r>
      <w:bookmarkEnd w:id="3"/>
      <w:bookmarkEnd w:id="4"/>
      <w:r w:rsidRPr="00F57842">
        <w:rPr>
          <w:color w:val="000000" w:themeColor="text1"/>
        </w:rPr>
        <w:t>resonance</w:t>
      </w:r>
      <w:bookmarkEnd w:id="5"/>
      <w:bookmarkEnd w:id="6"/>
      <w:r w:rsidRPr="00F57842">
        <w:rPr>
          <w:iCs/>
          <w:color w:val="000000" w:themeColor="text1"/>
          <w:lang w:val="en-GB"/>
        </w:rPr>
        <w:t xml:space="preserve"> indicates the formation of new covalent bonds between oxygens and surrounding cations, and it has been observed also in silicates after the increase on coordination number (CN)</w:t>
      </w:r>
      <w:r w:rsidR="008C029E" w:rsidRPr="00F57842">
        <w:rPr>
          <w:iCs/>
          <w:color w:val="000000" w:themeColor="text1"/>
          <w:vertAlign w:val="superscript"/>
          <w:lang w:val="en-GB"/>
        </w:rPr>
        <w:t>49</w:t>
      </w:r>
      <w:r w:rsidRPr="00F57842">
        <w:rPr>
          <w:iCs/>
          <w:color w:val="000000" w:themeColor="text1"/>
          <w:lang w:val="en-GB"/>
        </w:rPr>
        <w:t xml:space="preserve">.  Due to the strong compression of the C-O distances above 85 </w:t>
      </w:r>
      <w:proofErr w:type="spellStart"/>
      <w:r w:rsidRPr="00F57842">
        <w:rPr>
          <w:iCs/>
          <w:color w:val="000000" w:themeColor="text1"/>
          <w:lang w:val="en-GB"/>
        </w:rPr>
        <w:t>GPa</w:t>
      </w:r>
      <w:proofErr w:type="spellEnd"/>
      <w:r w:rsidRPr="00F57842">
        <w:rPr>
          <w:iCs/>
          <w:color w:val="000000" w:themeColor="text1"/>
          <w:lang w:val="en-GB"/>
        </w:rPr>
        <w:t xml:space="preserve">, and the monotonic compression of K-O bonds above ~46 </w:t>
      </w:r>
      <w:proofErr w:type="spellStart"/>
      <w:r w:rsidRPr="00F57842">
        <w:rPr>
          <w:iCs/>
          <w:color w:val="000000" w:themeColor="text1"/>
          <w:lang w:val="en-GB"/>
        </w:rPr>
        <w:t>GPa</w:t>
      </w:r>
      <w:proofErr w:type="spellEnd"/>
      <w:r w:rsidRPr="00F57842">
        <w:rPr>
          <w:iCs/>
          <w:color w:val="000000" w:themeColor="text1"/>
          <w:lang w:val="en-GB"/>
        </w:rPr>
        <w:t>, we expect the increase of coordination environment to happen around Mg</w:t>
      </w:r>
      <w:r w:rsidRPr="00F57842">
        <w:rPr>
          <w:iCs/>
          <w:color w:val="000000" w:themeColor="text1"/>
          <w:vertAlign w:val="superscript"/>
          <w:lang w:val="en-GB"/>
        </w:rPr>
        <w:t>2+</w:t>
      </w:r>
      <w:r w:rsidRPr="00F57842">
        <w:rPr>
          <w:iCs/>
          <w:color w:val="000000" w:themeColor="text1"/>
          <w:lang w:val="en-GB"/>
        </w:rPr>
        <w:t xml:space="preserve">-cations, i.e. </w:t>
      </w:r>
      <w:r w:rsidRPr="00F57842">
        <w:rPr>
          <w:iCs/>
          <w:color w:val="000000" w:themeColor="text1"/>
          <w:vertAlign w:val="superscript"/>
          <w:lang w:val="en-GB"/>
        </w:rPr>
        <w:t>[Mg]</w:t>
      </w:r>
      <w:r w:rsidRPr="00F57842">
        <w:rPr>
          <w:iCs/>
          <w:color w:val="000000" w:themeColor="text1"/>
          <w:lang w:val="en-GB"/>
        </w:rPr>
        <w:t>CN 7+</w:t>
      </w:r>
      <w:r w:rsidR="008C029E" w:rsidRPr="00F57842">
        <w:rPr>
          <w:iCs/>
          <w:color w:val="000000" w:themeColor="text1"/>
          <w:lang w:val="en-GB"/>
        </w:rPr>
        <w:t xml:space="preserve"> </w:t>
      </w:r>
      <w:r w:rsidR="008C029E" w:rsidRPr="00F57842">
        <w:rPr>
          <w:iCs/>
          <w:color w:val="000000" w:themeColor="text1"/>
          <w:vertAlign w:val="superscript"/>
          <w:lang w:val="en-GB"/>
        </w:rPr>
        <w:t>18</w:t>
      </w:r>
      <w:r w:rsidRPr="00F57842">
        <w:rPr>
          <w:iCs/>
          <w:color w:val="000000" w:themeColor="text1"/>
          <w:lang w:val="en-GB"/>
        </w:rPr>
        <w:t xml:space="preserve">. </w:t>
      </w:r>
      <w:r w:rsidRPr="00F57842">
        <w:rPr>
          <w:color w:val="000000" w:themeColor="text1"/>
        </w:rPr>
        <w:t xml:space="preserve">The wide range of C-O distances measured at 104(4) </w:t>
      </w:r>
      <w:proofErr w:type="spellStart"/>
      <w:r w:rsidRPr="00F57842">
        <w:rPr>
          <w:color w:val="000000" w:themeColor="text1"/>
        </w:rPr>
        <w:t>GPa</w:t>
      </w:r>
      <w:proofErr w:type="spellEnd"/>
      <w:r w:rsidRPr="00F57842">
        <w:rPr>
          <w:color w:val="000000" w:themeColor="text1"/>
        </w:rPr>
        <w:t xml:space="preserve">, ~0.98–1.42 </w:t>
      </w:r>
      <w:bookmarkStart w:id="7" w:name="OLE_LINK24"/>
      <w:bookmarkStart w:id="8" w:name="OLE_LINK14"/>
      <w:bookmarkStart w:id="9" w:name="OLE_LINK13"/>
      <w:r w:rsidRPr="00F57842">
        <w:rPr>
          <w:iCs/>
          <w:color w:val="000000" w:themeColor="text1"/>
          <w:lang w:val="en-GB"/>
        </w:rPr>
        <w:t>Å</w:t>
      </w:r>
      <w:bookmarkEnd w:id="7"/>
      <w:bookmarkEnd w:id="8"/>
      <w:bookmarkEnd w:id="9"/>
      <w:r w:rsidRPr="00F57842">
        <w:rPr>
          <w:iCs/>
          <w:color w:val="000000" w:themeColor="text1"/>
          <w:lang w:val="en-GB"/>
        </w:rPr>
        <w:t xml:space="preserve"> (the peak at 1.193(3) Å),</w:t>
      </w:r>
      <w:r w:rsidRPr="00F57842">
        <w:rPr>
          <w:color w:val="000000" w:themeColor="text1"/>
        </w:rPr>
        <w:t xml:space="preserve"> is an indication of at least one CO</w:t>
      </w:r>
      <w:r w:rsidRPr="00F57842">
        <w:rPr>
          <w:color w:val="000000" w:themeColor="text1"/>
          <w:vertAlign w:val="subscript"/>
        </w:rPr>
        <w:t>4</w:t>
      </w:r>
      <w:r w:rsidRPr="00F57842">
        <w:rPr>
          <w:color w:val="000000" w:themeColor="text1"/>
        </w:rPr>
        <w:t xml:space="preserve"> population strongly distorted, and probably the remanence of highly compressed CO</w:t>
      </w:r>
      <w:r w:rsidRPr="00F57842">
        <w:rPr>
          <w:color w:val="000000" w:themeColor="text1"/>
          <w:vertAlign w:val="subscript"/>
        </w:rPr>
        <w:t>3</w:t>
      </w:r>
      <w:r w:rsidRPr="00F57842">
        <w:rPr>
          <w:color w:val="000000" w:themeColor="text1"/>
        </w:rPr>
        <w:t>-units. The presence of (C</w:t>
      </w:r>
      <w:r w:rsidRPr="00F57842">
        <w:rPr>
          <w:color w:val="000000" w:themeColor="text1"/>
          <w:vertAlign w:val="subscript"/>
        </w:rPr>
        <w:t>2</w:t>
      </w:r>
      <w:r w:rsidRPr="00F57842">
        <w:rPr>
          <w:color w:val="000000" w:themeColor="text1"/>
        </w:rPr>
        <w:t>O</w:t>
      </w:r>
      <w:r w:rsidRPr="00F57842">
        <w:rPr>
          <w:color w:val="000000" w:themeColor="text1"/>
          <w:vertAlign w:val="subscript"/>
        </w:rPr>
        <w:t>7</w:t>
      </w:r>
      <w:r w:rsidRPr="00F57842">
        <w:rPr>
          <w:color w:val="000000" w:themeColor="text1"/>
        </w:rPr>
        <w:t>)</w:t>
      </w:r>
      <w:r w:rsidRPr="00F57842">
        <w:rPr>
          <w:color w:val="000000" w:themeColor="text1"/>
          <w:vertAlign w:val="superscript"/>
        </w:rPr>
        <w:t>6-</w:t>
      </w:r>
      <w:r w:rsidRPr="00F57842">
        <w:rPr>
          <w:color w:val="000000" w:themeColor="text1"/>
        </w:rPr>
        <w:t xml:space="preserve"> dimers, trimers and possibly highly polymerized oxy-carbon complexes was also observed by AIMD simulations (</w:t>
      </w:r>
      <w:r w:rsidR="000911C2" w:rsidRPr="00F57842">
        <w:rPr>
          <w:iCs/>
          <w:color w:val="000000" w:themeColor="text1"/>
          <w:lang w:val="en-GB"/>
        </w:rPr>
        <w:t>Extended Data Fig.</w:t>
      </w:r>
      <w:r w:rsidR="000911C2" w:rsidRPr="00F57842">
        <w:rPr>
          <w:iCs/>
          <w:color w:val="000000" w:themeColor="text1"/>
          <w:lang w:val="en-GB"/>
        </w:rPr>
        <w:t xml:space="preserve"> 7</w:t>
      </w:r>
      <w:r w:rsidRPr="00F57842">
        <w:rPr>
          <w:color w:val="000000" w:themeColor="text1"/>
        </w:rPr>
        <w:t>, Methods). We highlight that the role of K</w:t>
      </w:r>
      <w:r w:rsidRPr="00F57842">
        <w:rPr>
          <w:color w:val="000000" w:themeColor="text1"/>
          <w:vertAlign w:val="superscript"/>
        </w:rPr>
        <w:t>+</w:t>
      </w:r>
      <w:r w:rsidRPr="00F57842">
        <w:rPr>
          <w:color w:val="000000" w:themeColor="text1"/>
        </w:rPr>
        <w:t xml:space="preserve"> and Mg</w:t>
      </w:r>
      <w:r w:rsidRPr="00F57842">
        <w:rPr>
          <w:color w:val="000000" w:themeColor="text1"/>
          <w:vertAlign w:val="superscript"/>
        </w:rPr>
        <w:t>2+</w:t>
      </w:r>
      <w:r w:rsidRPr="00F57842">
        <w:rPr>
          <w:color w:val="000000" w:themeColor="text1"/>
        </w:rPr>
        <w:t xml:space="preserve"> at these extreme pressure can only be of bridging species since the Coulombic interactions are much stronger due to the 1) higher electrostatic charge of the tetracarbonate unit and 2) the much smaller atomic radius of the cations compared to uncompressed material.</w:t>
      </w:r>
    </w:p>
    <w:p w14:paraId="73EB3912" w14:textId="77777777" w:rsidR="00AB77F1" w:rsidRPr="00F57842" w:rsidRDefault="00AB77F1" w:rsidP="00AB77F1">
      <w:pPr>
        <w:pStyle w:val="Teaser"/>
        <w:spacing w:line="360" w:lineRule="auto"/>
        <w:ind w:firstLine="720"/>
        <w:jc w:val="both"/>
        <w:rPr>
          <w:color w:val="000000" w:themeColor="text1"/>
        </w:rPr>
      </w:pPr>
    </w:p>
    <w:p w14:paraId="21F96BCA" w14:textId="77777777" w:rsidR="00AB77F1" w:rsidRPr="00F57842" w:rsidRDefault="00AB77F1" w:rsidP="00AB77F1">
      <w:pPr>
        <w:pStyle w:val="SMText"/>
        <w:spacing w:line="360" w:lineRule="auto"/>
        <w:ind w:firstLine="0"/>
        <w:jc w:val="both"/>
        <w:rPr>
          <w:bCs/>
          <w:color w:val="000000" w:themeColor="text1"/>
          <w:u w:val="single"/>
          <w:lang w:val="en-GB"/>
        </w:rPr>
      </w:pPr>
    </w:p>
    <w:p w14:paraId="78A8EEC9" w14:textId="77777777" w:rsidR="00AB77F1" w:rsidRPr="00F57842" w:rsidRDefault="00AB77F1" w:rsidP="00AB77F1">
      <w:pPr>
        <w:pStyle w:val="SMText"/>
        <w:spacing w:line="360" w:lineRule="auto"/>
        <w:ind w:firstLine="0"/>
        <w:jc w:val="both"/>
        <w:rPr>
          <w:b/>
          <w:color w:val="000000" w:themeColor="text1"/>
        </w:rPr>
      </w:pPr>
      <w:r w:rsidRPr="00F57842">
        <w:rPr>
          <w:b/>
          <w:color w:val="000000" w:themeColor="text1"/>
          <w:lang w:val="en-GB"/>
        </w:rPr>
        <w:t>2. Carbon isotopic content in hotspot volcanism</w:t>
      </w:r>
    </w:p>
    <w:p w14:paraId="03DD7D06" w14:textId="77777777" w:rsidR="00AB77F1" w:rsidRPr="00F57842" w:rsidRDefault="00AB77F1" w:rsidP="00AB77F1">
      <w:pPr>
        <w:pStyle w:val="SMText"/>
        <w:spacing w:line="360" w:lineRule="auto"/>
        <w:ind w:firstLine="0"/>
        <w:jc w:val="both"/>
        <w:rPr>
          <w:bCs/>
          <w:color w:val="000000" w:themeColor="text1"/>
          <w:sz w:val="8"/>
          <w:szCs w:val="8"/>
          <w:u w:val="single"/>
          <w:lang w:val="en-GB"/>
        </w:rPr>
      </w:pPr>
    </w:p>
    <w:p w14:paraId="63120726" w14:textId="77777777" w:rsidR="00AB77F1" w:rsidRPr="00F57842" w:rsidRDefault="00AB77F1" w:rsidP="00AB77F1">
      <w:pPr>
        <w:pStyle w:val="SMText"/>
        <w:spacing w:line="360" w:lineRule="auto"/>
        <w:ind w:firstLine="0"/>
        <w:jc w:val="both"/>
        <w:rPr>
          <w:color w:val="000000" w:themeColor="text1"/>
        </w:rPr>
      </w:pPr>
      <w:r w:rsidRPr="00F57842">
        <w:rPr>
          <w:bCs/>
          <w:color w:val="000000" w:themeColor="text1"/>
        </w:rPr>
        <w:tab/>
        <w:t>There are three distinct ranges of carbon isotopic compositions that provide information on the possible carbon source:</w:t>
      </w:r>
    </w:p>
    <w:p w14:paraId="45A930F2" w14:textId="77777777" w:rsidR="00AB77F1" w:rsidRPr="00F57842" w:rsidRDefault="00AB77F1" w:rsidP="00AB77F1">
      <w:pPr>
        <w:pStyle w:val="SMText"/>
        <w:spacing w:line="360" w:lineRule="auto"/>
        <w:ind w:firstLine="0"/>
        <w:jc w:val="both"/>
        <w:rPr>
          <w:bCs/>
          <w:color w:val="000000" w:themeColor="text1"/>
        </w:rPr>
      </w:pPr>
    </w:p>
    <w:p w14:paraId="06C77C39" w14:textId="77777777" w:rsidR="00AB77F1" w:rsidRPr="00F57842" w:rsidRDefault="00AB77F1" w:rsidP="00AB77F1">
      <w:pPr>
        <w:pStyle w:val="ListParagraph"/>
        <w:numPr>
          <w:ilvl w:val="0"/>
          <w:numId w:val="3"/>
        </w:numPr>
        <w:suppressAutoHyphens/>
        <w:autoSpaceDN w:val="0"/>
        <w:spacing w:line="360" w:lineRule="auto"/>
        <w:contextualSpacing w:val="0"/>
        <w:jc w:val="both"/>
        <w:textAlignment w:val="baseline"/>
        <w:rPr>
          <w:rFonts w:ascii="Times New Roman" w:hAnsi="Times New Roman" w:cs="Times New Roman"/>
          <w:color w:val="000000" w:themeColor="text1"/>
        </w:rPr>
      </w:pPr>
      <w:r w:rsidRPr="00F57842">
        <w:rPr>
          <w:rFonts w:ascii="Times New Roman" w:hAnsi="Times New Roman" w:cs="Times New Roman"/>
          <w:color w:val="000000" w:themeColor="text1"/>
        </w:rPr>
        <w:t xml:space="preserve">“light” carbon (ca. </w:t>
      </w:r>
      <w:r w:rsidRPr="00F57842">
        <w:rPr>
          <w:rFonts w:ascii="Cambria Math" w:hAnsi="Cambria Math" w:cs="Cambria Math"/>
          <w:color w:val="000000" w:themeColor="text1"/>
          <w:lang w:val="de-DE"/>
        </w:rPr>
        <w:t>𝛿</w:t>
      </w:r>
      <w:r w:rsidRPr="00F57842">
        <w:rPr>
          <w:rFonts w:ascii="Times New Roman" w:hAnsi="Times New Roman" w:cs="Times New Roman"/>
          <w:color w:val="000000" w:themeColor="text1"/>
          <w:vertAlign w:val="superscript"/>
        </w:rPr>
        <w:t>13</w:t>
      </w:r>
      <w:r w:rsidRPr="00F57842">
        <w:rPr>
          <w:rFonts w:ascii="Times New Roman" w:hAnsi="Times New Roman" w:cs="Times New Roman"/>
          <w:color w:val="000000" w:themeColor="text1"/>
        </w:rPr>
        <w:t>C &lt; -20 ‰), from either biogenic or abiogenic non carbonate origin, coming from surface or near-surface environments.</w:t>
      </w:r>
    </w:p>
    <w:p w14:paraId="2DF5550C" w14:textId="77777777" w:rsidR="00AB77F1" w:rsidRPr="00F57842" w:rsidRDefault="00AB77F1" w:rsidP="00AB77F1">
      <w:pPr>
        <w:pStyle w:val="ListParagraph"/>
        <w:numPr>
          <w:ilvl w:val="0"/>
          <w:numId w:val="2"/>
        </w:numPr>
        <w:suppressAutoHyphens/>
        <w:autoSpaceDN w:val="0"/>
        <w:spacing w:line="360" w:lineRule="auto"/>
        <w:contextualSpacing w:val="0"/>
        <w:jc w:val="both"/>
        <w:textAlignment w:val="baseline"/>
        <w:rPr>
          <w:rFonts w:ascii="Times New Roman" w:hAnsi="Times New Roman" w:cs="Times New Roman"/>
          <w:color w:val="000000" w:themeColor="text1"/>
        </w:rPr>
      </w:pPr>
      <w:r w:rsidRPr="00F57842">
        <w:rPr>
          <w:rFonts w:ascii="Times New Roman" w:hAnsi="Times New Roman" w:cs="Times New Roman"/>
          <w:color w:val="000000" w:themeColor="text1"/>
        </w:rPr>
        <w:t xml:space="preserve">isotopically “heavier” carbon (ca. -8 ‰ &lt; </w:t>
      </w:r>
      <w:r w:rsidRPr="00F57842">
        <w:rPr>
          <w:rFonts w:ascii="Cambria Math" w:hAnsi="Cambria Math" w:cs="Cambria Math"/>
          <w:color w:val="000000" w:themeColor="text1"/>
          <w:lang w:val="de-DE"/>
        </w:rPr>
        <w:t>𝛿</w:t>
      </w:r>
      <w:r w:rsidRPr="00F57842">
        <w:rPr>
          <w:rFonts w:ascii="Times New Roman" w:hAnsi="Times New Roman" w:cs="Times New Roman"/>
          <w:color w:val="000000" w:themeColor="text1"/>
          <w:vertAlign w:val="superscript"/>
        </w:rPr>
        <w:t>13</w:t>
      </w:r>
      <w:r w:rsidRPr="00F57842">
        <w:rPr>
          <w:rFonts w:ascii="Times New Roman" w:hAnsi="Times New Roman" w:cs="Times New Roman"/>
          <w:color w:val="000000" w:themeColor="text1"/>
        </w:rPr>
        <w:t xml:space="preserve">C &lt; -2 ‰, avg. ~5‰) has been identified as a common isotopic composition signature for the mantle (carbonatite and kimberlite </w:t>
      </w:r>
      <w:r w:rsidRPr="00F57842">
        <w:rPr>
          <w:rFonts w:ascii="Times New Roman" w:hAnsi="Times New Roman" w:cs="Times New Roman"/>
          <w:color w:val="000000" w:themeColor="text1"/>
        </w:rPr>
        <w:lastRenderedPageBreak/>
        <w:t>carbonates, diamonds and volcanic CO</w:t>
      </w:r>
      <w:r w:rsidRPr="00F57842">
        <w:rPr>
          <w:rFonts w:ascii="Times New Roman" w:hAnsi="Times New Roman" w:cs="Times New Roman"/>
          <w:color w:val="000000" w:themeColor="text1"/>
          <w:vertAlign w:val="subscript"/>
        </w:rPr>
        <w:t>2</w:t>
      </w:r>
      <w:r w:rsidRPr="00F57842">
        <w:rPr>
          <w:rFonts w:ascii="Times New Roman" w:hAnsi="Times New Roman" w:cs="Times New Roman"/>
          <w:color w:val="000000" w:themeColor="text1"/>
        </w:rPr>
        <w:t xml:space="preserve"> exhalations), thus material of more primitive origin.</w:t>
      </w:r>
    </w:p>
    <w:p w14:paraId="37CC8BFF" w14:textId="77777777" w:rsidR="00AB77F1" w:rsidRPr="00F57842" w:rsidRDefault="00AB77F1" w:rsidP="00AB77F1">
      <w:pPr>
        <w:pStyle w:val="ListParagraph"/>
        <w:numPr>
          <w:ilvl w:val="0"/>
          <w:numId w:val="2"/>
        </w:numPr>
        <w:suppressAutoHyphens/>
        <w:autoSpaceDN w:val="0"/>
        <w:spacing w:line="360" w:lineRule="auto"/>
        <w:contextualSpacing w:val="0"/>
        <w:jc w:val="both"/>
        <w:textAlignment w:val="baseline"/>
        <w:rPr>
          <w:rFonts w:ascii="Times New Roman" w:hAnsi="Times New Roman" w:cs="Times New Roman"/>
          <w:color w:val="000000" w:themeColor="text1"/>
        </w:rPr>
      </w:pPr>
      <w:r w:rsidRPr="00F57842">
        <w:rPr>
          <w:rFonts w:ascii="Times New Roman" w:hAnsi="Times New Roman" w:cs="Times New Roman"/>
          <w:color w:val="000000" w:themeColor="text1"/>
        </w:rPr>
        <w:t xml:space="preserve">“carbonate” carbon (ca. </w:t>
      </w:r>
      <w:r w:rsidRPr="00F57842">
        <w:rPr>
          <w:rFonts w:ascii="Cambria Math" w:hAnsi="Cambria Math" w:cs="Cambria Math"/>
          <w:color w:val="000000" w:themeColor="text1"/>
          <w:lang w:val="de-DE"/>
        </w:rPr>
        <w:t>𝛿</w:t>
      </w:r>
      <w:r w:rsidRPr="00F57842">
        <w:rPr>
          <w:rFonts w:ascii="Times New Roman" w:hAnsi="Times New Roman" w:cs="Times New Roman"/>
          <w:color w:val="000000" w:themeColor="text1"/>
          <w:vertAlign w:val="superscript"/>
        </w:rPr>
        <w:t>13</w:t>
      </w:r>
      <w:r w:rsidRPr="00F57842">
        <w:rPr>
          <w:rFonts w:ascii="Times New Roman" w:hAnsi="Times New Roman" w:cs="Times New Roman"/>
          <w:color w:val="000000" w:themeColor="text1"/>
        </w:rPr>
        <w:t>C &gt; - 2 ‰), typical of surface-derived carbon deposited as carbonate from seawater.</w:t>
      </w:r>
    </w:p>
    <w:p w14:paraId="3D2378EC" w14:textId="77777777" w:rsidR="00AB77F1" w:rsidRPr="00F57842" w:rsidRDefault="00AB77F1" w:rsidP="00AB77F1">
      <w:pPr>
        <w:pStyle w:val="ListParagraph"/>
        <w:spacing w:line="360" w:lineRule="auto"/>
        <w:jc w:val="both"/>
        <w:rPr>
          <w:rFonts w:ascii="Times New Roman" w:hAnsi="Times New Roman" w:cs="Times New Roman"/>
          <w:color w:val="000000" w:themeColor="text1"/>
        </w:rPr>
      </w:pPr>
    </w:p>
    <w:p w14:paraId="14E2D3EC" w14:textId="3911A4D7" w:rsidR="00AB77F1" w:rsidRPr="00F57842" w:rsidRDefault="00AB77F1" w:rsidP="00AB77F1">
      <w:pPr>
        <w:pStyle w:val="Standard"/>
        <w:spacing w:line="360" w:lineRule="auto"/>
        <w:jc w:val="both"/>
        <w:rPr>
          <w:color w:val="000000" w:themeColor="text1"/>
          <w:lang w:val="en-US"/>
        </w:rPr>
      </w:pPr>
      <w:r w:rsidRPr="00F57842">
        <w:rPr>
          <w:color w:val="000000" w:themeColor="text1"/>
          <w:lang w:val="en-US"/>
        </w:rPr>
        <w:t xml:space="preserve">The carbon isotopic contents in minerals, glasses and gases collected at hotspots location all indicate a deep mantle origin, with </w:t>
      </w:r>
      <w:r w:rsidRPr="00F57842">
        <w:rPr>
          <w:rFonts w:ascii="Cambria Math" w:hAnsi="Cambria Math" w:cs="Cambria Math"/>
          <w:color w:val="000000" w:themeColor="text1"/>
        </w:rPr>
        <w:t>𝛿</w:t>
      </w:r>
      <w:r w:rsidRPr="00F57842">
        <w:rPr>
          <w:color w:val="000000" w:themeColor="text1"/>
          <w:vertAlign w:val="superscript"/>
          <w:lang w:val="en-US"/>
        </w:rPr>
        <w:t>13</w:t>
      </w:r>
      <w:r w:rsidRPr="00F57842">
        <w:rPr>
          <w:color w:val="000000" w:themeColor="text1"/>
          <w:lang w:val="en-US"/>
        </w:rPr>
        <w:t>C values oscillating in average around -2.5 ± 1.1 ‰ in Iceland</w:t>
      </w:r>
      <w:r w:rsidR="008C029E" w:rsidRPr="00F57842">
        <w:rPr>
          <w:color w:val="000000" w:themeColor="text1"/>
          <w:vertAlign w:val="superscript"/>
          <w:lang w:val="en-US"/>
        </w:rPr>
        <w:t>50</w:t>
      </w:r>
      <w:r w:rsidRPr="00F57842">
        <w:rPr>
          <w:color w:val="000000" w:themeColor="text1"/>
          <w:lang w:val="en-US"/>
        </w:rPr>
        <w:t>, between −7 ‰ and -2.4 ‰ in Hawaii</w:t>
      </w:r>
      <w:r w:rsidR="008C029E" w:rsidRPr="00F57842">
        <w:rPr>
          <w:color w:val="000000" w:themeColor="text1"/>
          <w:vertAlign w:val="superscript"/>
          <w:lang w:val="en-US"/>
        </w:rPr>
        <w:t>51</w:t>
      </w:r>
      <w:r w:rsidRPr="00F57842">
        <w:rPr>
          <w:color w:val="000000" w:themeColor="text1"/>
          <w:lang w:val="en-US"/>
        </w:rPr>
        <w:t xml:space="preserve"> and around -6 ‰ in Pitcairn hot spot</w:t>
      </w:r>
      <w:r w:rsidR="008C029E" w:rsidRPr="00F57842">
        <w:rPr>
          <w:color w:val="000000" w:themeColor="text1"/>
          <w:vertAlign w:val="superscript"/>
          <w:lang w:val="en-US"/>
        </w:rPr>
        <w:t>52</w:t>
      </w:r>
      <w:r w:rsidRPr="00F57842">
        <w:rPr>
          <w:color w:val="000000" w:themeColor="text1"/>
          <w:lang w:val="en-US"/>
        </w:rPr>
        <w:t xml:space="preserve">, just to cite a few. The concomitant presence of light </w:t>
      </w:r>
      <w:r w:rsidRPr="00F57842">
        <w:rPr>
          <w:rFonts w:ascii="Cambria Math" w:hAnsi="Cambria Math" w:cs="Cambria Math"/>
          <w:color w:val="000000" w:themeColor="text1"/>
        </w:rPr>
        <w:t>𝛿</w:t>
      </w:r>
      <w:r w:rsidRPr="00F57842">
        <w:rPr>
          <w:color w:val="000000" w:themeColor="text1"/>
          <w:vertAlign w:val="superscript"/>
          <w:lang w:val="en-US"/>
        </w:rPr>
        <w:t>13</w:t>
      </w:r>
      <w:r w:rsidRPr="00F57842">
        <w:rPr>
          <w:color w:val="000000" w:themeColor="text1"/>
          <w:lang w:val="en-US"/>
        </w:rPr>
        <w:t xml:space="preserve">C (&lt; 20 ‰) was measured in all these studies and should not surprise, since it is often associated to graphitic and organic material at the surface (known to be present virtually in all cracks), or could be caused by melt-crust interaction, involving a low </w:t>
      </w:r>
      <w:r w:rsidRPr="00F57842">
        <w:rPr>
          <w:rStyle w:val="Emphasis"/>
          <w:color w:val="000000" w:themeColor="text1"/>
        </w:rPr>
        <w:t>δ</w:t>
      </w:r>
      <w:r w:rsidRPr="00F57842">
        <w:rPr>
          <w:color w:val="000000" w:themeColor="text1"/>
          <w:vertAlign w:val="superscript"/>
          <w:lang w:val="en-US"/>
        </w:rPr>
        <w:t>13</w:t>
      </w:r>
      <w:r w:rsidRPr="00F57842">
        <w:rPr>
          <w:color w:val="000000" w:themeColor="text1"/>
          <w:lang w:val="en-US"/>
        </w:rPr>
        <w:t>C component.</w:t>
      </w:r>
    </w:p>
    <w:p w14:paraId="5CE8C492" w14:textId="6F9F797D" w:rsidR="00AB77F1" w:rsidRPr="00F57842" w:rsidRDefault="00AB77F1" w:rsidP="00AB77F1">
      <w:pPr>
        <w:pStyle w:val="Standard"/>
        <w:spacing w:line="360" w:lineRule="auto"/>
        <w:jc w:val="both"/>
        <w:rPr>
          <w:color w:val="000000" w:themeColor="text1"/>
          <w:lang w:val="en-US"/>
        </w:rPr>
      </w:pPr>
      <w:r w:rsidRPr="00F57842">
        <w:rPr>
          <w:color w:val="000000" w:themeColor="text1"/>
          <w:lang w:val="en-US"/>
        </w:rPr>
        <w:t>Nevertheless, it is important to highlight that the isotopic signature of ocean island basalts shows that hotspots’ mantle sources can be diverse and heterogeneous, reflecting their derivation from distinct reservoirs within the convecting mantle and consisting of numerous geochemically distinct components with varied origins and evolutions</w:t>
      </w:r>
      <w:r w:rsidRPr="00F57842">
        <w:rPr>
          <w:i/>
          <w:color w:val="000000" w:themeColor="text1"/>
          <w:vertAlign w:val="superscript"/>
          <w:lang w:val="en-US"/>
        </w:rPr>
        <w:t>53-56</w:t>
      </w:r>
      <w:r w:rsidRPr="00F57842">
        <w:rPr>
          <w:color w:val="000000" w:themeColor="text1"/>
          <w:lang w:val="en-US"/>
        </w:rPr>
        <w:t xml:space="preserve">. </w:t>
      </w:r>
    </w:p>
    <w:p w14:paraId="68CA0BF3" w14:textId="20369443" w:rsidR="00AB77F1" w:rsidRPr="00F57842" w:rsidRDefault="00AB77F1" w:rsidP="00AB77F1">
      <w:pPr>
        <w:pStyle w:val="Standard"/>
        <w:spacing w:line="360" w:lineRule="auto"/>
        <w:jc w:val="both"/>
        <w:rPr>
          <w:color w:val="000000" w:themeColor="text1"/>
          <w:lang w:val="en-US"/>
        </w:rPr>
      </w:pPr>
      <w:r w:rsidRPr="00F57842">
        <w:rPr>
          <w:color w:val="000000" w:themeColor="text1"/>
          <w:lang w:val="en-US"/>
        </w:rPr>
        <w:t xml:space="preserve">The Deep mantle origin of material erupted via hotspots volcanism is also indirectly confirmed by emission measurements of other noble gases, i.e. </w:t>
      </w:r>
      <w:r w:rsidRPr="00F57842">
        <w:rPr>
          <w:color w:val="000000" w:themeColor="text1"/>
          <w:vertAlign w:val="superscript"/>
          <w:lang w:val="en-US"/>
        </w:rPr>
        <w:t>40</w:t>
      </w:r>
      <w:r w:rsidRPr="00F57842">
        <w:rPr>
          <w:color w:val="000000" w:themeColor="text1"/>
          <w:lang w:val="en-US"/>
        </w:rPr>
        <w:t xml:space="preserve">K, </w:t>
      </w:r>
      <w:r w:rsidRPr="00F57842">
        <w:rPr>
          <w:color w:val="000000" w:themeColor="text1"/>
          <w:vertAlign w:val="superscript"/>
          <w:lang w:val="en-US"/>
        </w:rPr>
        <w:t>40</w:t>
      </w:r>
      <w:r w:rsidRPr="00F57842">
        <w:rPr>
          <w:color w:val="000000" w:themeColor="text1"/>
          <w:lang w:val="en-US"/>
        </w:rPr>
        <w:t>Ar and Xe, present in the mantle plumes and released at hotspots locations. Their isotopic composition and abundance suggest that they come from a very poorly degassed region of the mantle</w:t>
      </w:r>
      <w:r w:rsidR="008C029E" w:rsidRPr="00F57842">
        <w:rPr>
          <w:color w:val="000000" w:themeColor="text1"/>
          <w:vertAlign w:val="superscript"/>
          <w:lang w:val="en-US"/>
        </w:rPr>
        <w:t>57,58</w:t>
      </w:r>
      <w:r w:rsidRPr="00F57842">
        <w:rPr>
          <w:color w:val="000000" w:themeColor="text1"/>
          <w:lang w:val="en-US"/>
        </w:rPr>
        <w:t>, which remained relatively unperturbed during the late stage of Earth’s accretion history.</w:t>
      </w:r>
    </w:p>
    <w:p w14:paraId="2A394D3C" w14:textId="77777777" w:rsidR="00AB77F1" w:rsidRPr="00F57842" w:rsidRDefault="00AB77F1" w:rsidP="00AB77F1">
      <w:pPr>
        <w:pStyle w:val="SMSubheading"/>
        <w:spacing w:line="360" w:lineRule="auto"/>
        <w:jc w:val="both"/>
        <w:rPr>
          <w:color w:val="000000" w:themeColor="text1"/>
          <w:u w:val="none"/>
        </w:rPr>
      </w:pPr>
    </w:p>
    <w:p w14:paraId="7354B61C" w14:textId="77777777" w:rsidR="00AB77F1" w:rsidRPr="00F57842" w:rsidRDefault="00AB77F1" w:rsidP="00AB77F1">
      <w:pPr>
        <w:pStyle w:val="SMSubheading"/>
        <w:spacing w:line="360" w:lineRule="auto"/>
        <w:jc w:val="both"/>
        <w:rPr>
          <w:b/>
          <w:bCs/>
          <w:color w:val="000000" w:themeColor="text1"/>
          <w:u w:val="none"/>
        </w:rPr>
      </w:pPr>
      <w:r w:rsidRPr="00F57842">
        <w:rPr>
          <w:b/>
          <w:bCs/>
          <w:color w:val="000000" w:themeColor="text1"/>
          <w:u w:val="none"/>
        </w:rPr>
        <w:t>3. Subducted carbon contribution to the thermochemical piles</w:t>
      </w:r>
    </w:p>
    <w:p w14:paraId="13DB3CAC" w14:textId="77777777" w:rsidR="00AB77F1" w:rsidRPr="00F57842" w:rsidRDefault="00AB77F1" w:rsidP="00AB77F1">
      <w:pPr>
        <w:pStyle w:val="SMSubheading"/>
        <w:spacing w:line="360" w:lineRule="auto"/>
        <w:jc w:val="both"/>
        <w:rPr>
          <w:color w:val="000000" w:themeColor="text1"/>
          <w:sz w:val="8"/>
          <w:szCs w:val="8"/>
        </w:rPr>
      </w:pPr>
    </w:p>
    <w:p w14:paraId="0EBF24B1" w14:textId="5214A76E" w:rsidR="00AB77F1" w:rsidRPr="00F57842" w:rsidRDefault="00AB77F1" w:rsidP="00F57842">
      <w:pPr>
        <w:pStyle w:val="Standarduser"/>
        <w:spacing w:line="360" w:lineRule="auto"/>
        <w:jc w:val="both"/>
        <w:rPr>
          <w:color w:val="000000" w:themeColor="text1"/>
          <w:lang w:val="en-US"/>
        </w:rPr>
      </w:pPr>
      <w:r w:rsidRPr="00F57842">
        <w:rPr>
          <w:bCs/>
          <w:color w:val="000000" w:themeColor="text1"/>
          <w:lang w:val="en-US"/>
        </w:rPr>
        <w:t>In the contribution of subducted material that accumulate in the thermochemical piles, it is conceivable to expect that some amount of carbon, remnants of the carbonate layers constituting the old oceanic crust, should be present. Indeed, the most recent estimations indicate that only about 30% of the subducted carbon is to be recycled in the crust and atmosphere</w:t>
      </w:r>
      <w:r w:rsidR="008C029E" w:rsidRPr="00F57842">
        <w:rPr>
          <w:bCs/>
          <w:color w:val="000000" w:themeColor="text1"/>
          <w:vertAlign w:val="superscript"/>
          <w:lang w:val="en-US"/>
        </w:rPr>
        <w:t>8</w:t>
      </w:r>
      <w:r w:rsidRPr="00F57842">
        <w:rPr>
          <w:bCs/>
          <w:color w:val="000000" w:themeColor="text1"/>
          <w:lang w:val="en-US"/>
        </w:rPr>
        <w:t xml:space="preserve">, and even if the associated uncertainties are very large, it is to be expected that at least some of the remaining carbon (in the form of carbonates or other C-carriers) may be transported with the oceanic crust further down, ultimately reaching the CMB and thermochemical regions associated with the LLVPs. Thus, subducted carbon could be present, in a small part, as oxidized species in the proximity of ancient slabs even at the reducing </w:t>
      </w:r>
      <w:r w:rsidRPr="00F57842">
        <w:rPr>
          <w:bCs/>
          <w:color w:val="000000" w:themeColor="text1"/>
          <w:lang w:val="en-US"/>
        </w:rPr>
        <w:lastRenderedPageBreak/>
        <w:t>conditions of the Earth’s lower mantle, and could form carbon-rich domains where tetracarbonate melts or crystalline could exist.</w:t>
      </w:r>
    </w:p>
    <w:p w14:paraId="5B2095D4" w14:textId="77777777" w:rsidR="00AB77F1" w:rsidRPr="00F57842" w:rsidRDefault="00AB77F1" w:rsidP="00F57842">
      <w:pPr>
        <w:spacing w:line="360" w:lineRule="auto"/>
        <w:jc w:val="both"/>
        <w:rPr>
          <w:rFonts w:ascii="Times New Roman" w:hAnsi="Times New Roman" w:cs="Times New Roman"/>
          <w:b/>
          <w:bCs/>
          <w:color w:val="000000" w:themeColor="text1"/>
          <w:lang w:val="en-US"/>
        </w:rPr>
      </w:pPr>
    </w:p>
    <w:p w14:paraId="64A6BF01" w14:textId="69D62A10" w:rsidR="00AB77F1" w:rsidRPr="00F57842" w:rsidRDefault="00AB77F1" w:rsidP="004B4655">
      <w:pPr>
        <w:spacing w:line="360" w:lineRule="auto"/>
        <w:rPr>
          <w:rFonts w:ascii="Times New Roman" w:hAnsi="Times New Roman" w:cs="Times New Roman"/>
          <w:b/>
          <w:bCs/>
          <w:color w:val="000000" w:themeColor="text1"/>
          <w:lang w:val="en-US"/>
        </w:rPr>
      </w:pPr>
    </w:p>
    <w:p w14:paraId="58189BA7" w14:textId="3F7E02E3" w:rsidR="004B4655" w:rsidRPr="00F57842" w:rsidRDefault="004B4655" w:rsidP="004B4655">
      <w:pPr>
        <w:spacing w:line="360" w:lineRule="auto"/>
        <w:rPr>
          <w:rFonts w:ascii="Times New Roman" w:hAnsi="Times New Roman" w:cs="Times New Roman"/>
          <w:b/>
          <w:bCs/>
          <w:color w:val="000000" w:themeColor="text1"/>
          <w:lang w:val="en-US"/>
        </w:rPr>
      </w:pPr>
      <w:r w:rsidRPr="00F57842">
        <w:rPr>
          <w:rFonts w:ascii="Times New Roman" w:hAnsi="Times New Roman" w:cs="Times New Roman"/>
          <w:b/>
          <w:bCs/>
          <w:color w:val="000000" w:themeColor="text1"/>
          <w:lang w:val="en-US"/>
        </w:rPr>
        <w:t xml:space="preserve">References </w:t>
      </w:r>
    </w:p>
    <w:p w14:paraId="37AECDF9"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t xml:space="preserve">47. </w:t>
      </w:r>
      <w:proofErr w:type="spellStart"/>
      <w:r w:rsidRPr="00F57842">
        <w:rPr>
          <w:bCs/>
          <w:color w:val="000000" w:themeColor="text1"/>
        </w:rPr>
        <w:t>Genge</w:t>
      </w:r>
      <w:proofErr w:type="spellEnd"/>
      <w:r w:rsidRPr="00F57842">
        <w:rPr>
          <w:bCs/>
          <w:color w:val="000000" w:themeColor="text1"/>
        </w:rPr>
        <w:t xml:space="preserve">, M. J., Jones, A. P. &amp; Price, G. D. An infrared and Raman study of carbonate glasses: Implications for the structure of carbonatite magmas. </w:t>
      </w:r>
      <w:proofErr w:type="spellStart"/>
      <w:r w:rsidRPr="00F57842">
        <w:rPr>
          <w:bCs/>
          <w:i/>
          <w:color w:val="000000" w:themeColor="text1"/>
        </w:rPr>
        <w:t>Geochimica</w:t>
      </w:r>
      <w:proofErr w:type="spellEnd"/>
      <w:r w:rsidRPr="00F57842">
        <w:rPr>
          <w:bCs/>
          <w:i/>
          <w:color w:val="000000" w:themeColor="text1"/>
        </w:rPr>
        <w:t xml:space="preserve"> et </w:t>
      </w:r>
      <w:proofErr w:type="spellStart"/>
      <w:r w:rsidRPr="00F57842">
        <w:rPr>
          <w:bCs/>
          <w:i/>
          <w:color w:val="000000" w:themeColor="text1"/>
        </w:rPr>
        <w:t>Cosmochimica</w:t>
      </w:r>
      <w:proofErr w:type="spellEnd"/>
      <w:r w:rsidRPr="00F57842">
        <w:rPr>
          <w:bCs/>
          <w:color w:val="000000" w:themeColor="text1"/>
        </w:rPr>
        <w:t xml:space="preserve"> Acta </w:t>
      </w:r>
      <w:r w:rsidRPr="00F57842">
        <w:rPr>
          <w:b/>
          <w:bCs/>
          <w:color w:val="000000" w:themeColor="text1"/>
        </w:rPr>
        <w:t>5</w:t>
      </w:r>
      <w:r w:rsidRPr="00F57842">
        <w:rPr>
          <w:bCs/>
          <w:color w:val="000000" w:themeColor="text1"/>
        </w:rPr>
        <w:t>, 927-937 (1995).</w:t>
      </w:r>
    </w:p>
    <w:p w14:paraId="4820950F"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t xml:space="preserve">48. Wilding, M. C. </w:t>
      </w:r>
      <w:r w:rsidRPr="00F57842">
        <w:rPr>
          <w:bCs/>
          <w:iCs/>
          <w:color w:val="000000" w:themeColor="text1"/>
        </w:rPr>
        <w:t>et al</w:t>
      </w:r>
      <w:r w:rsidRPr="00F57842">
        <w:rPr>
          <w:bCs/>
          <w:color w:val="000000" w:themeColor="text1"/>
        </w:rPr>
        <w:t>. The structure and thermochemistry of K</w:t>
      </w:r>
      <w:r w:rsidRPr="00F57842">
        <w:rPr>
          <w:bCs/>
          <w:color w:val="000000" w:themeColor="text1"/>
          <w:vertAlign w:val="subscript"/>
        </w:rPr>
        <w:t>2</w:t>
      </w:r>
      <w:r w:rsidRPr="00F57842">
        <w:rPr>
          <w:bCs/>
          <w:color w:val="000000" w:themeColor="text1"/>
        </w:rPr>
        <w:t>CO</w:t>
      </w:r>
      <w:r w:rsidRPr="00F57842">
        <w:rPr>
          <w:bCs/>
          <w:color w:val="000000" w:themeColor="text1"/>
          <w:vertAlign w:val="subscript"/>
        </w:rPr>
        <w:t>3</w:t>
      </w:r>
      <w:r w:rsidRPr="00F57842">
        <w:rPr>
          <w:bCs/>
          <w:color w:val="000000" w:themeColor="text1"/>
        </w:rPr>
        <w:t>–MgCO</w:t>
      </w:r>
      <w:r w:rsidRPr="00F57842">
        <w:rPr>
          <w:bCs/>
          <w:color w:val="000000" w:themeColor="text1"/>
          <w:vertAlign w:val="subscript"/>
        </w:rPr>
        <w:t>3</w:t>
      </w:r>
      <w:r w:rsidRPr="00F57842">
        <w:rPr>
          <w:bCs/>
          <w:color w:val="000000" w:themeColor="text1"/>
        </w:rPr>
        <w:t xml:space="preserve"> glass. </w:t>
      </w:r>
      <w:r w:rsidRPr="00F57842">
        <w:rPr>
          <w:bCs/>
          <w:i/>
          <w:color w:val="000000" w:themeColor="text1"/>
        </w:rPr>
        <w:t>Journal of Material Research</w:t>
      </w:r>
      <w:r w:rsidRPr="00F57842">
        <w:rPr>
          <w:bCs/>
          <w:color w:val="000000" w:themeColor="text1"/>
        </w:rPr>
        <w:t xml:space="preserve"> </w:t>
      </w:r>
      <w:r w:rsidRPr="00F57842">
        <w:rPr>
          <w:b/>
          <w:bCs/>
          <w:color w:val="000000" w:themeColor="text1"/>
        </w:rPr>
        <w:t>34</w:t>
      </w:r>
      <w:r w:rsidRPr="00F57842">
        <w:rPr>
          <w:bCs/>
          <w:color w:val="000000" w:themeColor="text1"/>
        </w:rPr>
        <w:t>, 3377-3388 (2019).</w:t>
      </w:r>
    </w:p>
    <w:p w14:paraId="250344DB"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t xml:space="preserve">49. </w:t>
      </w:r>
      <w:proofErr w:type="spellStart"/>
      <w:r w:rsidRPr="00F57842">
        <w:rPr>
          <w:bCs/>
          <w:color w:val="000000" w:themeColor="text1"/>
        </w:rPr>
        <w:t>Petitgirard</w:t>
      </w:r>
      <w:proofErr w:type="spellEnd"/>
      <w:r w:rsidRPr="00F57842">
        <w:rPr>
          <w:bCs/>
          <w:color w:val="000000" w:themeColor="text1"/>
        </w:rPr>
        <w:t xml:space="preserve">, S. </w:t>
      </w:r>
      <w:r w:rsidRPr="00F57842">
        <w:rPr>
          <w:bCs/>
          <w:iCs/>
          <w:color w:val="000000" w:themeColor="text1"/>
        </w:rPr>
        <w:t>et al</w:t>
      </w:r>
      <w:r w:rsidRPr="00F57842">
        <w:rPr>
          <w:bCs/>
          <w:color w:val="000000" w:themeColor="text1"/>
        </w:rPr>
        <w:t xml:space="preserve">. Magma properties at deep Earth’s conditions from electronic structure of silica. </w:t>
      </w:r>
      <w:r w:rsidRPr="00F57842">
        <w:rPr>
          <w:bCs/>
          <w:i/>
          <w:iCs/>
          <w:color w:val="000000" w:themeColor="text1"/>
        </w:rPr>
        <w:t>Geochemical Perspectives Letters</w:t>
      </w:r>
      <w:r w:rsidRPr="00F57842">
        <w:rPr>
          <w:bCs/>
          <w:iCs/>
          <w:color w:val="000000" w:themeColor="text1"/>
        </w:rPr>
        <w:t xml:space="preserve"> </w:t>
      </w:r>
      <w:r w:rsidRPr="00F57842">
        <w:rPr>
          <w:b/>
          <w:bCs/>
          <w:iCs/>
          <w:color w:val="000000" w:themeColor="text1"/>
        </w:rPr>
        <w:t>9</w:t>
      </w:r>
      <w:r w:rsidRPr="00F57842">
        <w:rPr>
          <w:bCs/>
          <w:iCs/>
          <w:color w:val="000000" w:themeColor="text1"/>
        </w:rPr>
        <w:t>, 32-37 (2019).</w:t>
      </w:r>
    </w:p>
    <w:p w14:paraId="09754853"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t xml:space="preserve">50. Barry, P. H., Hilton, D. R., </w:t>
      </w:r>
      <w:proofErr w:type="spellStart"/>
      <w:r w:rsidRPr="00F57842">
        <w:rPr>
          <w:bCs/>
          <w:color w:val="000000" w:themeColor="text1"/>
        </w:rPr>
        <w:t>Füri</w:t>
      </w:r>
      <w:proofErr w:type="spellEnd"/>
      <w:r w:rsidRPr="00F57842">
        <w:rPr>
          <w:bCs/>
          <w:color w:val="000000" w:themeColor="text1"/>
        </w:rPr>
        <w:t xml:space="preserve">, E., </w:t>
      </w:r>
      <w:proofErr w:type="spellStart"/>
      <w:r w:rsidRPr="00F57842">
        <w:rPr>
          <w:bCs/>
          <w:color w:val="000000" w:themeColor="text1"/>
        </w:rPr>
        <w:t>Halldórsson</w:t>
      </w:r>
      <w:proofErr w:type="spellEnd"/>
      <w:r w:rsidRPr="00F57842">
        <w:rPr>
          <w:bCs/>
          <w:color w:val="000000" w:themeColor="text1"/>
        </w:rPr>
        <w:t xml:space="preserve">, S. A. &amp; </w:t>
      </w:r>
      <w:proofErr w:type="spellStart"/>
      <w:r w:rsidRPr="00F57842">
        <w:rPr>
          <w:bCs/>
          <w:color w:val="000000" w:themeColor="text1"/>
        </w:rPr>
        <w:t>Grönvold</w:t>
      </w:r>
      <w:proofErr w:type="spellEnd"/>
      <w:r w:rsidRPr="00F57842">
        <w:rPr>
          <w:bCs/>
          <w:color w:val="000000" w:themeColor="text1"/>
        </w:rPr>
        <w:t>, K. Carbon isotope and abundance systematics of Icelandic geothermal gases, fluids and subglacial basalts with implications for mantle plume-related CO</w:t>
      </w:r>
      <w:r w:rsidRPr="00F57842">
        <w:rPr>
          <w:bCs/>
          <w:color w:val="000000" w:themeColor="text1"/>
          <w:vertAlign w:val="subscript"/>
        </w:rPr>
        <w:t>2</w:t>
      </w:r>
      <w:r w:rsidRPr="00F57842">
        <w:rPr>
          <w:bCs/>
          <w:color w:val="000000" w:themeColor="text1"/>
        </w:rPr>
        <w:t xml:space="preserve"> fluxes. </w:t>
      </w:r>
      <w:proofErr w:type="spellStart"/>
      <w:r w:rsidRPr="00F57842">
        <w:rPr>
          <w:bCs/>
          <w:i/>
          <w:color w:val="000000" w:themeColor="text1"/>
        </w:rPr>
        <w:t>Geochimica</w:t>
      </w:r>
      <w:proofErr w:type="spellEnd"/>
      <w:r w:rsidRPr="00F57842">
        <w:rPr>
          <w:bCs/>
          <w:i/>
          <w:color w:val="000000" w:themeColor="text1"/>
        </w:rPr>
        <w:t xml:space="preserve"> et </w:t>
      </w:r>
      <w:proofErr w:type="spellStart"/>
      <w:r w:rsidRPr="00F57842">
        <w:rPr>
          <w:bCs/>
          <w:i/>
          <w:color w:val="000000" w:themeColor="text1"/>
        </w:rPr>
        <w:t>Cosmochimica</w:t>
      </w:r>
      <w:proofErr w:type="spellEnd"/>
      <w:r w:rsidRPr="00F57842">
        <w:rPr>
          <w:bCs/>
          <w:i/>
          <w:color w:val="000000" w:themeColor="text1"/>
        </w:rPr>
        <w:t xml:space="preserve"> Acta</w:t>
      </w:r>
      <w:r w:rsidRPr="00F57842">
        <w:rPr>
          <w:bCs/>
          <w:color w:val="000000" w:themeColor="text1"/>
        </w:rPr>
        <w:t xml:space="preserve"> </w:t>
      </w:r>
      <w:r w:rsidRPr="00F57842">
        <w:rPr>
          <w:b/>
          <w:bCs/>
          <w:color w:val="000000" w:themeColor="text1"/>
        </w:rPr>
        <w:t xml:space="preserve">134, </w:t>
      </w:r>
      <w:r w:rsidRPr="00F57842">
        <w:rPr>
          <w:bCs/>
          <w:color w:val="000000" w:themeColor="text1"/>
        </w:rPr>
        <w:t>74-99 (2014).</w:t>
      </w:r>
    </w:p>
    <w:p w14:paraId="7364458E"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t xml:space="preserve">51. </w:t>
      </w:r>
      <w:proofErr w:type="spellStart"/>
      <w:r w:rsidRPr="00F57842">
        <w:rPr>
          <w:bCs/>
          <w:color w:val="000000" w:themeColor="text1"/>
        </w:rPr>
        <w:t>Pineau</w:t>
      </w:r>
      <w:proofErr w:type="spellEnd"/>
      <w:r w:rsidRPr="00F57842">
        <w:rPr>
          <w:bCs/>
          <w:color w:val="000000" w:themeColor="text1"/>
        </w:rPr>
        <w:t xml:space="preserve">, Y. F. &amp; </w:t>
      </w:r>
      <w:proofErr w:type="spellStart"/>
      <w:r w:rsidRPr="00F57842">
        <w:rPr>
          <w:bCs/>
          <w:color w:val="000000" w:themeColor="text1"/>
        </w:rPr>
        <w:t>Mathez</w:t>
      </w:r>
      <w:proofErr w:type="spellEnd"/>
      <w:r w:rsidRPr="00F57842">
        <w:rPr>
          <w:bCs/>
          <w:color w:val="000000" w:themeColor="text1"/>
        </w:rPr>
        <w:t xml:space="preserve">, E. A. Carbon isotopes in xenoliths from the </w:t>
      </w:r>
      <w:proofErr w:type="spellStart"/>
      <w:r w:rsidRPr="00F57842">
        <w:rPr>
          <w:bCs/>
          <w:color w:val="000000" w:themeColor="text1"/>
        </w:rPr>
        <w:t>Hualalai</w:t>
      </w:r>
      <w:proofErr w:type="spellEnd"/>
      <w:r w:rsidRPr="00F57842">
        <w:rPr>
          <w:bCs/>
          <w:color w:val="000000" w:themeColor="text1"/>
        </w:rPr>
        <w:t xml:space="preserve"> Volcano, Hawaii, and the generation of isotopic variability. </w:t>
      </w:r>
      <w:proofErr w:type="spellStart"/>
      <w:r w:rsidRPr="00F57842">
        <w:rPr>
          <w:bCs/>
          <w:i/>
          <w:color w:val="000000" w:themeColor="text1"/>
        </w:rPr>
        <w:t>Geochimica</w:t>
      </w:r>
      <w:proofErr w:type="spellEnd"/>
      <w:r w:rsidRPr="00F57842">
        <w:rPr>
          <w:bCs/>
          <w:i/>
          <w:color w:val="000000" w:themeColor="text1"/>
        </w:rPr>
        <w:t xml:space="preserve"> et </w:t>
      </w:r>
      <w:proofErr w:type="spellStart"/>
      <w:r w:rsidRPr="00F57842">
        <w:rPr>
          <w:bCs/>
          <w:i/>
          <w:color w:val="000000" w:themeColor="text1"/>
        </w:rPr>
        <w:t>Cosmochimica</w:t>
      </w:r>
      <w:proofErr w:type="spellEnd"/>
      <w:r w:rsidRPr="00F57842">
        <w:rPr>
          <w:bCs/>
          <w:i/>
          <w:color w:val="000000" w:themeColor="text1"/>
        </w:rPr>
        <w:t xml:space="preserve"> Acta</w:t>
      </w:r>
      <w:r w:rsidRPr="00F57842">
        <w:rPr>
          <w:bCs/>
          <w:color w:val="000000" w:themeColor="text1"/>
        </w:rPr>
        <w:t xml:space="preserve"> </w:t>
      </w:r>
      <w:r w:rsidRPr="00F57842">
        <w:rPr>
          <w:b/>
          <w:bCs/>
          <w:color w:val="000000" w:themeColor="text1"/>
        </w:rPr>
        <w:t>54</w:t>
      </w:r>
      <w:r w:rsidRPr="00F57842">
        <w:rPr>
          <w:bCs/>
          <w:color w:val="000000" w:themeColor="text1"/>
        </w:rPr>
        <w:t>, 217-227 (1990).</w:t>
      </w:r>
    </w:p>
    <w:p w14:paraId="68CD5BA2"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t xml:space="preserve">52. </w:t>
      </w:r>
      <w:proofErr w:type="spellStart"/>
      <w:r w:rsidRPr="00F57842">
        <w:rPr>
          <w:bCs/>
          <w:color w:val="000000" w:themeColor="text1"/>
        </w:rPr>
        <w:t>Aubaud</w:t>
      </w:r>
      <w:proofErr w:type="spellEnd"/>
      <w:r w:rsidRPr="00F57842">
        <w:rPr>
          <w:bCs/>
          <w:color w:val="000000" w:themeColor="text1"/>
        </w:rPr>
        <w:t xml:space="preserve">, C., </w:t>
      </w:r>
      <w:proofErr w:type="spellStart"/>
      <w:r w:rsidRPr="00F57842">
        <w:rPr>
          <w:bCs/>
          <w:color w:val="000000" w:themeColor="text1"/>
        </w:rPr>
        <w:t>Pineau</w:t>
      </w:r>
      <w:proofErr w:type="spellEnd"/>
      <w:r w:rsidRPr="00F57842">
        <w:rPr>
          <w:bCs/>
          <w:color w:val="000000" w:themeColor="text1"/>
        </w:rPr>
        <w:t xml:space="preserve">, F., </w:t>
      </w:r>
      <w:proofErr w:type="spellStart"/>
      <w:r w:rsidRPr="00F57842">
        <w:rPr>
          <w:bCs/>
          <w:color w:val="000000" w:themeColor="text1"/>
        </w:rPr>
        <w:t>Hékinian</w:t>
      </w:r>
      <w:proofErr w:type="spellEnd"/>
      <w:r w:rsidRPr="00F57842">
        <w:rPr>
          <w:bCs/>
          <w:color w:val="000000" w:themeColor="text1"/>
        </w:rPr>
        <w:t xml:space="preserve">, R. &amp; </w:t>
      </w:r>
      <w:proofErr w:type="spellStart"/>
      <w:r w:rsidRPr="00F57842">
        <w:rPr>
          <w:bCs/>
          <w:color w:val="000000" w:themeColor="text1"/>
        </w:rPr>
        <w:t>Javoy</w:t>
      </w:r>
      <w:proofErr w:type="spellEnd"/>
      <w:r w:rsidRPr="00F57842">
        <w:rPr>
          <w:bCs/>
          <w:color w:val="000000" w:themeColor="text1"/>
        </w:rPr>
        <w:t>, M. Carbon and hydrogen isotope constraints on degassing of CO</w:t>
      </w:r>
      <w:r w:rsidRPr="00F57842">
        <w:rPr>
          <w:bCs/>
          <w:color w:val="000000" w:themeColor="text1"/>
          <w:vertAlign w:val="subscript"/>
        </w:rPr>
        <w:t>2</w:t>
      </w:r>
      <w:r w:rsidRPr="00F57842">
        <w:rPr>
          <w:bCs/>
          <w:color w:val="000000" w:themeColor="text1"/>
        </w:rPr>
        <w:t xml:space="preserve"> and H</w:t>
      </w:r>
      <w:r w:rsidRPr="00F57842">
        <w:rPr>
          <w:bCs/>
          <w:color w:val="000000" w:themeColor="text1"/>
          <w:vertAlign w:val="subscript"/>
        </w:rPr>
        <w:t>2</w:t>
      </w:r>
      <w:r w:rsidRPr="00F57842">
        <w:rPr>
          <w:bCs/>
          <w:color w:val="000000" w:themeColor="text1"/>
        </w:rPr>
        <w:t xml:space="preserve">O in submarine lavas from the Pitcairn hotspot (South Pacific). </w:t>
      </w:r>
      <w:r w:rsidRPr="00F57842">
        <w:rPr>
          <w:bCs/>
          <w:i/>
          <w:color w:val="000000" w:themeColor="text1"/>
        </w:rPr>
        <w:t>Geophysical Research Letters</w:t>
      </w:r>
      <w:r w:rsidRPr="00F57842">
        <w:rPr>
          <w:bCs/>
          <w:color w:val="000000" w:themeColor="text1"/>
        </w:rPr>
        <w:t xml:space="preserve"> </w:t>
      </w:r>
      <w:r w:rsidRPr="00F57842">
        <w:rPr>
          <w:b/>
          <w:bCs/>
          <w:color w:val="000000" w:themeColor="text1"/>
        </w:rPr>
        <w:t>33</w:t>
      </w:r>
      <w:r w:rsidRPr="00F57842">
        <w:rPr>
          <w:bCs/>
          <w:color w:val="000000" w:themeColor="text1"/>
        </w:rPr>
        <w:t>, 2 (2006).</w:t>
      </w:r>
    </w:p>
    <w:p w14:paraId="29414A38"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t xml:space="preserve">53. Hart, S. R. A large-scale isotope anomaly in the Southern Hemisphere mantle. </w:t>
      </w:r>
      <w:r w:rsidRPr="00F57842">
        <w:rPr>
          <w:bCs/>
          <w:i/>
          <w:color w:val="000000" w:themeColor="text1"/>
        </w:rPr>
        <w:t>Nature</w:t>
      </w:r>
      <w:r w:rsidRPr="00F57842">
        <w:rPr>
          <w:bCs/>
          <w:color w:val="000000" w:themeColor="text1"/>
        </w:rPr>
        <w:t xml:space="preserve"> </w:t>
      </w:r>
      <w:r w:rsidRPr="00F57842">
        <w:rPr>
          <w:b/>
          <w:bCs/>
          <w:color w:val="000000" w:themeColor="text1"/>
        </w:rPr>
        <w:t>309</w:t>
      </w:r>
      <w:r w:rsidRPr="00F57842">
        <w:rPr>
          <w:bCs/>
          <w:color w:val="000000" w:themeColor="text1"/>
        </w:rPr>
        <w:t>, 753–757 (1984).</w:t>
      </w:r>
    </w:p>
    <w:p w14:paraId="48C8FD31"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t xml:space="preserve">54. Hofmann, A. W. Chemical differentiation of the Earth: the relationship between mantle, continental crust, and oceanic crust. </w:t>
      </w:r>
      <w:r w:rsidRPr="00F57842">
        <w:rPr>
          <w:bCs/>
          <w:i/>
          <w:color w:val="000000" w:themeColor="text1"/>
        </w:rPr>
        <w:t>Earth and Planetary Science Letters</w:t>
      </w:r>
      <w:r w:rsidRPr="00F57842">
        <w:rPr>
          <w:bCs/>
          <w:color w:val="000000" w:themeColor="text1"/>
        </w:rPr>
        <w:t xml:space="preserve">. </w:t>
      </w:r>
      <w:r w:rsidRPr="00F57842">
        <w:rPr>
          <w:b/>
          <w:bCs/>
          <w:color w:val="000000" w:themeColor="text1"/>
        </w:rPr>
        <w:t>90</w:t>
      </w:r>
      <w:r w:rsidRPr="00F57842">
        <w:rPr>
          <w:bCs/>
          <w:color w:val="000000" w:themeColor="text1"/>
        </w:rPr>
        <w:t>, 297–314 (1988).</w:t>
      </w:r>
    </w:p>
    <w:p w14:paraId="61A61924"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t xml:space="preserve">55. </w:t>
      </w:r>
      <w:proofErr w:type="spellStart"/>
      <w:r w:rsidRPr="00F57842">
        <w:rPr>
          <w:bCs/>
          <w:color w:val="000000" w:themeColor="text1"/>
        </w:rPr>
        <w:t>Deines</w:t>
      </w:r>
      <w:proofErr w:type="spellEnd"/>
      <w:r w:rsidRPr="00F57842">
        <w:rPr>
          <w:bCs/>
          <w:color w:val="000000" w:themeColor="text1"/>
        </w:rPr>
        <w:t xml:space="preserve">, P. The carbon isotope geochemistry of mantle xenoliths. </w:t>
      </w:r>
      <w:r w:rsidRPr="00F57842">
        <w:rPr>
          <w:bCs/>
          <w:i/>
          <w:iCs/>
          <w:color w:val="000000" w:themeColor="text1"/>
        </w:rPr>
        <w:t>Earth Science Review</w:t>
      </w:r>
      <w:r w:rsidRPr="00F57842">
        <w:rPr>
          <w:bCs/>
          <w:color w:val="000000" w:themeColor="text1"/>
        </w:rPr>
        <w:t xml:space="preserve"> </w:t>
      </w:r>
      <w:r w:rsidRPr="00F57842">
        <w:rPr>
          <w:b/>
          <w:bCs/>
          <w:color w:val="000000" w:themeColor="text1"/>
        </w:rPr>
        <w:t>58</w:t>
      </w:r>
      <w:r w:rsidRPr="00F57842">
        <w:rPr>
          <w:bCs/>
          <w:color w:val="000000" w:themeColor="text1"/>
        </w:rPr>
        <w:t>, 247-278 (2002).</w:t>
      </w:r>
    </w:p>
    <w:p w14:paraId="3C1F59D6"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t xml:space="preserve">56. Walker, M. J. et al. Deep Mantle Cycling of Oceanic Crust: Evidence from Diamonds and Their Mineral Inclusions. </w:t>
      </w:r>
      <w:r w:rsidRPr="00F57842">
        <w:rPr>
          <w:bCs/>
          <w:i/>
          <w:color w:val="000000" w:themeColor="text1"/>
        </w:rPr>
        <w:t>Science</w:t>
      </w:r>
      <w:r w:rsidRPr="00F57842">
        <w:rPr>
          <w:bCs/>
          <w:color w:val="000000" w:themeColor="text1"/>
        </w:rPr>
        <w:t xml:space="preserve"> </w:t>
      </w:r>
      <w:r w:rsidRPr="00F57842">
        <w:rPr>
          <w:b/>
          <w:bCs/>
          <w:color w:val="000000" w:themeColor="text1"/>
        </w:rPr>
        <w:t>334</w:t>
      </w:r>
      <w:r w:rsidRPr="00F57842">
        <w:rPr>
          <w:bCs/>
          <w:color w:val="000000" w:themeColor="text1"/>
        </w:rPr>
        <w:t>, 54-57 (2011).</w:t>
      </w:r>
    </w:p>
    <w:p w14:paraId="19C645D4"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lastRenderedPageBreak/>
        <w:t xml:space="preserve">57. Marty, B. The origins and concentrations of water, carbon, nitrogen and noble gases on Earth. </w:t>
      </w:r>
      <w:r w:rsidRPr="00F57842">
        <w:rPr>
          <w:bCs/>
          <w:i/>
          <w:color w:val="000000" w:themeColor="text1"/>
        </w:rPr>
        <w:t>Earth and Planetary Science Let</w:t>
      </w:r>
      <w:r w:rsidRPr="00F57842">
        <w:rPr>
          <w:bCs/>
          <w:color w:val="000000" w:themeColor="text1"/>
        </w:rPr>
        <w:t xml:space="preserve">ters </w:t>
      </w:r>
      <w:r w:rsidRPr="00F57842">
        <w:rPr>
          <w:b/>
          <w:bCs/>
          <w:color w:val="000000" w:themeColor="text1"/>
        </w:rPr>
        <w:t>313-314</w:t>
      </w:r>
      <w:r w:rsidRPr="00F57842">
        <w:rPr>
          <w:bCs/>
          <w:color w:val="000000" w:themeColor="text1"/>
        </w:rPr>
        <w:t>, 56-66 (2012).</w:t>
      </w:r>
    </w:p>
    <w:p w14:paraId="66719CBF" w14:textId="77777777" w:rsidR="00CF55F5" w:rsidRPr="00F57842" w:rsidRDefault="00CF55F5" w:rsidP="00CF55F5">
      <w:pPr>
        <w:pStyle w:val="Teaser"/>
        <w:spacing w:line="360" w:lineRule="auto"/>
        <w:jc w:val="both"/>
        <w:rPr>
          <w:bCs/>
          <w:color w:val="000000" w:themeColor="text1"/>
        </w:rPr>
      </w:pPr>
      <w:r w:rsidRPr="00F57842">
        <w:rPr>
          <w:bCs/>
          <w:color w:val="000000" w:themeColor="text1"/>
        </w:rPr>
        <w:t xml:space="preserve">58. </w:t>
      </w:r>
      <w:proofErr w:type="spellStart"/>
      <w:r w:rsidRPr="00F57842">
        <w:rPr>
          <w:bCs/>
          <w:color w:val="000000" w:themeColor="text1"/>
        </w:rPr>
        <w:t>Parai</w:t>
      </w:r>
      <w:proofErr w:type="spellEnd"/>
      <w:r w:rsidRPr="00F57842">
        <w:rPr>
          <w:bCs/>
          <w:color w:val="000000" w:themeColor="text1"/>
        </w:rPr>
        <w:t>,</w:t>
      </w:r>
      <w:bookmarkStart w:id="10" w:name="bau0010"/>
      <w:r w:rsidRPr="00F57842">
        <w:rPr>
          <w:bCs/>
          <w:color w:val="000000" w:themeColor="text1"/>
        </w:rPr>
        <w:t xml:space="preserve"> R., Mukhopadhya</w:t>
      </w:r>
      <w:bookmarkStart w:id="11" w:name="bau0015"/>
      <w:bookmarkEnd w:id="10"/>
      <w:r w:rsidRPr="00F57842">
        <w:rPr>
          <w:bCs/>
          <w:color w:val="000000" w:themeColor="text1"/>
        </w:rPr>
        <w:t>y, S., Tucke</w:t>
      </w:r>
      <w:bookmarkStart w:id="12" w:name="bau0020"/>
      <w:bookmarkEnd w:id="11"/>
      <w:r w:rsidRPr="00F57842">
        <w:rPr>
          <w:bCs/>
          <w:color w:val="000000" w:themeColor="text1"/>
        </w:rPr>
        <w:t xml:space="preserve">r, J. M. &amp; </w:t>
      </w:r>
      <w:proofErr w:type="spellStart"/>
      <w:r w:rsidRPr="00F57842">
        <w:rPr>
          <w:bCs/>
          <w:color w:val="000000" w:themeColor="text1"/>
        </w:rPr>
        <w:t>Pető</w:t>
      </w:r>
      <w:bookmarkEnd w:id="12"/>
      <w:proofErr w:type="spellEnd"/>
      <w:r w:rsidRPr="00F57842">
        <w:rPr>
          <w:bCs/>
          <w:color w:val="000000" w:themeColor="text1"/>
        </w:rPr>
        <w:t xml:space="preserve">, M. K. The emerging portrait of an ancient, heterogeneous and continuously evolving mantle plume source. </w:t>
      </w:r>
      <w:proofErr w:type="spellStart"/>
      <w:r w:rsidRPr="00F57842">
        <w:rPr>
          <w:bCs/>
          <w:i/>
          <w:color w:val="000000" w:themeColor="text1"/>
        </w:rPr>
        <w:t>Lithos</w:t>
      </w:r>
      <w:proofErr w:type="spellEnd"/>
      <w:r w:rsidRPr="00F57842">
        <w:rPr>
          <w:bCs/>
          <w:color w:val="000000" w:themeColor="text1"/>
        </w:rPr>
        <w:t xml:space="preserve"> </w:t>
      </w:r>
      <w:r w:rsidRPr="00F57842">
        <w:rPr>
          <w:b/>
          <w:bCs/>
          <w:color w:val="000000" w:themeColor="text1"/>
        </w:rPr>
        <w:t>346-347</w:t>
      </w:r>
      <w:r w:rsidRPr="00F57842">
        <w:rPr>
          <w:bCs/>
          <w:color w:val="000000" w:themeColor="text1"/>
        </w:rPr>
        <w:t>, 105153 (2019).</w:t>
      </w:r>
    </w:p>
    <w:p w14:paraId="6041A796" w14:textId="77777777" w:rsidR="004B4655" w:rsidRPr="00F57842" w:rsidRDefault="004B4655" w:rsidP="004B4655">
      <w:pPr>
        <w:spacing w:line="360" w:lineRule="auto"/>
        <w:rPr>
          <w:rFonts w:ascii="Times New Roman" w:hAnsi="Times New Roman" w:cs="Times New Roman"/>
          <w:b/>
          <w:bCs/>
          <w:color w:val="000000" w:themeColor="text1"/>
          <w:lang w:val="en-US"/>
        </w:rPr>
      </w:pPr>
    </w:p>
    <w:sectPr w:rsidR="004B4655" w:rsidRPr="00F57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653ADB"/>
    <w:multiLevelType w:val="hybridMultilevel"/>
    <w:tmpl w:val="332C8420"/>
    <w:lvl w:ilvl="0" w:tplc="FE2A2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5FC312F1"/>
    <w:multiLevelType w:val="multilevel"/>
    <w:tmpl w:val="D6CAB08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F1"/>
    <w:rsid w:val="000911C2"/>
    <w:rsid w:val="004B4655"/>
    <w:rsid w:val="00541E6E"/>
    <w:rsid w:val="00823D1F"/>
    <w:rsid w:val="008C029E"/>
    <w:rsid w:val="00AB77F1"/>
    <w:rsid w:val="00CF55F5"/>
    <w:rsid w:val="00F57842"/>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73454E61"/>
  <w15:chartTrackingRefBased/>
  <w15:docId w15:val="{5214179F-307C-BD49-83D8-A7BAA43C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Subheading">
    <w:name w:val="SM Subheading"/>
    <w:basedOn w:val="Normal"/>
    <w:rsid w:val="00AB77F1"/>
    <w:pPr>
      <w:suppressAutoHyphens/>
      <w:autoSpaceDN w:val="0"/>
      <w:textAlignment w:val="baseline"/>
    </w:pPr>
    <w:rPr>
      <w:rFonts w:ascii="Times New Roman" w:eastAsia="Times New Roman" w:hAnsi="Times New Roman" w:cs="Times New Roman"/>
      <w:kern w:val="3"/>
      <w:szCs w:val="20"/>
      <w:u w:val="words"/>
      <w:lang w:val="en-US"/>
    </w:rPr>
  </w:style>
  <w:style w:type="paragraph" w:customStyle="1" w:styleId="SMText">
    <w:name w:val="SM Text"/>
    <w:basedOn w:val="Normal"/>
    <w:qFormat/>
    <w:rsid w:val="00AB77F1"/>
    <w:pPr>
      <w:suppressAutoHyphens/>
      <w:autoSpaceDN w:val="0"/>
      <w:ind w:firstLine="480"/>
      <w:textAlignment w:val="baseline"/>
    </w:pPr>
    <w:rPr>
      <w:rFonts w:ascii="Times New Roman" w:eastAsia="Times New Roman" w:hAnsi="Times New Roman" w:cs="Times New Roman"/>
      <w:kern w:val="3"/>
      <w:szCs w:val="20"/>
      <w:lang w:val="en-US"/>
    </w:rPr>
  </w:style>
  <w:style w:type="paragraph" w:customStyle="1" w:styleId="Authors">
    <w:name w:val="Authors"/>
    <w:basedOn w:val="Normal"/>
    <w:rsid w:val="00AB77F1"/>
    <w:pPr>
      <w:suppressAutoHyphens/>
      <w:autoSpaceDN w:val="0"/>
      <w:spacing w:before="120" w:after="360"/>
      <w:jc w:val="center"/>
      <w:textAlignment w:val="baseline"/>
    </w:pPr>
    <w:rPr>
      <w:rFonts w:ascii="Times New Roman" w:eastAsia="Times New Roman" w:hAnsi="Times New Roman" w:cs="Times New Roman"/>
      <w:kern w:val="3"/>
      <w:lang w:val="en-US"/>
    </w:rPr>
  </w:style>
  <w:style w:type="paragraph" w:customStyle="1" w:styleId="Head">
    <w:name w:val="Head"/>
    <w:basedOn w:val="Normal"/>
    <w:rsid w:val="00AB77F1"/>
    <w:pPr>
      <w:keepNext/>
      <w:suppressAutoHyphens/>
      <w:autoSpaceDN w:val="0"/>
      <w:spacing w:before="120" w:after="120"/>
      <w:jc w:val="center"/>
      <w:textAlignment w:val="baseline"/>
      <w:outlineLvl w:val="0"/>
    </w:pPr>
    <w:rPr>
      <w:rFonts w:ascii="Times New Roman" w:eastAsia="Times New Roman" w:hAnsi="Times New Roman" w:cs="Times New Roman"/>
      <w:b/>
      <w:bCs/>
      <w:kern w:val="3"/>
      <w:sz w:val="28"/>
      <w:szCs w:val="28"/>
      <w:lang w:val="en-US"/>
    </w:rPr>
  </w:style>
  <w:style w:type="paragraph" w:customStyle="1" w:styleId="Standarduser">
    <w:name w:val="Standard (user)"/>
    <w:rsid w:val="00AB77F1"/>
    <w:pPr>
      <w:suppressAutoHyphens/>
      <w:autoSpaceDN w:val="0"/>
      <w:textAlignment w:val="baseline"/>
    </w:pPr>
    <w:rPr>
      <w:rFonts w:ascii="Times New Roman" w:eastAsia="Times New Roman" w:hAnsi="Times New Roman" w:cs="Times New Roman"/>
      <w:kern w:val="3"/>
      <w:lang w:val="de-DE"/>
    </w:rPr>
  </w:style>
  <w:style w:type="paragraph" w:styleId="ListParagraph">
    <w:name w:val="List Paragraph"/>
    <w:basedOn w:val="Normal"/>
    <w:qFormat/>
    <w:rsid w:val="00AB77F1"/>
    <w:pPr>
      <w:ind w:left="720"/>
      <w:contextualSpacing/>
    </w:pPr>
  </w:style>
  <w:style w:type="paragraph" w:customStyle="1" w:styleId="Standard">
    <w:name w:val="Standard"/>
    <w:qFormat/>
    <w:rsid w:val="00AB77F1"/>
    <w:pPr>
      <w:suppressAutoHyphens/>
      <w:autoSpaceDN w:val="0"/>
      <w:textAlignment w:val="baseline"/>
    </w:pPr>
    <w:rPr>
      <w:rFonts w:ascii="Times New Roman" w:eastAsia="Times New Roman" w:hAnsi="Times New Roman" w:cs="Times New Roman"/>
      <w:kern w:val="3"/>
      <w:lang w:val="de-DE"/>
    </w:rPr>
  </w:style>
  <w:style w:type="paragraph" w:customStyle="1" w:styleId="SMcaption">
    <w:name w:val="SM caption"/>
    <w:basedOn w:val="SMText"/>
    <w:rsid w:val="00AB77F1"/>
    <w:pPr>
      <w:ind w:firstLine="0"/>
    </w:pPr>
  </w:style>
  <w:style w:type="paragraph" w:customStyle="1" w:styleId="Teaser">
    <w:name w:val="Teaser"/>
    <w:basedOn w:val="Standard"/>
    <w:qFormat/>
    <w:rsid w:val="00AB77F1"/>
    <w:pPr>
      <w:spacing w:before="120"/>
    </w:pPr>
    <w:rPr>
      <w:color w:val="00000A"/>
      <w:lang w:val="en-US"/>
    </w:rPr>
  </w:style>
  <w:style w:type="character" w:styleId="Emphasis">
    <w:name w:val="Emphasis"/>
    <w:basedOn w:val="DefaultParagraphFont"/>
    <w:qFormat/>
    <w:rsid w:val="00AB77F1"/>
    <w:rPr>
      <w:i/>
      <w:iCs/>
    </w:rPr>
  </w:style>
  <w:style w:type="numbering" w:customStyle="1" w:styleId="WWNum2">
    <w:name w:val="WWNum2"/>
    <w:basedOn w:val="NoList"/>
    <w:rsid w:val="00AB77F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2021-02-24T19:35:00Z</dcterms:created>
  <dcterms:modified xsi:type="dcterms:W3CDTF">2021-03-01T16:58:00Z</dcterms:modified>
</cp:coreProperties>
</file>