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871"/>
        <w:tblW w:w="9351" w:type="dxa"/>
        <w:tblLook w:val="04A0" w:firstRow="1" w:lastRow="0" w:firstColumn="1" w:lastColumn="0" w:noHBand="0" w:noVBand="1"/>
      </w:tblPr>
      <w:tblGrid>
        <w:gridCol w:w="2177"/>
        <w:gridCol w:w="1463"/>
        <w:gridCol w:w="1366"/>
        <w:gridCol w:w="1368"/>
        <w:gridCol w:w="1449"/>
        <w:gridCol w:w="1528"/>
      </w:tblGrid>
      <w:tr w:rsidR="003D1DB7" w:rsidRPr="00B94E95" w14:paraId="5DFA3DCC" w14:textId="77777777" w:rsidTr="003D1DB7">
        <w:tc>
          <w:tcPr>
            <w:tcW w:w="2177" w:type="dxa"/>
          </w:tcPr>
          <w:p w14:paraId="4A65DD80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/>
                <w:bCs/>
              </w:rPr>
              <w:t>Parameter</w:t>
            </w:r>
          </w:p>
        </w:tc>
        <w:tc>
          <w:tcPr>
            <w:tcW w:w="1463" w:type="dxa"/>
          </w:tcPr>
          <w:p w14:paraId="40EF51F0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/>
              </w:rPr>
              <w:t>Abbreviation</w:t>
            </w:r>
          </w:p>
        </w:tc>
        <w:tc>
          <w:tcPr>
            <w:tcW w:w="1366" w:type="dxa"/>
          </w:tcPr>
          <w:p w14:paraId="3827473E" w14:textId="77777777" w:rsidR="003D1DB7" w:rsidRPr="004606C3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06C3">
              <w:rPr>
                <w:rFonts w:ascii="Times New Roman" w:hAnsi="Times New Roman" w:cs="Times New Roman"/>
                <w:b/>
                <w:bCs/>
              </w:rPr>
              <w:t>Distribution</w:t>
            </w:r>
          </w:p>
        </w:tc>
        <w:tc>
          <w:tcPr>
            <w:tcW w:w="1368" w:type="dxa"/>
          </w:tcPr>
          <w:p w14:paraId="55E4F44F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/>
              </w:rPr>
              <w:t>Adult</w:t>
            </w:r>
          </w:p>
        </w:tc>
        <w:tc>
          <w:tcPr>
            <w:tcW w:w="1449" w:type="dxa"/>
          </w:tcPr>
          <w:p w14:paraId="4B7D4BEC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/>
              </w:rPr>
              <w:t>Child</w:t>
            </w:r>
          </w:p>
        </w:tc>
        <w:tc>
          <w:tcPr>
            <w:tcW w:w="1528" w:type="dxa"/>
          </w:tcPr>
          <w:p w14:paraId="20D672AE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/>
              </w:rPr>
              <w:t>Infant</w:t>
            </w:r>
          </w:p>
        </w:tc>
      </w:tr>
      <w:tr w:rsidR="003D1DB7" w:rsidRPr="00B94E95" w14:paraId="1F85C155" w14:textId="77777777" w:rsidTr="003D1DB7">
        <w:tc>
          <w:tcPr>
            <w:tcW w:w="2177" w:type="dxa"/>
          </w:tcPr>
          <w:p w14:paraId="6421AAFA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Ingestion rate (</w:t>
            </w:r>
            <w:r w:rsidRPr="00B94E95">
              <w:rPr>
                <w:rFonts w:ascii="Times New Roman" w:hAnsi="Times New Roman" w:cs="Times New Roman"/>
              </w:rPr>
              <w:t>l day</w:t>
            </w:r>
            <w:r w:rsidRPr="00B94E95">
              <w:rPr>
                <w:rFonts w:ascii="Times New Roman" w:hAnsi="Times New Roman" w:cs="Times New Roman"/>
                <w:vertAlign w:val="superscript"/>
              </w:rPr>
              <w:t>-1</w:t>
            </w:r>
            <w:r w:rsidRPr="00B94E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</w:tcPr>
          <w:p w14:paraId="7AA919ED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IR</w:t>
            </w:r>
          </w:p>
        </w:tc>
        <w:tc>
          <w:tcPr>
            <w:tcW w:w="1366" w:type="dxa"/>
          </w:tcPr>
          <w:p w14:paraId="44548286" w14:textId="77777777" w:rsidR="003D1DB7" w:rsidRPr="004606C3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06C3">
              <w:rPr>
                <w:rFonts w:ascii="Times New Roman" w:hAnsi="Times New Roman" w:cs="Times New Roman"/>
              </w:rPr>
              <w:t>Lognormal</w:t>
            </w:r>
          </w:p>
        </w:tc>
        <w:tc>
          <w:tcPr>
            <w:tcW w:w="1368" w:type="dxa"/>
          </w:tcPr>
          <w:p w14:paraId="79201808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3±0.5</w:t>
            </w:r>
          </w:p>
        </w:tc>
        <w:tc>
          <w:tcPr>
            <w:tcW w:w="1449" w:type="dxa"/>
          </w:tcPr>
          <w:p w14:paraId="5F46E470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1.5±0.3</w:t>
            </w:r>
          </w:p>
        </w:tc>
        <w:tc>
          <w:tcPr>
            <w:tcW w:w="1528" w:type="dxa"/>
          </w:tcPr>
          <w:p w14:paraId="3DB68E81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0.6</w:t>
            </w:r>
            <w:r w:rsidRPr="00B94E95">
              <w:rPr>
                <w:rFonts w:ascii="Times New Roman" w:hAnsi="Times New Roman" w:cs="Times New Roman"/>
              </w:rPr>
              <w:t>±0.1</w:t>
            </w:r>
          </w:p>
        </w:tc>
      </w:tr>
      <w:tr w:rsidR="003D1DB7" w:rsidRPr="00B94E95" w14:paraId="6C82871F" w14:textId="77777777" w:rsidTr="003D1DB7">
        <w:tc>
          <w:tcPr>
            <w:tcW w:w="2177" w:type="dxa"/>
          </w:tcPr>
          <w:p w14:paraId="6956A4E1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Exposure frequency (</w:t>
            </w:r>
            <w:r w:rsidRPr="00B94E95">
              <w:rPr>
                <w:rFonts w:ascii="Times New Roman" w:hAnsi="Times New Roman" w:cs="Times New Roman"/>
              </w:rPr>
              <w:t>days year</w:t>
            </w:r>
            <w:r w:rsidRPr="00B94E95">
              <w:rPr>
                <w:rFonts w:ascii="Times New Roman" w:hAnsi="Times New Roman" w:cs="Times New Roman"/>
                <w:vertAlign w:val="superscript"/>
              </w:rPr>
              <w:t>-1</w:t>
            </w:r>
            <w:r w:rsidRPr="00B94E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3" w:type="dxa"/>
          </w:tcPr>
          <w:p w14:paraId="3C00451F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366" w:type="dxa"/>
          </w:tcPr>
          <w:p w14:paraId="716899FD" w14:textId="77777777" w:rsidR="003D1DB7" w:rsidRPr="004606C3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06C3">
              <w:rPr>
                <w:rFonts w:ascii="Times New Roman" w:hAnsi="Times New Roman" w:cs="Times New Roman"/>
              </w:rPr>
              <w:t>Triangular</w:t>
            </w:r>
          </w:p>
        </w:tc>
        <w:tc>
          <w:tcPr>
            <w:tcW w:w="1368" w:type="dxa"/>
          </w:tcPr>
          <w:p w14:paraId="54E8760C" w14:textId="77777777" w:rsidR="003D1DB7" w:rsidRPr="00B94E95" w:rsidRDefault="003D1DB7" w:rsidP="003D1DB7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Min: 180</w:t>
            </w:r>
          </w:p>
          <w:p w14:paraId="75057D01" w14:textId="77777777" w:rsidR="003D1DB7" w:rsidRPr="00B94E95" w:rsidRDefault="003D1DB7" w:rsidP="003D1DB7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Max: 365</w:t>
            </w:r>
          </w:p>
          <w:p w14:paraId="6E99769D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Likeliest: 345</w:t>
            </w:r>
          </w:p>
        </w:tc>
        <w:tc>
          <w:tcPr>
            <w:tcW w:w="1449" w:type="dxa"/>
          </w:tcPr>
          <w:p w14:paraId="10684A91" w14:textId="77777777" w:rsidR="003D1DB7" w:rsidRPr="00B94E95" w:rsidRDefault="003D1DB7" w:rsidP="003D1DB7">
            <w:pPr>
              <w:spacing w:line="360" w:lineRule="auto"/>
              <w:ind w:left="-134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Min: 180</w:t>
            </w:r>
          </w:p>
          <w:p w14:paraId="0C0154F3" w14:textId="77777777" w:rsidR="003D1DB7" w:rsidRPr="00B94E95" w:rsidRDefault="003D1DB7" w:rsidP="003D1DB7">
            <w:pPr>
              <w:spacing w:line="360" w:lineRule="auto"/>
              <w:ind w:left="-134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Max: 365</w:t>
            </w:r>
          </w:p>
          <w:p w14:paraId="2A24B191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Likeliest: 345</w:t>
            </w:r>
          </w:p>
        </w:tc>
        <w:tc>
          <w:tcPr>
            <w:tcW w:w="1528" w:type="dxa"/>
          </w:tcPr>
          <w:p w14:paraId="5CBCBF7F" w14:textId="77777777" w:rsidR="003D1DB7" w:rsidRPr="00B94E95" w:rsidRDefault="003D1DB7" w:rsidP="003D1DB7">
            <w:pPr>
              <w:spacing w:line="360" w:lineRule="auto"/>
              <w:ind w:left="-134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Min: 180</w:t>
            </w:r>
          </w:p>
          <w:p w14:paraId="500B5157" w14:textId="77777777" w:rsidR="003D1DB7" w:rsidRPr="00B94E95" w:rsidRDefault="003D1DB7" w:rsidP="003D1DB7">
            <w:pPr>
              <w:spacing w:line="360" w:lineRule="auto"/>
              <w:ind w:left="-134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Max: 365</w:t>
            </w:r>
          </w:p>
          <w:p w14:paraId="5D3C4727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Likeliest: 345</w:t>
            </w:r>
          </w:p>
        </w:tc>
      </w:tr>
      <w:tr w:rsidR="003D1DB7" w:rsidRPr="00B94E95" w14:paraId="35E83FD6" w14:textId="77777777" w:rsidTr="003D1DB7">
        <w:tc>
          <w:tcPr>
            <w:tcW w:w="2177" w:type="dxa"/>
          </w:tcPr>
          <w:p w14:paraId="668695F0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Exposure duration (year)</w:t>
            </w:r>
          </w:p>
        </w:tc>
        <w:tc>
          <w:tcPr>
            <w:tcW w:w="1463" w:type="dxa"/>
          </w:tcPr>
          <w:p w14:paraId="543304C2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1366" w:type="dxa"/>
          </w:tcPr>
          <w:p w14:paraId="444A67E2" w14:textId="77777777" w:rsidR="003D1DB7" w:rsidRPr="004606C3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06C3">
              <w:rPr>
                <w:rFonts w:ascii="Times New Roman" w:hAnsi="Times New Roman" w:cs="Times New Roman"/>
              </w:rPr>
              <w:t>Lognormal</w:t>
            </w:r>
          </w:p>
        </w:tc>
        <w:tc>
          <w:tcPr>
            <w:tcW w:w="1368" w:type="dxa"/>
          </w:tcPr>
          <w:p w14:paraId="75802808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40±5</w:t>
            </w:r>
          </w:p>
        </w:tc>
        <w:tc>
          <w:tcPr>
            <w:tcW w:w="1449" w:type="dxa"/>
          </w:tcPr>
          <w:p w14:paraId="508CC06E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10±2</w:t>
            </w:r>
          </w:p>
        </w:tc>
        <w:tc>
          <w:tcPr>
            <w:tcW w:w="1528" w:type="dxa"/>
          </w:tcPr>
          <w:p w14:paraId="42BF09D0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1</w:t>
            </w:r>
            <w:r w:rsidRPr="00B94E95">
              <w:rPr>
                <w:rFonts w:ascii="Times New Roman" w:hAnsi="Times New Roman" w:cs="Times New Roman"/>
              </w:rPr>
              <w:t>±0.1</w:t>
            </w:r>
          </w:p>
        </w:tc>
      </w:tr>
      <w:tr w:rsidR="003D1DB7" w:rsidRPr="00B94E95" w14:paraId="531E22E6" w14:textId="77777777" w:rsidTr="003D1DB7">
        <w:tc>
          <w:tcPr>
            <w:tcW w:w="2177" w:type="dxa"/>
          </w:tcPr>
          <w:p w14:paraId="29E5D554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Bodyweight (kg)</w:t>
            </w:r>
          </w:p>
        </w:tc>
        <w:tc>
          <w:tcPr>
            <w:tcW w:w="1463" w:type="dxa"/>
          </w:tcPr>
          <w:p w14:paraId="7135B029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BW</w:t>
            </w:r>
          </w:p>
        </w:tc>
        <w:tc>
          <w:tcPr>
            <w:tcW w:w="1366" w:type="dxa"/>
          </w:tcPr>
          <w:p w14:paraId="33B3FB06" w14:textId="77777777" w:rsidR="003D1DB7" w:rsidRPr="004606C3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06C3">
              <w:rPr>
                <w:rFonts w:ascii="Times New Roman" w:hAnsi="Times New Roman" w:cs="Times New Roman"/>
              </w:rPr>
              <w:t>Lognormal</w:t>
            </w:r>
          </w:p>
        </w:tc>
        <w:tc>
          <w:tcPr>
            <w:tcW w:w="1368" w:type="dxa"/>
          </w:tcPr>
          <w:p w14:paraId="1AB1DED6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65±5</w:t>
            </w:r>
          </w:p>
        </w:tc>
        <w:tc>
          <w:tcPr>
            <w:tcW w:w="1449" w:type="dxa"/>
          </w:tcPr>
          <w:p w14:paraId="34BE806C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20±3</w:t>
            </w:r>
          </w:p>
        </w:tc>
        <w:tc>
          <w:tcPr>
            <w:tcW w:w="1528" w:type="dxa"/>
          </w:tcPr>
          <w:p w14:paraId="0B51906B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10</w:t>
            </w:r>
            <w:r w:rsidRPr="00B94E95">
              <w:rPr>
                <w:rFonts w:ascii="Times New Roman" w:hAnsi="Times New Roman" w:cs="Times New Roman"/>
              </w:rPr>
              <w:t>±2</w:t>
            </w:r>
          </w:p>
        </w:tc>
      </w:tr>
      <w:tr w:rsidR="003D1DB7" w:rsidRPr="00B94E95" w14:paraId="2027D982" w14:textId="77777777" w:rsidTr="003D1DB7">
        <w:tc>
          <w:tcPr>
            <w:tcW w:w="2177" w:type="dxa"/>
          </w:tcPr>
          <w:p w14:paraId="462DBD14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Average exposure (days)</w:t>
            </w:r>
          </w:p>
        </w:tc>
        <w:tc>
          <w:tcPr>
            <w:tcW w:w="1463" w:type="dxa"/>
          </w:tcPr>
          <w:p w14:paraId="63BB74D7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AT</w:t>
            </w:r>
          </w:p>
        </w:tc>
        <w:tc>
          <w:tcPr>
            <w:tcW w:w="1366" w:type="dxa"/>
          </w:tcPr>
          <w:p w14:paraId="297E4E5F" w14:textId="77777777" w:rsidR="003D1DB7" w:rsidRPr="004606C3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606C3">
              <w:rPr>
                <w:rFonts w:ascii="Times New Roman" w:hAnsi="Times New Roman" w:cs="Times New Roman"/>
              </w:rPr>
              <w:t>Lognormal</w:t>
            </w:r>
          </w:p>
        </w:tc>
        <w:tc>
          <w:tcPr>
            <w:tcW w:w="1368" w:type="dxa"/>
          </w:tcPr>
          <w:p w14:paraId="6D916C6C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14600±2190</w:t>
            </w:r>
          </w:p>
        </w:tc>
        <w:tc>
          <w:tcPr>
            <w:tcW w:w="1449" w:type="dxa"/>
          </w:tcPr>
          <w:p w14:paraId="7EF96A3C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</w:rPr>
              <w:t>3650±1095</w:t>
            </w:r>
          </w:p>
        </w:tc>
        <w:tc>
          <w:tcPr>
            <w:tcW w:w="1528" w:type="dxa"/>
          </w:tcPr>
          <w:p w14:paraId="416D7B81" w14:textId="77777777" w:rsidR="003D1DB7" w:rsidRPr="00B94E95" w:rsidRDefault="003D1DB7" w:rsidP="003D1DB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94E95">
              <w:rPr>
                <w:rFonts w:ascii="Times New Roman" w:hAnsi="Times New Roman" w:cs="Times New Roman"/>
                <w:bCs/>
              </w:rPr>
              <w:t>365</w:t>
            </w:r>
            <w:r w:rsidRPr="00B94E95">
              <w:rPr>
                <w:rFonts w:ascii="Times New Roman" w:hAnsi="Times New Roman" w:cs="Times New Roman"/>
              </w:rPr>
              <w:t>±30</w:t>
            </w:r>
          </w:p>
        </w:tc>
      </w:tr>
    </w:tbl>
    <w:p w14:paraId="05DCA7A3" w14:textId="51B45953" w:rsidR="00784D22" w:rsidRDefault="00784D22"/>
    <w:p w14:paraId="0ED3A4C4" w14:textId="48E00426" w:rsidR="003D1DB7" w:rsidRPr="00A9765A" w:rsidRDefault="003D1DB7">
      <w:pPr>
        <w:rPr>
          <w:rFonts w:ascii="Times New Roman" w:hAnsi="Times New Roman" w:cs="Times New Roman"/>
        </w:rPr>
      </w:pPr>
      <w:r w:rsidRPr="00A9765A">
        <w:rPr>
          <w:rFonts w:ascii="Times New Roman" w:hAnsi="Times New Roman" w:cs="Times New Roman"/>
        </w:rPr>
        <w:t>Table 1: Category, distribution and consumption strategy of the study area</w:t>
      </w:r>
    </w:p>
    <w:sectPr w:rsidR="003D1DB7" w:rsidRPr="00A97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5E"/>
    <w:rsid w:val="0016125E"/>
    <w:rsid w:val="003D1DB7"/>
    <w:rsid w:val="00784D22"/>
    <w:rsid w:val="00A9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1B4E"/>
  <w15:chartTrackingRefBased/>
  <w15:docId w15:val="{ABC3510C-B9BA-463E-8078-1FD19987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D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1DB7"/>
    <w:pPr>
      <w:spacing w:after="0" w:line="240" w:lineRule="auto"/>
    </w:pPr>
    <w:rPr>
      <w:rFonts w:eastAsiaTheme="minorEastAsia"/>
      <w:lang w:val="en-US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</dc:creator>
  <cp:keywords/>
  <dc:description/>
  <cp:lastModifiedBy>Sandip</cp:lastModifiedBy>
  <cp:revision>3</cp:revision>
  <dcterms:created xsi:type="dcterms:W3CDTF">2023-01-22T01:14:00Z</dcterms:created>
  <dcterms:modified xsi:type="dcterms:W3CDTF">2023-03-12T19:01:00Z</dcterms:modified>
</cp:coreProperties>
</file>