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97" w:type="dxa"/>
        <w:tblInd w:w="-916" w:type="dxa"/>
        <w:tblLayout w:type="fixed"/>
        <w:tblLook w:val="04A0" w:firstRow="1" w:lastRow="0" w:firstColumn="1" w:lastColumn="0" w:noHBand="0" w:noVBand="1"/>
      </w:tblPr>
      <w:tblGrid>
        <w:gridCol w:w="1658"/>
        <w:gridCol w:w="1243"/>
        <w:gridCol w:w="709"/>
        <w:gridCol w:w="708"/>
        <w:gridCol w:w="709"/>
        <w:gridCol w:w="709"/>
        <w:gridCol w:w="709"/>
        <w:gridCol w:w="708"/>
        <w:gridCol w:w="426"/>
        <w:gridCol w:w="567"/>
        <w:gridCol w:w="1134"/>
        <w:gridCol w:w="708"/>
        <w:gridCol w:w="709"/>
      </w:tblGrid>
      <w:tr w:rsidR="00FE74A0" w:rsidRPr="00B3418C" w14:paraId="3CE5966B" w14:textId="77777777" w:rsidTr="000972FC">
        <w:tc>
          <w:tcPr>
            <w:tcW w:w="1658" w:type="dxa"/>
            <w:tcBorders>
              <w:top w:val="nil"/>
              <w:left w:val="nil"/>
              <w:bottom w:val="nil"/>
              <w:right w:val="single" w:sz="12" w:space="0" w:color="808080" w:themeColor="background1" w:themeShade="80"/>
            </w:tcBorders>
          </w:tcPr>
          <w:p w14:paraId="543647B6" w14:textId="77777777" w:rsidR="00FE74A0" w:rsidRPr="00292DA5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vMerge w:val="restart"/>
            <w:tcBorders>
              <w:top w:val="nil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69E3C3" w14:textId="77777777" w:rsidR="00FE74A0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92DA5">
              <w:rPr>
                <w:rFonts w:ascii="Times New Roman" w:hAnsi="Times New Roman" w:cs="Times New Roman" w:hint="eastAsia"/>
                <w:sz w:val="20"/>
                <w:szCs w:val="20"/>
              </w:rPr>
              <w:t>λ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292DA5">
              <w:rPr>
                <w:rFonts w:ascii="Times New Roman" w:hAnsi="Times New Roman" w:cs="Times New Roman" w:hint="eastAsia"/>
                <w:sz w:val="20"/>
                <w:szCs w:val="20"/>
              </w:rPr>
              <w:t>λ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  <w:p w14:paraId="16539718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(nm)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D832BC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 w:hint="eastAsia"/>
                <w:sz w:val="20"/>
                <w:szCs w:val="20"/>
              </w:rPr>
              <w:t>ε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  <w:p w14:paraId="441F26EB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(10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24F04A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QY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234ECD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Brightness</w:t>
            </w: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92FB7E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Photostability</w:t>
            </w:r>
          </w:p>
          <w:p w14:paraId="78C6F5B3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44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1/2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(sec)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2551" w:type="dxa"/>
            <w:gridSpan w:val="3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CCC792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Monomericity/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Dispersibility</w:t>
            </w:r>
          </w:p>
          <w:p w14:paraId="6210E31C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(%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ormal looking cells)</w:t>
            </w:r>
          </w:p>
        </w:tc>
      </w:tr>
      <w:tr w:rsidR="00FE74A0" w:rsidRPr="00B3418C" w14:paraId="76950651" w14:textId="77777777" w:rsidTr="000972FC">
        <w:tc>
          <w:tcPr>
            <w:tcW w:w="1658" w:type="dxa"/>
            <w:tcBorders>
              <w:top w:val="nil"/>
              <w:left w:val="nil"/>
              <w:bottom w:val="nil"/>
              <w:right w:val="single" w:sz="12" w:space="0" w:color="808080" w:themeColor="background1" w:themeShade="80"/>
            </w:tcBorders>
          </w:tcPr>
          <w:p w14:paraId="4EC85A44" w14:textId="77777777" w:rsidR="00FE74A0" w:rsidRPr="00292DA5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vMerge/>
            <w:tcBorders>
              <w:top w:val="nil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3BC2E8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B1472D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045DCC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8F036B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831570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/>
            <w:tcBorders>
              <w:top w:val="single" w:sz="4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DA1CF1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74A0" w:rsidRPr="00B3418C" w14:paraId="57A90C46" w14:textId="77777777" w:rsidTr="000972FC">
        <w:tc>
          <w:tcPr>
            <w:tcW w:w="1658" w:type="dxa"/>
            <w:tcBorders>
              <w:top w:val="nil"/>
              <w:left w:val="nil"/>
              <w:bottom w:val="nil"/>
              <w:right w:val="single" w:sz="12" w:space="0" w:color="808080" w:themeColor="background1" w:themeShade="80"/>
            </w:tcBorders>
          </w:tcPr>
          <w:p w14:paraId="4E2042AE" w14:textId="77777777" w:rsidR="00FE74A0" w:rsidRPr="00292DA5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vMerge/>
            <w:tcBorders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AAE8FF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5B96C09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 w:hint="eastAsia"/>
                <w:sz w:val="20"/>
                <w:szCs w:val="20"/>
              </w:rPr>
              <w:t>λ</w:t>
            </w: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  <w:tc>
          <w:tcPr>
            <w:tcW w:w="70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72503D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709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D7D0C21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70AE7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292DA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709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7A339B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Cell</w:t>
            </w:r>
            <w:r w:rsidRPr="00292DA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701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1AAC88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E59B48D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OSER</w:t>
            </w:r>
          </w:p>
        </w:tc>
        <w:tc>
          <w:tcPr>
            <w:tcW w:w="141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704236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Fluoppi</w:t>
            </w:r>
          </w:p>
        </w:tc>
      </w:tr>
      <w:tr w:rsidR="00FE74A0" w:rsidRPr="00B3418C" w14:paraId="4ED2A40A" w14:textId="77777777" w:rsidTr="000972FC">
        <w:tc>
          <w:tcPr>
            <w:tcW w:w="1658" w:type="dxa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14:paraId="0B48C09C" w14:textId="77777777" w:rsidR="00FE74A0" w:rsidRPr="00292DA5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vMerge/>
            <w:tcBorders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11D8B9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B3DF97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95680B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C53837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0A5960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13B3A8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E01091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E87107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CytERM-FP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44F806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PB1-FP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EC0041" w14:textId="77777777" w:rsidR="00FE74A0" w:rsidRPr="00292DA5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2DA5">
              <w:rPr>
                <w:rFonts w:ascii="Times New Roman" w:hAnsi="Times New Roman" w:cs="Times New Roman"/>
                <w:sz w:val="20"/>
                <w:szCs w:val="20"/>
              </w:rPr>
              <w:t>FP-PB1</w:t>
            </w:r>
          </w:p>
        </w:tc>
      </w:tr>
      <w:tr w:rsidR="00FE74A0" w:rsidRPr="00B3418C" w14:paraId="369B68F8" w14:textId="77777777" w:rsidTr="000972FC">
        <w:tc>
          <w:tcPr>
            <w:tcW w:w="1658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01EBF917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EGFP</w:t>
            </w:r>
          </w:p>
        </w:tc>
        <w:tc>
          <w:tcPr>
            <w:tcW w:w="12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BF989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488/509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4D72E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3F0D6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F1BBF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C528F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C10F4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0.37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5372F8B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107</w:t>
            </w:r>
          </w:p>
        </w:tc>
        <w:tc>
          <w:tcPr>
            <w:tcW w:w="426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CBB9476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3B5DD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8CCFC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83.4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0D20F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86.8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B5E19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3AFF4C4D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0316BE26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mEGFP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89794B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488/509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FF02A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56.5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1560F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56.5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35A238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0.70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9D2AE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84347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61DE856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97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0B008F9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55026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44A5AB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89.8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8655E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92.8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994BD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7E850F9B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6F1EED9A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mClover3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8E1FAA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505/518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6173D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A5794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29D2B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86568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B1756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48F1782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21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29AA563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C7BC8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860B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87.0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C3D00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10A48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39A7F01B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51B4A678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mNeonGreen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63187F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505/518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AF7DE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7CEDF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C2E72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2B1198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4EDE2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53ADEB5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5229582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27557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B07724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74.2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7B7EDC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55.4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29B8E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69D27BE3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14:paraId="7AB30276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mGreenLantern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727416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501/515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DC365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117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1DE3A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76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B43A8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0.74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36B70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1904F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0.66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nil"/>
            </w:tcBorders>
            <w:vAlign w:val="center"/>
          </w:tcPr>
          <w:p w14:paraId="56DFC41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3.6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nil"/>
            </w:tcBorders>
            <w:vAlign w:val="center"/>
          </w:tcPr>
          <w:p w14:paraId="617313E0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CE70F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0.1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8CF64A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83.1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544C3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FD41D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39C1D835" w14:textId="77777777" w:rsidTr="000972FC">
        <w:tc>
          <w:tcPr>
            <w:tcW w:w="1658" w:type="dxa"/>
            <w:tcBorders>
              <w:top w:val="single" w:sz="12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14:paraId="4AE79D90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StayGold</w:t>
            </w:r>
          </w:p>
        </w:tc>
        <w:tc>
          <w:tcPr>
            <w:tcW w:w="12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947EF2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496/505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D6D76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E11EA2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4F9C7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31C4E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5C166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1.00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nil"/>
            </w:tcBorders>
            <w:vAlign w:val="center"/>
          </w:tcPr>
          <w:p w14:paraId="38D36B4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3,207</w:t>
            </w:r>
          </w:p>
        </w:tc>
        <w:tc>
          <w:tcPr>
            <w:tcW w:w="426" w:type="dxa"/>
            <w:tcBorders>
              <w:top w:val="single" w:sz="12" w:space="0" w:color="808080" w:themeColor="background1" w:themeShade="80"/>
              <w:left w:val="nil"/>
              <w:bottom w:val="single" w:sz="12" w:space="0" w:color="808080" w:themeColor="background1" w:themeShade="80"/>
              <w:right w:val="nil"/>
            </w:tcBorders>
            <w:vAlign w:val="center"/>
          </w:tcPr>
          <w:p w14:paraId="21C6FC5A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12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CBCAB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2C5C9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69.0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E8063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57.7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430FC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22.1</w:t>
            </w:r>
          </w:p>
        </w:tc>
      </w:tr>
      <w:tr w:rsidR="00FE74A0" w:rsidRPr="00B3418C" w14:paraId="3A9B201D" w14:textId="77777777" w:rsidTr="000972FC">
        <w:tc>
          <w:tcPr>
            <w:tcW w:w="1658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5C902D96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tdStayGold</w:t>
            </w:r>
          </w:p>
        </w:tc>
        <w:tc>
          <w:tcPr>
            <w:tcW w:w="12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31C682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496/504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993C18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A360E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C84A6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DAB01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A1A95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33EA195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2,594</w:t>
            </w:r>
          </w:p>
        </w:tc>
        <w:tc>
          <w:tcPr>
            <w:tcW w:w="426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6DA009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552AE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66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5B7A1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95.0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66C71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85.8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F00921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85.0</w:t>
            </w:r>
          </w:p>
        </w:tc>
      </w:tr>
      <w:tr w:rsidR="00FE74A0" w:rsidRPr="00B3418C" w14:paraId="6DCDECBE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6C2BCC4D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tdoxStayGold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49A90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FE6192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60D6E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21F41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89D5CA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F89E7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170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E49B6A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2B1D5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58.3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1107F8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80.0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D6B70A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84.4</w:t>
            </w:r>
          </w:p>
        </w:tc>
      </w:tr>
      <w:tr w:rsidR="00FE74A0" w:rsidRPr="00B3418C" w14:paraId="0968775C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10001DB4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td5StayGold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802C6C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35279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155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3D9FF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103.4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C2E3F6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0.91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429A7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141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2BED5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2.09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0B3C1778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2,802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1B5CFE4F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94DA8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163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8FCE2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91.5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E54E1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97.8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F2B07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96.9</w:t>
            </w:r>
          </w:p>
        </w:tc>
      </w:tr>
      <w:tr w:rsidR="00FE74A0" w:rsidRPr="00B3418C" w14:paraId="6CCC6BBE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07B7CBC2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td5oxStayGold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1081F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565B7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156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0088D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102.6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8DEC4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0.93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AD5F2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145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27C6A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2.71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29FC3DE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2,319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CDF5C92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FEF39D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210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8A96B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88.5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C3D6D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97.0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17094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77.1</w:t>
            </w:r>
          </w:p>
        </w:tc>
      </w:tr>
      <w:tr w:rsidR="00FE74A0" w:rsidRPr="00B3418C" w14:paraId="5398487B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794E4EA2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td8oxStayGold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2B8B5F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8E925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157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91748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30B6E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0.93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E5EE3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F1CC6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2.73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1D3BDD1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3,064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1C9CB802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4BEE9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0D8DE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93.4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095F03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8EC13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94.1</w:t>
            </w:r>
          </w:p>
        </w:tc>
      </w:tr>
      <w:tr w:rsidR="00FE74A0" w:rsidRPr="00B3418C" w14:paraId="6416C78E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14:paraId="1421722D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td8ox2StayGold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25D381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2FEDA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159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BE02A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105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79983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0.93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1490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EA68B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2.77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nil"/>
            </w:tcBorders>
            <w:vAlign w:val="center"/>
          </w:tcPr>
          <w:p w14:paraId="7EC09EB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2,777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nil"/>
            </w:tcBorders>
            <w:vAlign w:val="center"/>
          </w:tcPr>
          <w:p w14:paraId="3E955840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768A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109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2629C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91.9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1E8F9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7776D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</w:tr>
      <w:tr w:rsidR="00FE74A0" w:rsidRPr="00B3418C" w14:paraId="5B8B8236" w14:textId="77777777" w:rsidTr="000972FC">
        <w:tc>
          <w:tcPr>
            <w:tcW w:w="1658" w:type="dxa"/>
            <w:tcBorders>
              <w:top w:val="single" w:sz="12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58F28E4B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QC2-6</w:t>
            </w:r>
          </w:p>
        </w:tc>
        <w:tc>
          <w:tcPr>
            <w:tcW w:w="12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49A8D0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496/504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DE1E0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4331D7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FDD15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54ED84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28C4F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1701" w:type="dxa"/>
            <w:gridSpan w:val="3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F19BDD5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94566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85.7</w:t>
            </w:r>
          </w:p>
        </w:tc>
        <w:tc>
          <w:tcPr>
            <w:tcW w:w="70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C3152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56.9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0EE59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N.T.</w:t>
            </w:r>
          </w:p>
        </w:tc>
      </w:tr>
      <w:tr w:rsidR="00FE74A0" w:rsidRPr="00B3418C" w14:paraId="73822279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120F4B14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QC2-6 FIQ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C00299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499/510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309A9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164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7A7B287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78C1CF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0.83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FD0B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136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E7680D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1.07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3D8FBDEC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2,799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E75E2AC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85B57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114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8EFC3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92.3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6F3C26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635A0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</w:tr>
      <w:tr w:rsidR="00FE74A0" w:rsidRPr="00B3418C" w14:paraId="21F9311B" w14:textId="77777777" w:rsidTr="000972FC">
        <w:tc>
          <w:tcPr>
            <w:tcW w:w="1658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</w:tcPr>
          <w:p w14:paraId="62716B13" w14:textId="77777777" w:rsidR="00FE74A0" w:rsidRPr="009E1FD7" w:rsidRDefault="00FE74A0" w:rsidP="00097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QC2-6(PT)</w:t>
            </w:r>
          </w:p>
        </w:tc>
        <w:tc>
          <w:tcPr>
            <w:tcW w:w="1243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25A021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sz w:val="20"/>
                <w:szCs w:val="20"/>
              </w:rPr>
              <w:t>499/509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7CDED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175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7EAC1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110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9BAB3E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0.79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0543AA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138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0197F0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0.81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392EC175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1,593</w:t>
            </w:r>
          </w:p>
        </w:tc>
        <w:tc>
          <w:tcPr>
            <w:tcW w:w="42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51C0753A" w14:textId="77777777" w:rsidR="00FE74A0" w:rsidRPr="009E1FD7" w:rsidRDefault="00FE74A0" w:rsidP="000972FC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13AF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±</w:t>
            </w:r>
          </w:p>
        </w:tc>
        <w:tc>
          <w:tcPr>
            <w:tcW w:w="567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5E1619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99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82A9B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82.6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B62CF2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E71ABB" w14:textId="77777777" w:rsidR="00FE74A0" w:rsidRPr="009E1FD7" w:rsidRDefault="00FE74A0" w:rsidP="000972FC">
            <w:pPr>
              <w:jc w:val="right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E1FD7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99.4</w:t>
            </w:r>
          </w:p>
        </w:tc>
      </w:tr>
    </w:tbl>
    <w:p w14:paraId="6FDDA2FC" w14:textId="77777777" w:rsidR="00FE74A0" w:rsidRDefault="00FE74A0" w:rsidP="00FE74A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29702" w14:textId="77777777" w:rsidR="00FE74A0" w:rsidRPr="009123BA" w:rsidRDefault="00FE74A0" w:rsidP="00FE74A0">
      <w:pPr>
        <w:widowControl/>
        <w:jc w:val="left"/>
        <w:rPr>
          <w:rFonts w:ascii="Times New Roman" w:eastAsia="MS Mincho" w:hAnsi="Times New Roman" w:cs="Times New Roman"/>
          <w:b/>
          <w:sz w:val="24"/>
          <w:szCs w:val="24"/>
        </w:rPr>
      </w:pPr>
      <w:r w:rsidRPr="009123BA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9123BA">
        <w:rPr>
          <w:rFonts w:ascii="Times New Roman" w:hAnsi="Times New Roman" w:cs="Times New Roman"/>
          <w:b/>
          <w:bCs/>
          <w:sz w:val="24"/>
          <w:szCs w:val="24"/>
        </w:rPr>
        <w:t>able 1</w:t>
      </w:r>
      <w:r w:rsidRPr="009123BA">
        <w:rPr>
          <w:rFonts w:ascii="Times New Roman" w:eastAsia="MS Mincho" w:hAnsi="Times New Roman" w:cs="Times New Roman"/>
          <w:b/>
          <w:sz w:val="24"/>
          <w:szCs w:val="24"/>
        </w:rPr>
        <w:t xml:space="preserve"> | Characteristics of common green-emitting FPs, StayGold, and its variants.</w:t>
      </w:r>
    </w:p>
    <w:p w14:paraId="5827EC23" w14:textId="77777777" w:rsidR="00FE74A0" w:rsidRPr="009123BA" w:rsidRDefault="00FE74A0" w:rsidP="00FE74A0">
      <w:pPr>
        <w:jc w:val="left"/>
        <w:rPr>
          <w:rFonts w:ascii="Segoe UI" w:eastAsia="MS PGothic" w:hAnsi="Segoe UI" w:cs="Segoe UI"/>
          <w:kern w:val="0"/>
          <w:sz w:val="36"/>
          <w:szCs w:val="36"/>
        </w:rPr>
      </w:pPr>
      <w:r w:rsidRPr="009123BA">
        <w:rPr>
          <w:rFonts w:ascii="Times New Roman" w:eastAsia="MS Mincho" w:hAnsi="Times New Roman" w:cs="Times New Roman" w:hint="eastAsia"/>
          <w:sz w:val="24"/>
          <w:szCs w:val="24"/>
          <w:vertAlign w:val="superscript"/>
        </w:rPr>
        <w:t>a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Absorbance maximum. 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b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Emission maximum. 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c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Absolute extinction coefficient at </w:t>
      </w:r>
      <w:r w:rsidRPr="00984F1E">
        <w:rPr>
          <w:rFonts w:ascii="Symbol" w:eastAsia="MS Mincho" w:hAnsi="Symbol" w:cs="Times New Roman"/>
          <w:sz w:val="24"/>
          <w:szCs w:val="24"/>
        </w:rPr>
        <w:t></w:t>
      </w:r>
      <w:r w:rsidRPr="009123BA">
        <w:rPr>
          <w:rFonts w:ascii="Times New Roman" w:eastAsia="MS Mincho" w:hAnsi="Times New Roman" w:cs="Times New Roman"/>
          <w:sz w:val="24"/>
          <w:szCs w:val="24"/>
        </w:rPr>
        <w:t>ab (left) and 488 nm (right). The measurement was based on the fact that after alkali denaturation of these FPs, the chromophore, containing a dehydrotyrosine residue conjugated to the imidazolone group, absorbs light maximally at 447 nm with a molar extinction coefficient of 44,000 M</w:t>
      </w:r>
      <w:r>
        <w:rPr>
          <w:rFonts w:ascii="Times New Roman" w:eastAsia="MS Mincho" w:hAnsi="Times New Roman" w:cs="Times New Roman"/>
          <w:sz w:val="24"/>
          <w:szCs w:val="24"/>
          <w:vertAlign w:val="superscript"/>
        </w:rPr>
        <w:t>−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 xml:space="preserve">1 </w:t>
      </w:r>
      <w:r w:rsidRPr="009123BA">
        <w:rPr>
          <w:rFonts w:ascii="Times New Roman" w:eastAsia="MS Mincho" w:hAnsi="Times New Roman" w:cs="Times New Roman"/>
          <w:sz w:val="24"/>
          <w:szCs w:val="24"/>
        </w:rPr>
        <w:t>cm</w:t>
      </w:r>
      <w:r>
        <w:rPr>
          <w:rFonts w:ascii="Times New Roman" w:eastAsia="MS Mincho" w:hAnsi="Times New Roman" w:cs="Times New Roman"/>
          <w:sz w:val="24"/>
          <w:szCs w:val="24"/>
          <w:vertAlign w:val="superscript"/>
        </w:rPr>
        <w:t>−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 xml:space="preserve">1 </w:t>
      </w:r>
      <w:r w:rsidRPr="009123BA">
        <w:rPr>
          <w:rFonts w:ascii="Times New Roman" w:eastAsia="MS Mincho" w:hAnsi="Times New Roman" w:cs="Times New Roman"/>
          <w:sz w:val="24"/>
          <w:szCs w:val="24"/>
        </w:rPr>
        <w:t>(ref. 4</w:t>
      </w:r>
      <w:r>
        <w:rPr>
          <w:rFonts w:ascii="Times New Roman" w:eastAsia="MS Mincho" w:hAnsi="Times New Roman" w:cs="Times New Roman"/>
          <w:sz w:val="24"/>
          <w:szCs w:val="24"/>
        </w:rPr>
        <w:t>4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). See Supplementary Fig. 3. 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d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Fluorescence quantum yield measured using an absolute photoluminescence quantum yield spectrometer. 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</w:rPr>
        <w:t>e 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</w:rPr>
        <w:t xml:space="preserve">Product of </w:t>
      </w:r>
      <w:r w:rsidRPr="00984F1E">
        <w:rPr>
          <w:rFonts w:ascii="Symbol" w:eastAsia="MS Mincho" w:hAnsi="Symbol" w:cs="Times New Roman"/>
          <w:kern w:val="0"/>
          <w:sz w:val="24"/>
          <w:szCs w:val="24"/>
        </w:rPr>
        <w:t></w:t>
      </w:r>
      <w:r w:rsidRPr="009123BA">
        <w:rPr>
          <w:rFonts w:ascii="Symbol" w:eastAsia="MS Mincho" w:hAnsi="Symbol" w:cs="Times New Roman"/>
          <w:kern w:val="0"/>
          <w:sz w:val="24"/>
          <w:szCs w:val="24"/>
        </w:rPr>
        <w:t>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</w:rPr>
        <w:t>(</w:t>
      </w:r>
      <w:r w:rsidRPr="00984F1E">
        <w:rPr>
          <w:rFonts w:ascii="Symbol" w:eastAsia="MS Mincho" w:hAnsi="Symbol" w:cs="Times New Roman"/>
          <w:kern w:val="0"/>
          <w:sz w:val="24"/>
          <w:szCs w:val="24"/>
        </w:rPr>
        <w:t>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</w:rPr>
        <w:t>ab) and QY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</w:rPr>
        <w:t>f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</w:rPr>
        <w:t>. This value reflects the molecular brightness of an FP</w:t>
      </w:r>
      <w:r>
        <w:rPr>
          <w:rFonts w:ascii="Times New Roman" w:eastAsia="MS Mincho" w:hAnsi="Times New Roman" w:cs="Times New Roman"/>
          <w:kern w:val="0"/>
          <w:sz w:val="24"/>
          <w:szCs w:val="24"/>
        </w:rPr>
        <w:t xml:space="preserve"> (ref. 45)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</w:rPr>
        <w:t xml:space="preserve">. </w:t>
      </w:r>
      <w:r w:rsidRPr="009123BA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</w:rPr>
        <w:t>f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Cellular brightness calculated from data shown in Fig. 3b. The fluorescence from each green-emitting FP (with excitation at 488 nm) was corrected by mCherry fluorescence and then normalized to that of </w:t>
      </w:r>
      <w:r>
        <w:rPr>
          <w:rFonts w:ascii="Times New Roman" w:eastAsia="MS Mincho" w:hAnsi="Times New Roman" w:cs="Times New Roman"/>
          <w:sz w:val="24"/>
          <w:szCs w:val="24"/>
        </w:rPr>
        <w:t>StayGold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Pr="009123BA">
        <w:rPr>
          <w:rFonts w:ascii="Times New Roman" w:eastAsia="Times New Roman" w:hAnsi="Times New Roman" w:cs="Times New Roman"/>
          <w:sz w:val="24"/>
        </w:rPr>
        <w:t>Equimolar coexpression of a green-emitting FP and mCherry using the bicistronic expression system</w:t>
      </w:r>
      <w:r w:rsidRPr="007A7E64">
        <w:rPr>
          <w:rFonts w:ascii="Times New Roman" w:eastAsia="Times New Roman" w:hAnsi="Times New Roman" w:cs="Times New Roman"/>
          <w:sz w:val="24"/>
          <w:vertAlign w:val="superscript"/>
        </w:rPr>
        <w:t>12</w:t>
      </w:r>
      <w:r w:rsidRPr="009123BA">
        <w:rPr>
          <w:rFonts w:ascii="Times New Roman" w:eastAsia="Times New Roman" w:hAnsi="Times New Roman" w:cs="Times New Roman"/>
          <w:sz w:val="24"/>
        </w:rPr>
        <w:t>.</w:t>
      </w:r>
      <w:r w:rsidRPr="009123BA">
        <w:rPr>
          <w:rFonts w:ascii="MS Mincho" w:eastAsia="MS Mincho" w:hAnsi="MS Mincho" w:cs="MS Mincho"/>
          <w:sz w:val="24"/>
        </w:rPr>
        <w:t xml:space="preserve"> 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g </w:t>
      </w:r>
      <w:r w:rsidRPr="009123BA">
        <w:rPr>
          <w:rFonts w:ascii="Times New Roman" w:eastAsia="MS Mincho" w:hAnsi="Times New Roman" w:cs="Times New Roman"/>
          <w:sz w:val="24"/>
          <w:szCs w:val="24"/>
        </w:rPr>
        <w:t>Time in seconds to reduce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the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 emission rate from 1,000 to 500 photons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9123BA">
        <w:rPr>
          <w:rFonts w:ascii="Times New Roman" w:eastAsia="MS Mincho" w:hAnsi="Times New Roman" w:cs="Times New Roman"/>
          <w:sz w:val="24"/>
          <w:szCs w:val="24"/>
        </w:rPr>
        <w:t>s</w:t>
      </w:r>
      <w:r>
        <w:rPr>
          <w:rFonts w:ascii="Times New Roman" w:eastAsia="MS Mincho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9123BA">
        <w:rPr>
          <w:rFonts w:ascii="Times New Roman" w:eastAsia="MS Mincho" w:hAnsi="Times New Roman" w:cs="Times New Roman"/>
          <w:sz w:val="24"/>
          <w:szCs w:val="24"/>
        </w:rPr>
        <w:t>molecule</w:t>
      </w:r>
      <w:r>
        <w:rPr>
          <w:rFonts w:ascii="Times New Roman" w:eastAsia="MS Mincho" w:hAnsi="Times New Roman" w:cs="Times New Roman"/>
          <w:sz w:val="24"/>
          <w:szCs w:val="24"/>
          <w:vertAlign w:val="superscript"/>
        </w:rPr>
        <w:t>−1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 under wide-field illumination. Live HeLa cells expressing FP-H2B fusions were used. See Fig. 3a. Values are means ± s.d. (</w:t>
      </w:r>
      <w:r w:rsidRPr="00DA2A3F">
        <w:rPr>
          <w:rFonts w:ascii="Times New Roman" w:eastAsia="MS Mincho" w:hAnsi="Times New Roman" w:cs="Times New Roman"/>
          <w:i/>
          <w:iCs/>
          <w:sz w:val="24"/>
          <w:szCs w:val="24"/>
        </w:rPr>
        <w:t>n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 = 3 independent experiments). All values were measured by us (green, in this study; black, in a previous study</w:t>
      </w:r>
      <w:r w:rsidRPr="009123BA">
        <w:rPr>
          <w:rFonts w:ascii="Times New Roman" w:eastAsia="MS Mincho" w:hAnsi="Times New Roman" w:cs="Times New Roman"/>
          <w:sz w:val="24"/>
          <w:szCs w:val="24"/>
          <w:vertAlign w:val="superscript"/>
        </w:rPr>
        <w:t>1</w:t>
      </w:r>
      <w:r w:rsidRPr="009123BA">
        <w:rPr>
          <w:rFonts w:ascii="Times New Roman" w:eastAsia="MS Mincho" w:hAnsi="Times New Roman" w:cs="Times New Roman"/>
          <w:sz w:val="24"/>
          <w:szCs w:val="24"/>
        </w:rPr>
        <w:t xml:space="preserve">). N.T.: not tested. QC2-6 FIQ and QC2-6(PT) were designated as mStayGold and mStayGold2, respectively.  </w:t>
      </w:r>
    </w:p>
    <w:p w14:paraId="73D78041" w14:textId="77777777" w:rsidR="002F0F5E" w:rsidRDefault="00FE74A0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4A0"/>
    <w:rsid w:val="0021090F"/>
    <w:rsid w:val="003A76DF"/>
    <w:rsid w:val="00C52827"/>
    <w:rsid w:val="00DB1091"/>
    <w:rsid w:val="00F6645F"/>
    <w:rsid w:val="00FE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DFFE2"/>
  <w15:chartTrackingRefBased/>
  <w15:docId w15:val="{FF5DE784-1E3A-48C4-B9FB-2DB39154D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4A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4A0"/>
    <w:pPr>
      <w:spacing w:after="0" w:line="240" w:lineRule="auto"/>
    </w:pPr>
    <w:rPr>
      <w:rFonts w:eastAsiaTheme="minorEastAsia"/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2227</Characters>
  <Application>Microsoft Office Word</Application>
  <DocSecurity>0</DocSecurity>
  <Lines>18</Lines>
  <Paragraphs>5</Paragraphs>
  <ScaleCrop>false</ScaleCrop>
  <Company>Springer Nature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2023-05-19T06:00:00Z</dcterms:created>
  <dcterms:modified xsi:type="dcterms:W3CDTF">2023-05-19T06:00:00Z</dcterms:modified>
</cp:coreProperties>
</file>