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E9C07" w14:textId="382F7D1C" w:rsidR="00E02464" w:rsidRPr="00AE664E" w:rsidRDefault="00CF5133">
      <w:pPr>
        <w:rPr>
          <w:rFonts w:ascii="Times New Roman" w:hAnsi="Times New Roman" w:cs="Times New Roman"/>
          <w:b/>
          <w:bCs/>
          <w:sz w:val="28"/>
          <w:szCs w:val="36"/>
          <w:lang w:val="en-US"/>
        </w:rPr>
      </w:pPr>
      <w:r>
        <w:rPr>
          <w:rFonts w:ascii="Times New Roman" w:hAnsi="Times New Roman" w:cs="Times New Roman"/>
          <w:b/>
          <w:bCs/>
          <w:sz w:val="28"/>
          <w:szCs w:val="36"/>
          <w:lang w:val="en-US"/>
        </w:rPr>
        <w:t>Extended Data Figures</w:t>
      </w:r>
    </w:p>
    <w:p w14:paraId="71F9414E" w14:textId="77777777" w:rsidR="00440BAD" w:rsidRPr="00440BAD" w:rsidRDefault="00440BAD" w:rsidP="00440BAD">
      <w:pPr>
        <w:rPr>
          <w:rFonts w:ascii="Times New Roman" w:hAnsi="Times New Roman" w:cs="Times New Roman"/>
          <w:b/>
          <w:bCs/>
          <w:sz w:val="24"/>
          <w:szCs w:val="32"/>
        </w:rPr>
      </w:pPr>
      <w:r w:rsidRPr="00440BAD">
        <w:rPr>
          <w:rFonts w:ascii="Times New Roman" w:hAnsi="Times New Roman" w:cs="Times New Roman"/>
          <w:b/>
          <w:bCs/>
          <w:sz w:val="24"/>
          <w:szCs w:val="32"/>
        </w:rPr>
        <w:softHyphen/>
        <w:t xml:space="preserve">European rural regions supporting and hindering the Sustainable Development Goals </w:t>
      </w:r>
    </w:p>
    <w:p w14:paraId="024B502A" w14:textId="5B739094" w:rsidR="00440BAD" w:rsidRPr="00440BAD" w:rsidRDefault="00440BAD" w:rsidP="00440BAD">
      <w:pPr>
        <w:rPr>
          <w:rFonts w:ascii="Times New Roman" w:hAnsi="Times New Roman" w:cs="Times New Roman"/>
          <w:sz w:val="24"/>
          <w:szCs w:val="32"/>
          <w:vertAlign w:val="superscript"/>
        </w:rPr>
      </w:pPr>
      <w:r w:rsidRPr="00440BAD">
        <w:rPr>
          <w:rFonts w:ascii="Times New Roman" w:hAnsi="Times New Roman" w:cs="Times New Roman"/>
          <w:sz w:val="24"/>
          <w:szCs w:val="32"/>
        </w:rPr>
        <w:t>Kimberly A. Nicholas and Murray Scown</w:t>
      </w:r>
    </w:p>
    <w:p w14:paraId="18935679" w14:textId="0BBF77AF" w:rsidR="00726E6E" w:rsidRPr="00AE664E" w:rsidRDefault="00726E6E" w:rsidP="00726E6E">
      <w:pPr>
        <w:rPr>
          <w:rFonts w:ascii="Times New Roman" w:hAnsi="Times New Roman" w:cs="Times New Roman"/>
          <w:sz w:val="20"/>
          <w:szCs w:val="24"/>
        </w:rPr>
      </w:pPr>
      <w:r w:rsidRPr="00AE664E">
        <w:rPr>
          <w:rFonts w:ascii="Times New Roman" w:hAnsi="Times New Roman" w:cs="Times New Roman"/>
          <w:noProof/>
          <w:sz w:val="20"/>
          <w:szCs w:val="24"/>
        </w:rPr>
        <w:drawing>
          <wp:inline distT="0" distB="0" distL="0" distR="0" wp14:anchorId="449A00D1" wp14:editId="631E24F2">
            <wp:extent cx="2825750" cy="2812667"/>
            <wp:effectExtent l="0" t="0" r="0" b="6985"/>
            <wp:docPr id="39" name="Picture 3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5"/>
                    <a:stretch>
                      <a:fillRect/>
                    </a:stretch>
                  </pic:blipFill>
                  <pic:spPr>
                    <a:xfrm>
                      <a:off x="0" y="0"/>
                      <a:ext cx="2863771" cy="2850512"/>
                    </a:xfrm>
                    <a:prstGeom prst="rect">
                      <a:avLst/>
                    </a:prstGeom>
                  </pic:spPr>
                </pic:pic>
              </a:graphicData>
            </a:graphic>
          </wp:inline>
        </w:drawing>
      </w:r>
    </w:p>
    <w:p w14:paraId="6769100F" w14:textId="21F4FAB8" w:rsidR="00726E6E" w:rsidRPr="00AE664E" w:rsidRDefault="00CF5133" w:rsidP="00726E6E">
      <w:pPr>
        <w:pStyle w:val="Caption"/>
        <w:rPr>
          <w:rFonts w:ascii="Times New Roman" w:hAnsi="Times New Roman" w:cs="Times New Roman"/>
          <w:b/>
          <w:bCs/>
          <w:i w:val="0"/>
          <w:iCs w:val="0"/>
          <w:color w:val="auto"/>
          <w:sz w:val="22"/>
          <w:szCs w:val="22"/>
          <w:highlight w:val="yellow"/>
        </w:rPr>
      </w:pPr>
      <w:r>
        <w:rPr>
          <w:rFonts w:ascii="Times New Roman" w:hAnsi="Times New Roman" w:cs="Times New Roman"/>
          <w:b/>
          <w:bCs/>
          <w:i w:val="0"/>
          <w:iCs w:val="0"/>
          <w:color w:val="auto"/>
          <w:sz w:val="20"/>
          <w:szCs w:val="20"/>
        </w:rPr>
        <w:t xml:space="preserve">Extended Data Fig. 1. </w:t>
      </w:r>
      <w:r>
        <w:rPr>
          <w:rFonts w:ascii="Times New Roman" w:hAnsi="Times New Roman" w:cs="Times New Roman"/>
          <w:i w:val="0"/>
          <w:iCs w:val="0"/>
          <w:color w:val="auto"/>
          <w:sz w:val="20"/>
          <w:szCs w:val="20"/>
        </w:rPr>
        <w:t>Di</w:t>
      </w:r>
      <w:r w:rsidR="00726E6E" w:rsidRPr="002575DF">
        <w:rPr>
          <w:rFonts w:ascii="Times New Roman" w:hAnsi="Times New Roman" w:cs="Times New Roman"/>
          <w:i w:val="0"/>
          <w:iCs w:val="0"/>
          <w:color w:val="auto"/>
          <w:sz w:val="20"/>
          <w:szCs w:val="20"/>
        </w:rPr>
        <w:t>strib</w:t>
      </w:r>
      <w:r w:rsidR="00726E6E" w:rsidRPr="00AE664E">
        <w:rPr>
          <w:rFonts w:ascii="Times New Roman" w:hAnsi="Times New Roman" w:cs="Times New Roman"/>
          <w:i w:val="0"/>
          <w:iCs w:val="0"/>
          <w:color w:val="auto"/>
          <w:sz w:val="20"/>
          <w:szCs w:val="20"/>
        </w:rPr>
        <w:t xml:space="preserve">ution of environmental, social, and overall index scores of agricultural sustainability across all 283 European NUTS regions analysed, based on indicators normalised from 0 – 1 with 1 being the “best”. </w:t>
      </w:r>
      <w:r w:rsidR="002575DF">
        <w:rPr>
          <w:rFonts w:ascii="Times New Roman" w:hAnsi="Times New Roman" w:cs="Times New Roman"/>
          <w:i w:val="0"/>
          <w:iCs w:val="0"/>
          <w:color w:val="auto"/>
          <w:sz w:val="20"/>
          <w:szCs w:val="20"/>
        </w:rPr>
        <w:t>The e</w:t>
      </w:r>
      <w:r w:rsidR="00726E6E" w:rsidRPr="00AE664E">
        <w:rPr>
          <w:rFonts w:ascii="Times New Roman" w:hAnsi="Times New Roman" w:cs="Times New Roman"/>
          <w:i w:val="0"/>
          <w:iCs w:val="0"/>
          <w:color w:val="auto"/>
          <w:sz w:val="20"/>
          <w:szCs w:val="20"/>
        </w:rPr>
        <w:t>nvironmental index contains 15 sustainability indicators; the social index contains 9 indicators; and the overall</w:t>
      </w:r>
      <w:r w:rsidR="00AA1267">
        <w:rPr>
          <w:rFonts w:ascii="Times New Roman" w:hAnsi="Times New Roman" w:cs="Times New Roman"/>
          <w:i w:val="0"/>
          <w:iCs w:val="0"/>
          <w:color w:val="auto"/>
          <w:sz w:val="20"/>
          <w:szCs w:val="20"/>
        </w:rPr>
        <w:t xml:space="preserve"> sustainability</w:t>
      </w:r>
      <w:r w:rsidR="00726E6E" w:rsidRPr="00AE664E">
        <w:rPr>
          <w:rFonts w:ascii="Times New Roman" w:hAnsi="Times New Roman" w:cs="Times New Roman"/>
          <w:i w:val="0"/>
          <w:iCs w:val="0"/>
          <w:color w:val="auto"/>
          <w:sz w:val="20"/>
          <w:szCs w:val="20"/>
        </w:rPr>
        <w:t xml:space="preserve"> index equally weights their combination. Box indicates median and interquartile range, dots represent outliers more than 1.5 times the interquartile range above or below said range, whiskers represent range (excluding any outliers).</w:t>
      </w:r>
    </w:p>
    <w:p w14:paraId="42497ED4" w14:textId="77777777" w:rsidR="00726E6E" w:rsidRDefault="00726E6E" w:rsidP="00252445">
      <w:pPr>
        <w:rPr>
          <w:rFonts w:ascii="Times New Roman" w:hAnsi="Times New Roman" w:cs="Times New Roman"/>
        </w:rPr>
      </w:pPr>
    </w:p>
    <w:p w14:paraId="28F8C64E" w14:textId="77777777" w:rsidR="00204C00" w:rsidRDefault="00204C00" w:rsidP="00204C00">
      <w:pPr>
        <w:rPr>
          <w:rFonts w:ascii="Times New Roman" w:hAnsi="Times New Roman" w:cs="Times New Roman"/>
        </w:rPr>
      </w:pPr>
      <w:r w:rsidRPr="00204C00">
        <w:rPr>
          <w:rFonts w:ascii="Times New Roman" w:hAnsi="Times New Roman" w:cs="Times New Roman"/>
          <w:noProof/>
        </w:rPr>
        <w:lastRenderedPageBreak/>
        <w:drawing>
          <wp:inline distT="0" distB="0" distL="0" distR="0" wp14:anchorId="2423E8BE" wp14:editId="10A47AF2">
            <wp:extent cx="5760720" cy="5741035"/>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6"/>
                    <a:stretch>
                      <a:fillRect/>
                    </a:stretch>
                  </pic:blipFill>
                  <pic:spPr>
                    <a:xfrm>
                      <a:off x="0" y="0"/>
                      <a:ext cx="5760720" cy="5741035"/>
                    </a:xfrm>
                    <a:prstGeom prst="rect">
                      <a:avLst/>
                    </a:prstGeom>
                  </pic:spPr>
                </pic:pic>
              </a:graphicData>
            </a:graphic>
          </wp:inline>
        </w:drawing>
      </w:r>
    </w:p>
    <w:p w14:paraId="6ADC6537" w14:textId="0E3B6DEB" w:rsidR="00204C00" w:rsidRPr="00F676F6" w:rsidRDefault="00F676F6" w:rsidP="00204C00">
      <w:pPr>
        <w:rPr>
          <w:rFonts w:ascii="Times New Roman" w:hAnsi="Times New Roman" w:cs="Times New Roman"/>
          <w:sz w:val="20"/>
          <w:szCs w:val="24"/>
        </w:rPr>
      </w:pPr>
      <w:r w:rsidRPr="00F676F6">
        <w:rPr>
          <w:rFonts w:ascii="Times New Roman" w:hAnsi="Times New Roman" w:cs="Times New Roman"/>
          <w:b/>
          <w:bCs/>
          <w:sz w:val="20"/>
          <w:szCs w:val="24"/>
        </w:rPr>
        <w:t xml:space="preserve">Extended Data Fig. </w:t>
      </w:r>
      <w:r w:rsidR="00EE6050">
        <w:rPr>
          <w:rFonts w:ascii="Times New Roman" w:hAnsi="Times New Roman" w:cs="Times New Roman"/>
          <w:b/>
          <w:bCs/>
          <w:sz w:val="20"/>
          <w:szCs w:val="24"/>
        </w:rPr>
        <w:t>2</w:t>
      </w:r>
      <w:r w:rsidRPr="00F676F6">
        <w:rPr>
          <w:rFonts w:ascii="Times New Roman" w:hAnsi="Times New Roman" w:cs="Times New Roman"/>
          <w:b/>
          <w:bCs/>
          <w:sz w:val="20"/>
          <w:szCs w:val="24"/>
        </w:rPr>
        <w:t>.</w:t>
      </w:r>
      <w:r>
        <w:rPr>
          <w:rFonts w:ascii="Times New Roman" w:hAnsi="Times New Roman" w:cs="Times New Roman"/>
          <w:b/>
          <w:bCs/>
          <w:sz w:val="20"/>
          <w:szCs w:val="24"/>
        </w:rPr>
        <w:t xml:space="preserve"> </w:t>
      </w:r>
      <w:r w:rsidR="00204C00" w:rsidRPr="00EE6050">
        <w:rPr>
          <w:rFonts w:ascii="Times New Roman" w:hAnsi="Times New Roman" w:cs="Times New Roman"/>
          <w:sz w:val="20"/>
          <w:szCs w:val="24"/>
        </w:rPr>
        <w:t>Distribution of environmental, social, and overall index scores for sustainable agriculture within each country.</w:t>
      </w:r>
      <w:r w:rsidR="00204C00" w:rsidRPr="00F676F6">
        <w:rPr>
          <w:rFonts w:ascii="Times New Roman" w:hAnsi="Times New Roman" w:cs="Times New Roman"/>
          <w:sz w:val="20"/>
          <w:szCs w:val="24"/>
        </w:rPr>
        <w:t xml:space="preserve"> Indices are calculated from 15 environmental and 9 social indicators relevant for sustainable agriculture in Europe (listed in Table 1), each range-standardised to between zero and one. The indices are subsequently used for the hotspot analysis (please see Methods for full details).</w:t>
      </w:r>
    </w:p>
    <w:p w14:paraId="5E794078" w14:textId="77777777" w:rsidR="00900C6B" w:rsidRDefault="00900C6B" w:rsidP="00252445">
      <w:pPr>
        <w:rPr>
          <w:rFonts w:ascii="Times New Roman" w:hAnsi="Times New Roman" w:cs="Times New Roman"/>
        </w:rPr>
      </w:pPr>
    </w:p>
    <w:p w14:paraId="6C8AF440" w14:textId="77777777" w:rsidR="00900C6B" w:rsidRDefault="00900C6B" w:rsidP="00252445">
      <w:pPr>
        <w:rPr>
          <w:rFonts w:ascii="Times New Roman" w:hAnsi="Times New Roman" w:cs="Times New Roman"/>
        </w:rPr>
      </w:pPr>
    </w:p>
    <w:p w14:paraId="754407CE" w14:textId="77777777" w:rsidR="00900C6B" w:rsidRPr="00AE664E" w:rsidRDefault="00900C6B" w:rsidP="00252445">
      <w:pPr>
        <w:rPr>
          <w:rFonts w:ascii="Times New Roman" w:hAnsi="Times New Roman" w:cs="Times New Roman"/>
        </w:rPr>
      </w:pPr>
    </w:p>
    <w:p w14:paraId="71FEB2FE" w14:textId="281BB9E9" w:rsidR="00252445" w:rsidRPr="00AE664E" w:rsidRDefault="00252445" w:rsidP="00252445">
      <w:pPr>
        <w:rPr>
          <w:rFonts w:ascii="Times New Roman" w:hAnsi="Times New Roman" w:cs="Times New Roman"/>
          <w:sz w:val="20"/>
          <w:szCs w:val="24"/>
        </w:rPr>
      </w:pPr>
      <w:r w:rsidRPr="00AE664E">
        <w:rPr>
          <w:rFonts w:ascii="Times New Roman" w:hAnsi="Times New Roman" w:cs="Times New Roman"/>
          <w:noProof/>
          <w:sz w:val="20"/>
          <w:szCs w:val="24"/>
        </w:rPr>
        <w:lastRenderedPageBreak/>
        <w:drawing>
          <wp:inline distT="0" distB="0" distL="0" distR="0" wp14:anchorId="69A649AF" wp14:editId="2B65A454">
            <wp:extent cx="5593080" cy="2910864"/>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9066" r="15425"/>
                    <a:stretch/>
                  </pic:blipFill>
                  <pic:spPr bwMode="auto">
                    <a:xfrm>
                      <a:off x="0" y="0"/>
                      <a:ext cx="5600537" cy="2914745"/>
                    </a:xfrm>
                    <a:prstGeom prst="rect">
                      <a:avLst/>
                    </a:prstGeom>
                    <a:noFill/>
                    <a:ln>
                      <a:noFill/>
                    </a:ln>
                    <a:extLst>
                      <a:ext uri="{53640926-AAD7-44D8-BBD7-CCE9431645EC}">
                        <a14:shadowObscured xmlns:a14="http://schemas.microsoft.com/office/drawing/2010/main"/>
                      </a:ext>
                    </a:extLst>
                  </pic:spPr>
                </pic:pic>
              </a:graphicData>
            </a:graphic>
          </wp:inline>
        </w:drawing>
      </w:r>
    </w:p>
    <w:p w14:paraId="5325BBE6" w14:textId="75E1DB95" w:rsidR="00252445" w:rsidRPr="00AE664E" w:rsidRDefault="00FB5880" w:rsidP="00252445">
      <w:pPr>
        <w:rPr>
          <w:rFonts w:ascii="Times New Roman" w:hAnsi="Times New Roman" w:cs="Times New Roman"/>
          <w:sz w:val="20"/>
          <w:szCs w:val="20"/>
        </w:rPr>
      </w:pPr>
      <w:r>
        <w:rPr>
          <w:rFonts w:ascii="Times New Roman" w:hAnsi="Times New Roman" w:cs="Times New Roman"/>
          <w:b/>
          <w:bCs/>
          <w:sz w:val="20"/>
          <w:szCs w:val="20"/>
        </w:rPr>
        <w:t xml:space="preserve">Extended </w:t>
      </w:r>
      <w:r w:rsidRPr="00FB5880">
        <w:rPr>
          <w:rFonts w:ascii="Times New Roman" w:hAnsi="Times New Roman" w:cs="Times New Roman"/>
          <w:b/>
          <w:bCs/>
          <w:sz w:val="20"/>
          <w:szCs w:val="20"/>
        </w:rPr>
        <w:t xml:space="preserve">Data </w:t>
      </w:r>
      <w:r w:rsidR="00252445" w:rsidRPr="00FB5880">
        <w:rPr>
          <w:rFonts w:ascii="Times New Roman" w:hAnsi="Times New Roman" w:cs="Times New Roman"/>
          <w:b/>
          <w:bCs/>
          <w:sz w:val="20"/>
          <w:szCs w:val="20"/>
        </w:rPr>
        <w:t xml:space="preserve">Fig. </w:t>
      </w:r>
      <w:r w:rsidR="0058024C" w:rsidRPr="00FB5880">
        <w:rPr>
          <w:rFonts w:ascii="Times New Roman" w:hAnsi="Times New Roman" w:cs="Times New Roman"/>
          <w:b/>
          <w:bCs/>
          <w:sz w:val="20"/>
          <w:szCs w:val="20"/>
        </w:rPr>
        <w:t>3</w:t>
      </w:r>
      <w:r w:rsidR="00252445" w:rsidRPr="00FB5880">
        <w:rPr>
          <w:rFonts w:ascii="Times New Roman" w:hAnsi="Times New Roman" w:cs="Times New Roman"/>
          <w:b/>
          <w:bCs/>
          <w:sz w:val="20"/>
          <w:szCs w:val="20"/>
        </w:rPr>
        <w:t>.</w:t>
      </w:r>
      <w:r w:rsidR="00252445" w:rsidRPr="00AE664E">
        <w:rPr>
          <w:rFonts w:ascii="Times New Roman" w:hAnsi="Times New Roman" w:cs="Times New Roman"/>
          <w:b/>
          <w:bCs/>
          <w:sz w:val="20"/>
          <w:szCs w:val="20"/>
        </w:rPr>
        <w:t xml:space="preserve"> </w:t>
      </w:r>
      <w:r w:rsidR="00252445" w:rsidRPr="00AE664E">
        <w:rPr>
          <w:rFonts w:ascii="Times New Roman" w:hAnsi="Times New Roman" w:cs="Times New Roman"/>
          <w:sz w:val="20"/>
          <w:szCs w:val="20"/>
        </w:rPr>
        <w:t>Original neighbour matrix from the original Sphere of Influence calculation (A), which was manually adjusted for Iceland’s neighbours to the version used in our hotspot analysis (B).</w:t>
      </w:r>
    </w:p>
    <w:p w14:paraId="670CD2C5" w14:textId="77777777" w:rsidR="00252445" w:rsidRPr="00AE664E" w:rsidRDefault="00252445">
      <w:pPr>
        <w:rPr>
          <w:rFonts w:ascii="Times New Roman" w:hAnsi="Times New Roman" w:cs="Times New Roman"/>
          <w:lang w:val="en-US"/>
        </w:rPr>
      </w:pPr>
    </w:p>
    <w:p w14:paraId="51A6C77A" w14:textId="77777777" w:rsidR="00DF3D05" w:rsidRPr="00AE664E" w:rsidRDefault="00DF3D05" w:rsidP="00DF3D05">
      <w:pPr>
        <w:rPr>
          <w:rFonts w:ascii="Times New Roman" w:hAnsi="Times New Roman" w:cs="Times New Roman"/>
          <w:sz w:val="20"/>
          <w:szCs w:val="20"/>
        </w:rPr>
      </w:pPr>
    </w:p>
    <w:p w14:paraId="063F7914" w14:textId="77777777" w:rsidR="00DF3D05" w:rsidRPr="00AE664E" w:rsidRDefault="00DF3D05" w:rsidP="00DF3D05">
      <w:pPr>
        <w:rPr>
          <w:rFonts w:ascii="Times New Roman" w:hAnsi="Times New Roman" w:cs="Times New Roman"/>
          <w:bCs/>
        </w:rPr>
      </w:pPr>
      <w:r w:rsidRPr="00AE664E">
        <w:rPr>
          <w:rFonts w:ascii="Times New Roman" w:hAnsi="Times New Roman" w:cs="Times New Roman"/>
          <w:bCs/>
          <w:noProof/>
        </w:rPr>
        <w:lastRenderedPageBreak/>
        <w:drawing>
          <wp:inline distT="0" distB="0" distL="0" distR="0" wp14:anchorId="6E8DAFD7" wp14:editId="4C9FAE3C">
            <wp:extent cx="5274879" cy="7912318"/>
            <wp:effectExtent l="19050" t="19050" r="21590" b="12700"/>
            <wp:docPr id="11" name="Picture 11"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att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74879" cy="7912318"/>
                    </a:xfrm>
                    <a:prstGeom prst="rect">
                      <a:avLst/>
                    </a:prstGeom>
                    <a:ln>
                      <a:solidFill>
                        <a:schemeClr val="tx1"/>
                      </a:solidFill>
                    </a:ln>
                  </pic:spPr>
                </pic:pic>
              </a:graphicData>
            </a:graphic>
          </wp:inline>
        </w:drawing>
      </w:r>
    </w:p>
    <w:p w14:paraId="5BA49291" w14:textId="19810E96" w:rsidR="00247BCE" w:rsidRPr="00CF5133" w:rsidRDefault="00EB2822" w:rsidP="00CF5133">
      <w:pPr>
        <w:pStyle w:val="Caption"/>
        <w:rPr>
          <w:rFonts w:ascii="Times New Roman" w:hAnsi="Times New Roman" w:cs="Times New Roman"/>
          <w:i w:val="0"/>
          <w:iCs w:val="0"/>
          <w:color w:val="auto"/>
          <w:sz w:val="20"/>
          <w:szCs w:val="20"/>
        </w:rPr>
      </w:pPr>
      <w:bookmarkStart w:id="0" w:name="_Ref84589639"/>
      <w:r>
        <w:rPr>
          <w:rFonts w:ascii="Times New Roman" w:hAnsi="Times New Roman" w:cs="Times New Roman"/>
          <w:b/>
          <w:bCs/>
          <w:i w:val="0"/>
          <w:iCs w:val="0"/>
          <w:color w:val="auto"/>
          <w:sz w:val="20"/>
          <w:szCs w:val="20"/>
        </w:rPr>
        <w:t xml:space="preserve">Extended Data </w:t>
      </w:r>
      <w:r w:rsidR="00DF3D05" w:rsidRPr="00AE664E">
        <w:rPr>
          <w:rFonts w:ascii="Times New Roman" w:hAnsi="Times New Roman" w:cs="Times New Roman"/>
          <w:b/>
          <w:bCs/>
          <w:i w:val="0"/>
          <w:iCs w:val="0"/>
          <w:color w:val="auto"/>
          <w:sz w:val="20"/>
          <w:szCs w:val="20"/>
        </w:rPr>
        <w:t>Fig.</w:t>
      </w:r>
      <w:bookmarkEnd w:id="0"/>
      <w:r w:rsidR="009D1FC2" w:rsidRPr="00AE664E">
        <w:rPr>
          <w:rFonts w:ascii="Times New Roman" w:hAnsi="Times New Roman" w:cs="Times New Roman"/>
          <w:b/>
          <w:bCs/>
          <w:i w:val="0"/>
          <w:iCs w:val="0"/>
          <w:color w:val="auto"/>
          <w:sz w:val="20"/>
          <w:szCs w:val="20"/>
        </w:rPr>
        <w:t xml:space="preserve"> </w:t>
      </w:r>
      <w:r>
        <w:rPr>
          <w:rFonts w:ascii="Times New Roman" w:hAnsi="Times New Roman" w:cs="Times New Roman"/>
          <w:b/>
          <w:bCs/>
          <w:i w:val="0"/>
          <w:iCs w:val="0"/>
          <w:color w:val="auto"/>
          <w:sz w:val="20"/>
          <w:szCs w:val="20"/>
        </w:rPr>
        <w:t>4</w:t>
      </w:r>
      <w:r w:rsidR="00DF3D05" w:rsidRPr="00AE664E">
        <w:rPr>
          <w:rFonts w:ascii="Times New Roman" w:hAnsi="Times New Roman" w:cs="Times New Roman"/>
          <w:b/>
          <w:bCs/>
          <w:i w:val="0"/>
          <w:iCs w:val="0"/>
          <w:color w:val="auto"/>
          <w:sz w:val="20"/>
          <w:szCs w:val="20"/>
        </w:rPr>
        <w:t xml:space="preserve">. </w:t>
      </w:r>
      <w:r w:rsidR="00DF3D05" w:rsidRPr="00FB5880">
        <w:rPr>
          <w:rFonts w:ascii="Times New Roman" w:hAnsi="Times New Roman" w:cs="Times New Roman"/>
          <w:i w:val="0"/>
          <w:iCs w:val="0"/>
          <w:color w:val="auto"/>
          <w:sz w:val="20"/>
          <w:szCs w:val="20"/>
        </w:rPr>
        <w:t xml:space="preserve">Maps of index scores (left column) and significant </w:t>
      </w:r>
      <w:proofErr w:type="spellStart"/>
      <w:r w:rsidR="00DF3D05" w:rsidRPr="00FB5880">
        <w:rPr>
          <w:rFonts w:ascii="Times New Roman" w:hAnsi="Times New Roman" w:cs="Times New Roman"/>
          <w:i w:val="0"/>
          <w:iCs w:val="0"/>
          <w:color w:val="auto"/>
          <w:sz w:val="20"/>
          <w:szCs w:val="20"/>
        </w:rPr>
        <w:t>Getis</w:t>
      </w:r>
      <w:proofErr w:type="spellEnd"/>
      <w:r w:rsidR="00DF3D05" w:rsidRPr="00FB5880">
        <w:rPr>
          <w:rFonts w:ascii="Times New Roman" w:hAnsi="Times New Roman" w:cs="Times New Roman"/>
          <w:i w:val="0"/>
          <w:iCs w:val="0"/>
          <w:color w:val="auto"/>
          <w:sz w:val="20"/>
          <w:szCs w:val="20"/>
        </w:rPr>
        <w:t xml:space="preserve">-Ord Gi* hotspots and </w:t>
      </w:r>
      <w:proofErr w:type="spellStart"/>
      <w:r w:rsidR="00DF3D05" w:rsidRPr="00FB5880">
        <w:rPr>
          <w:rFonts w:ascii="Times New Roman" w:hAnsi="Times New Roman" w:cs="Times New Roman"/>
          <w:i w:val="0"/>
          <w:iCs w:val="0"/>
          <w:color w:val="auto"/>
          <w:sz w:val="20"/>
          <w:szCs w:val="20"/>
        </w:rPr>
        <w:t>coldspots</w:t>
      </w:r>
      <w:proofErr w:type="spellEnd"/>
      <w:r w:rsidR="00DF3D05" w:rsidRPr="00FB5880">
        <w:rPr>
          <w:rFonts w:ascii="Times New Roman" w:hAnsi="Times New Roman" w:cs="Times New Roman"/>
          <w:i w:val="0"/>
          <w:iCs w:val="0"/>
          <w:color w:val="auto"/>
          <w:sz w:val="20"/>
          <w:szCs w:val="20"/>
        </w:rPr>
        <w:t xml:space="preserve"> (right column) for the environmental (a and b), social (c and d), and overall (e and f) indices.</w:t>
      </w:r>
      <w:r w:rsidR="00DF3D05" w:rsidRPr="00AE664E">
        <w:rPr>
          <w:rFonts w:ascii="Times New Roman" w:hAnsi="Times New Roman" w:cs="Times New Roman"/>
          <w:i w:val="0"/>
          <w:iCs w:val="0"/>
          <w:color w:val="auto"/>
          <w:sz w:val="20"/>
          <w:szCs w:val="20"/>
        </w:rPr>
        <w:t xml:space="preserve"> Index scores are coloured according to Jenks natural breaks to optimise visualisation and only the maximum and minimum scores for each index are shown on the legend.</w:t>
      </w:r>
    </w:p>
    <w:sectPr w:rsidR="00247BCE" w:rsidRPr="00CF51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28E67E3C"/>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7585936">
    <w:abstractNumId w:val="1"/>
  </w:num>
  <w:num w:numId="2" w16cid:durableId="2825276">
    <w:abstractNumId w:val="1"/>
  </w:num>
  <w:num w:numId="3" w16cid:durableId="2056658441">
    <w:abstractNumId w:val="1"/>
  </w:num>
  <w:num w:numId="4" w16cid:durableId="252786084">
    <w:abstractNumId w:val="1"/>
  </w:num>
  <w:num w:numId="5" w16cid:durableId="1181317859">
    <w:abstractNumId w:val="0"/>
  </w:num>
  <w:num w:numId="6" w16cid:durableId="702443128">
    <w:abstractNumId w:val="0"/>
  </w:num>
  <w:num w:numId="7" w16cid:durableId="1271663144">
    <w:abstractNumId w:val="0"/>
  </w:num>
  <w:num w:numId="8" w16cid:durableId="728653326">
    <w:abstractNumId w:val="0"/>
  </w:num>
  <w:num w:numId="9" w16cid:durableId="2054839893">
    <w:abstractNumId w:val="0"/>
  </w:num>
  <w:num w:numId="10" w16cid:durableId="920331047">
    <w:abstractNumId w:val="0"/>
  </w:num>
  <w:num w:numId="11" w16cid:durableId="1087851559">
    <w:abstractNumId w:val="0"/>
  </w:num>
  <w:num w:numId="12" w16cid:durableId="1671299418">
    <w:abstractNumId w:val="0"/>
  </w:num>
  <w:num w:numId="13" w16cid:durableId="1350371511">
    <w:abstractNumId w:val="0"/>
  </w:num>
  <w:num w:numId="14" w16cid:durableId="148670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53"/>
    <w:rsid w:val="000058CA"/>
    <w:rsid w:val="00014675"/>
    <w:rsid w:val="00055D0D"/>
    <w:rsid w:val="00060F96"/>
    <w:rsid w:val="00072761"/>
    <w:rsid w:val="00073B42"/>
    <w:rsid w:val="000A4E6F"/>
    <w:rsid w:val="000D5965"/>
    <w:rsid w:val="000E508B"/>
    <w:rsid w:val="001759D9"/>
    <w:rsid w:val="001766F1"/>
    <w:rsid w:val="001A7847"/>
    <w:rsid w:val="001F0CDB"/>
    <w:rsid w:val="00204AD3"/>
    <w:rsid w:val="00204C00"/>
    <w:rsid w:val="00226849"/>
    <w:rsid w:val="00247BCE"/>
    <w:rsid w:val="00252445"/>
    <w:rsid w:val="002575DF"/>
    <w:rsid w:val="00262E96"/>
    <w:rsid w:val="002A7C94"/>
    <w:rsid w:val="002B7988"/>
    <w:rsid w:val="002D422A"/>
    <w:rsid w:val="003749A9"/>
    <w:rsid w:val="00380368"/>
    <w:rsid w:val="00397A2E"/>
    <w:rsid w:val="003C0064"/>
    <w:rsid w:val="003E3249"/>
    <w:rsid w:val="00407FCA"/>
    <w:rsid w:val="004129A5"/>
    <w:rsid w:val="00432E41"/>
    <w:rsid w:val="00440011"/>
    <w:rsid w:val="00440BAD"/>
    <w:rsid w:val="00441CCF"/>
    <w:rsid w:val="00447B7E"/>
    <w:rsid w:val="00455C6B"/>
    <w:rsid w:val="00461003"/>
    <w:rsid w:val="00485640"/>
    <w:rsid w:val="004B5E6A"/>
    <w:rsid w:val="005064A4"/>
    <w:rsid w:val="00532213"/>
    <w:rsid w:val="0055508B"/>
    <w:rsid w:val="005736F7"/>
    <w:rsid w:val="0058024C"/>
    <w:rsid w:val="005A3B01"/>
    <w:rsid w:val="005D2B8C"/>
    <w:rsid w:val="00603D48"/>
    <w:rsid w:val="006223CD"/>
    <w:rsid w:val="0064277E"/>
    <w:rsid w:val="006442E1"/>
    <w:rsid w:val="00684B94"/>
    <w:rsid w:val="006B7B97"/>
    <w:rsid w:val="006F1898"/>
    <w:rsid w:val="006F200B"/>
    <w:rsid w:val="007246B1"/>
    <w:rsid w:val="00725781"/>
    <w:rsid w:val="00726E6E"/>
    <w:rsid w:val="00776B23"/>
    <w:rsid w:val="007A3035"/>
    <w:rsid w:val="007A47F8"/>
    <w:rsid w:val="007B20FC"/>
    <w:rsid w:val="007C4B29"/>
    <w:rsid w:val="00834A65"/>
    <w:rsid w:val="008446EE"/>
    <w:rsid w:val="008B3AE3"/>
    <w:rsid w:val="008C01DA"/>
    <w:rsid w:val="008C2E7E"/>
    <w:rsid w:val="008E120A"/>
    <w:rsid w:val="008F4EEC"/>
    <w:rsid w:val="00900C6B"/>
    <w:rsid w:val="00947338"/>
    <w:rsid w:val="00966992"/>
    <w:rsid w:val="00972CCF"/>
    <w:rsid w:val="0098027D"/>
    <w:rsid w:val="009A42FD"/>
    <w:rsid w:val="009A619A"/>
    <w:rsid w:val="009D1FC2"/>
    <w:rsid w:val="00A2023C"/>
    <w:rsid w:val="00A660F0"/>
    <w:rsid w:val="00A90191"/>
    <w:rsid w:val="00AA1267"/>
    <w:rsid w:val="00AE664E"/>
    <w:rsid w:val="00AF2F5D"/>
    <w:rsid w:val="00B43DD1"/>
    <w:rsid w:val="00B71DE0"/>
    <w:rsid w:val="00B80DB4"/>
    <w:rsid w:val="00BD2206"/>
    <w:rsid w:val="00BE5AA5"/>
    <w:rsid w:val="00C32BB1"/>
    <w:rsid w:val="00C57677"/>
    <w:rsid w:val="00C968BB"/>
    <w:rsid w:val="00CA15F5"/>
    <w:rsid w:val="00CA3406"/>
    <w:rsid w:val="00CA35E1"/>
    <w:rsid w:val="00CC3885"/>
    <w:rsid w:val="00CC3E19"/>
    <w:rsid w:val="00CD0D43"/>
    <w:rsid w:val="00CD4FB3"/>
    <w:rsid w:val="00CF5133"/>
    <w:rsid w:val="00D21B82"/>
    <w:rsid w:val="00D25EAA"/>
    <w:rsid w:val="00D41353"/>
    <w:rsid w:val="00D51DE7"/>
    <w:rsid w:val="00D52FA6"/>
    <w:rsid w:val="00D638BA"/>
    <w:rsid w:val="00D82791"/>
    <w:rsid w:val="00D84CA2"/>
    <w:rsid w:val="00DA0E26"/>
    <w:rsid w:val="00DA4424"/>
    <w:rsid w:val="00DF3D05"/>
    <w:rsid w:val="00E36B4D"/>
    <w:rsid w:val="00E54F9A"/>
    <w:rsid w:val="00E63701"/>
    <w:rsid w:val="00E6513E"/>
    <w:rsid w:val="00EA1FD9"/>
    <w:rsid w:val="00EB2822"/>
    <w:rsid w:val="00EE2B21"/>
    <w:rsid w:val="00EE6050"/>
    <w:rsid w:val="00F011FD"/>
    <w:rsid w:val="00F15982"/>
    <w:rsid w:val="00F275F4"/>
    <w:rsid w:val="00F32340"/>
    <w:rsid w:val="00F40A18"/>
    <w:rsid w:val="00F44EFC"/>
    <w:rsid w:val="00F676F6"/>
    <w:rsid w:val="00F92051"/>
    <w:rsid w:val="00FA5DC3"/>
    <w:rsid w:val="00FB5880"/>
    <w:rsid w:val="00FB6449"/>
    <w:rsid w:val="00FD2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C192"/>
  <w15:chartTrackingRefBased/>
  <w15:docId w15:val="{5EAAF3F0-D8BB-43D3-8BF9-AEAAFD3B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DB4"/>
    <w:rPr>
      <w:sz w:val="18"/>
      <w:lang w:val="en-AU"/>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 w:type="paragraph" w:styleId="Caption">
    <w:name w:val="caption"/>
    <w:basedOn w:val="Normal"/>
    <w:next w:val="Normal"/>
    <w:uiPriority w:val="35"/>
    <w:unhideWhenUsed/>
    <w:qFormat/>
    <w:rsid w:val="00F40A18"/>
    <w:pPr>
      <w:spacing w:line="240" w:lineRule="auto"/>
    </w:pPr>
    <w:rPr>
      <w:i/>
      <w:iCs/>
      <w:color w:val="1F497D" w:themeColor="text2"/>
      <w:szCs w:val="18"/>
    </w:rPr>
  </w:style>
  <w:style w:type="table" w:styleId="TableGrid">
    <w:name w:val="Table Grid"/>
    <w:basedOn w:val="TableNormal"/>
    <w:uiPriority w:val="39"/>
    <w:rsid w:val="00432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DE7"/>
    <w:rPr>
      <w:sz w:val="16"/>
      <w:szCs w:val="16"/>
    </w:rPr>
  </w:style>
  <w:style w:type="paragraph" w:styleId="CommentText">
    <w:name w:val="annotation text"/>
    <w:basedOn w:val="Normal"/>
    <w:link w:val="CommentTextChar"/>
    <w:uiPriority w:val="99"/>
    <w:unhideWhenUsed/>
    <w:rsid w:val="00D51DE7"/>
    <w:pPr>
      <w:spacing w:after="160" w:line="240" w:lineRule="auto"/>
    </w:pPr>
    <w:rPr>
      <w:sz w:val="20"/>
      <w:szCs w:val="20"/>
    </w:rPr>
  </w:style>
  <w:style w:type="character" w:customStyle="1" w:styleId="CommentTextChar">
    <w:name w:val="Comment Text Char"/>
    <w:basedOn w:val="DefaultParagraphFont"/>
    <w:link w:val="CommentText"/>
    <w:uiPriority w:val="99"/>
    <w:rsid w:val="00D51DE7"/>
    <w:rPr>
      <w:sz w:val="20"/>
      <w:szCs w:val="20"/>
      <w:lang w:val="en-AU"/>
    </w:rPr>
  </w:style>
  <w:style w:type="paragraph" w:styleId="BalloonText">
    <w:name w:val="Balloon Text"/>
    <w:basedOn w:val="Normal"/>
    <w:link w:val="BalloonTextChar"/>
    <w:uiPriority w:val="99"/>
    <w:semiHidden/>
    <w:unhideWhenUsed/>
    <w:rsid w:val="0064277E"/>
    <w:pPr>
      <w:spacing w:after="0"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64277E"/>
    <w:rPr>
      <w:rFonts w:ascii="Times New Roman" w:hAnsi="Times New Roman" w:cs="Times New Roman"/>
      <w:sz w:val="18"/>
      <w:szCs w:val="18"/>
      <w:lang w:val="en-AU"/>
    </w:rPr>
  </w:style>
  <w:style w:type="paragraph" w:styleId="CommentSubject">
    <w:name w:val="annotation subject"/>
    <w:basedOn w:val="CommentText"/>
    <w:next w:val="CommentText"/>
    <w:link w:val="CommentSubjectChar"/>
    <w:uiPriority w:val="99"/>
    <w:semiHidden/>
    <w:unhideWhenUsed/>
    <w:rsid w:val="0064277E"/>
    <w:pPr>
      <w:spacing w:after="200"/>
    </w:pPr>
    <w:rPr>
      <w:b/>
      <w:bCs/>
    </w:rPr>
  </w:style>
  <w:style w:type="character" w:customStyle="1" w:styleId="CommentSubjectChar">
    <w:name w:val="Comment Subject Char"/>
    <w:basedOn w:val="CommentTextChar"/>
    <w:link w:val="CommentSubject"/>
    <w:uiPriority w:val="99"/>
    <w:semiHidden/>
    <w:rsid w:val="0064277E"/>
    <w:rPr>
      <w:b/>
      <w:bCs/>
      <w:sz w:val="20"/>
      <w:szCs w:val="20"/>
      <w:lang w:val="en-AU"/>
    </w:rPr>
  </w:style>
  <w:style w:type="paragraph" w:styleId="Revision">
    <w:name w:val="Revision"/>
    <w:hidden/>
    <w:uiPriority w:val="99"/>
    <w:semiHidden/>
    <w:rsid w:val="002D422A"/>
    <w:pPr>
      <w:spacing w:after="0" w:line="240" w:lineRule="auto"/>
    </w:pPr>
    <w:rPr>
      <w:sz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2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Scown, M.W. (Murray)</dc:creator>
  <cp:keywords/>
  <dc:description/>
  <cp:lastModifiedBy>Murray Scown</cp:lastModifiedBy>
  <cp:revision>7</cp:revision>
  <dcterms:created xsi:type="dcterms:W3CDTF">2023-05-15T13:10:00Z</dcterms:created>
  <dcterms:modified xsi:type="dcterms:W3CDTF">2023-05-15T13:15:00Z</dcterms:modified>
</cp:coreProperties>
</file>