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4D2F5D" w14:textId="77777777" w:rsidR="00B178E7" w:rsidRDefault="00B178E7" w:rsidP="00B178E7">
      <w:pPr>
        <w:pStyle w:val="NormalWeb"/>
        <w:spacing w:before="0" w:beforeAutospacing="0" w:after="0" w:afterAutospacing="0" w:line="480" w:lineRule="auto"/>
        <w:jc w:val="both"/>
        <w:rPr>
          <w:rFonts w:ascii="Arial" w:eastAsia="MS PGothic" w:hAnsi="Arial" w:cs="Arial"/>
          <w:color w:val="000000"/>
          <w:kern w:val="24"/>
          <w:sz w:val="21"/>
          <w:szCs w:val="21"/>
        </w:rPr>
      </w:pPr>
      <w:r>
        <w:rPr>
          <w:rFonts w:ascii="Arial" w:eastAsia="MS PGothic" w:hAnsi="Arial" w:cs="Arial"/>
          <w:b/>
          <w:bCs/>
          <w:color w:val="000000"/>
          <w:kern w:val="24"/>
          <w:sz w:val="21"/>
          <w:szCs w:val="21"/>
        </w:rPr>
        <w:t xml:space="preserve">Table 1 Drexel IMPACC Cohort. </w:t>
      </w:r>
      <w:r>
        <w:rPr>
          <w:rFonts w:ascii="Arial" w:eastAsia="MS PGothic" w:hAnsi="Arial" w:cs="Arial"/>
          <w:color w:val="000000"/>
          <w:kern w:val="24"/>
          <w:sz w:val="21"/>
          <w:szCs w:val="21"/>
        </w:rPr>
        <w:t>Hospitalized COVID-19 patient plasma cohorts are sorted into trajectories 1-5 based on symptom severity assessed by the IMPACC study definition with demographic and clinical parameters.</w:t>
      </w:r>
    </w:p>
    <w:p w14:paraId="301ED3B6" w14:textId="77777777" w:rsidR="00B178E7" w:rsidRDefault="00B178E7" w:rsidP="00B178E7">
      <w:pPr>
        <w:pStyle w:val="NormalWeb"/>
        <w:spacing w:before="0" w:beforeAutospacing="0" w:after="0" w:afterAutospacing="0"/>
        <w:jc w:val="both"/>
        <w:rPr>
          <w:rFonts w:cs="Arial"/>
          <w:b/>
          <w:bCs/>
          <w:szCs w:val="22"/>
        </w:rPr>
      </w:pPr>
      <w:r w:rsidRPr="00212066">
        <w:rPr>
          <w:rFonts w:cs="Arial"/>
          <w:b/>
          <w:bCs/>
          <w:noProof/>
          <w:szCs w:val="22"/>
        </w:rPr>
        <w:drawing>
          <wp:inline distT="0" distB="0" distL="0" distR="0" wp14:anchorId="328B4299" wp14:editId="2386B06A">
            <wp:extent cx="5943600" cy="67748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7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77877" w14:textId="5E4444AE" w:rsidR="002F0F5E" w:rsidRPr="00B178E7" w:rsidRDefault="00B178E7" w:rsidP="00B178E7">
      <w:pPr>
        <w:jc w:val="left"/>
        <w:rPr>
          <w:rFonts w:ascii="Times New Roman" w:eastAsia="Times New Roman" w:hAnsi="Times New Roman" w:cs="Arial"/>
          <w:b/>
          <w:bCs/>
          <w:sz w:val="24"/>
          <w:szCs w:val="22"/>
        </w:rPr>
      </w:pPr>
    </w:p>
    <w:sectPr w:rsidR="002F0F5E" w:rsidRPr="00B178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8E7"/>
    <w:rsid w:val="0021090F"/>
    <w:rsid w:val="003A76DF"/>
    <w:rsid w:val="00B178E7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7206E"/>
  <w15:chartTrackingRefBased/>
  <w15:docId w15:val="{5C641F15-1EAD-4746-9350-3D6D3CFED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78E7"/>
    <w:pPr>
      <w:spacing w:after="0" w:line="240" w:lineRule="auto"/>
      <w:jc w:val="both"/>
    </w:pPr>
    <w:rPr>
      <w:rFonts w:ascii="Arial" w:hAnsi="Arial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178E7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>Springer Nature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2023-06-02T06:33:00Z</dcterms:created>
  <dcterms:modified xsi:type="dcterms:W3CDTF">2023-06-02T06:34:00Z</dcterms:modified>
</cp:coreProperties>
</file>