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A6392" w14:textId="77777777" w:rsidR="00D95B3F" w:rsidRDefault="00F34F8B">
      <w:pPr>
        <w:widowControl/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  <w:t xml:space="preserve">Supplemental Information – Table of Contents </w:t>
      </w:r>
    </w:p>
    <w:p w14:paraId="643A9AF3" w14:textId="77777777" w:rsidR="00D95B3F" w:rsidRDefault="00F34F8B">
      <w:pPr>
        <w:widowControl/>
        <w:numPr>
          <w:ilvl w:val="0"/>
          <w:numId w:val="1"/>
        </w:numPr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Supplemental Tables </w:t>
      </w:r>
    </w:p>
    <w:p w14:paraId="37573DFC" w14:textId="77777777" w:rsidR="00D95B3F" w:rsidRDefault="00D95B3F">
      <w:pPr>
        <w:widowControl/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8F1C0FE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Table S1, related to Figure 3: Summary of different thermal assays with control and ablated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Split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TauDTR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mice.</w:t>
      </w:r>
    </w:p>
    <w:p w14:paraId="5D859EF2" w14:textId="77777777" w:rsidR="00D95B3F" w:rsidRDefault="00F34F8B">
      <w:pPr>
        <w:widowControl/>
        <w:spacing w:line="480" w:lineRule="auto"/>
        <w:ind w:firstLine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</w:t>
      </w:r>
    </w:p>
    <w:p w14:paraId="6A2F9F79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Table S2, related to Figure 4: Summary of peripheral light-evoked behavioral responses of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Split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ReaChR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mice.</w:t>
      </w:r>
    </w:p>
    <w:p w14:paraId="4005E4EF" w14:textId="77777777" w:rsidR="00D95B3F" w:rsidRDefault="00D95B3F">
      <w:pPr>
        <w:widowControl/>
        <w:spacing w:line="480" w:lineRule="auto"/>
        <w:ind w:firstLine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3D2C87F4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Table S3, related to Figure 6: Summary of spinal light-evoked spontaneous behavioral responses of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Split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ReaChR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mice. </w:t>
      </w:r>
    </w:p>
    <w:p w14:paraId="70688164" w14:textId="77777777" w:rsidR="00D95B3F" w:rsidRDefault="00D95B3F">
      <w:pPr>
        <w:widowControl/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7438CCCA" w14:textId="77777777" w:rsidR="00D95B3F" w:rsidRDefault="00F34F8B">
      <w:pPr>
        <w:widowControl/>
        <w:numPr>
          <w:ilvl w:val="0"/>
          <w:numId w:val="1"/>
        </w:numPr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Supplemental Figures </w:t>
      </w:r>
    </w:p>
    <w:p w14:paraId="42155E23" w14:textId="77777777" w:rsidR="00D95B3F" w:rsidRDefault="00D95B3F">
      <w:pPr>
        <w:widowControl/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48C94F30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S1, related to Figure 1: Histological characterizations of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Split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ReaChR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mice.</w:t>
      </w:r>
    </w:p>
    <w:p w14:paraId="6DEFC28C" w14:textId="77777777" w:rsidR="00D95B3F" w:rsidRDefault="00D95B3F">
      <w:pPr>
        <w:widowControl/>
        <w:spacing w:line="480" w:lineRule="auto"/>
        <w:ind w:firstLine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2075418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S2, related to Figure 2: Histological characterization of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Split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TauDTR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mice. </w:t>
      </w:r>
    </w:p>
    <w:p w14:paraId="0E31F177" w14:textId="77777777" w:rsidR="00D95B3F" w:rsidRDefault="00D95B3F">
      <w:pPr>
        <w:widowControl/>
        <w:spacing w:line="480" w:lineRule="auto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D09266B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S3, related to Figure 3: Ablation of </w:t>
      </w:r>
      <w:proofErr w:type="spellStart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Split</w:t>
      </w:r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-A</w:t>
      </w:r>
      <w:r>
        <w:rPr>
          <w:rFonts w:ascii="Arial Regular" w:eastAsia="SimSun" w:hAnsi="Arial Regular" w:cs="Arial Regular"/>
          <w:iCs/>
          <w:color w:val="000000"/>
          <w:kern w:val="0"/>
          <w:sz w:val="24"/>
          <w:lang w:bidi="ar"/>
        </w:rPr>
        <w:t>β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-LTMRs did not alter general locomotion and thermal sensation. </w:t>
      </w:r>
    </w:p>
    <w:p w14:paraId="53139596" w14:textId="77777777" w:rsidR="00D95B3F" w:rsidRDefault="00D95B3F">
      <w:pPr>
        <w:widowControl/>
        <w:spacing w:line="480" w:lineRule="auto"/>
        <w:ind w:firstLine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315E769B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S4, related to Figure 3: Ablation of </w:t>
      </w:r>
      <w:proofErr w:type="spellStart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Split</w:t>
      </w:r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-A</w:t>
      </w:r>
      <w:r>
        <w:rPr>
          <w:rFonts w:ascii="Arial Regular" w:eastAsia="SimSun" w:hAnsi="Arial Regular" w:cs="Arial Regular"/>
          <w:iCs/>
          <w:color w:val="000000"/>
          <w:kern w:val="0"/>
          <w:sz w:val="24"/>
          <w:lang w:bidi="ar"/>
        </w:rPr>
        <w:t>β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-LTMRs altered the gentle touch and nociception in the hairy skin. </w:t>
      </w:r>
    </w:p>
    <w:p w14:paraId="0FF8ED5B" w14:textId="77777777" w:rsidR="00D95B3F" w:rsidRDefault="00D95B3F">
      <w:pPr>
        <w:widowControl/>
        <w:spacing w:line="480" w:lineRule="auto"/>
        <w:ind w:firstLine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5BB675C1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S5, related to Figure 4: Local optogenetic activation of </w:t>
      </w:r>
      <w:proofErr w:type="spellStart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Split</w:t>
      </w:r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-A</w:t>
      </w:r>
      <w:r>
        <w:rPr>
          <w:rFonts w:ascii="Arial Regular" w:eastAsia="SimSun" w:hAnsi="Arial Regular" w:cs="Arial Regular"/>
          <w:iCs/>
          <w:color w:val="000000"/>
          <w:kern w:val="0"/>
          <w:sz w:val="24"/>
          <w:lang w:bidi="ar"/>
        </w:rPr>
        <w:t>β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-LTMRs at different skin areas, and CFA-induced inflammation altered the GFP</w:t>
      </w:r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+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fiber innervation in plantar skin.</w:t>
      </w:r>
    </w:p>
    <w:p w14:paraId="01D041B6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D75995E" w14:textId="77777777" w:rsidR="00D95B3F" w:rsidRDefault="00F34F8B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Figure S6, related to Figure 6: Dorsal column activation of </w:t>
      </w:r>
      <w:proofErr w:type="spellStart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Split</w:t>
      </w:r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Cre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- </w:t>
      </w:r>
      <w:proofErr w:type="spellStart"/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>ReaChR</w:t>
      </w:r>
      <w:proofErr w:type="spellEnd"/>
      <w:r>
        <w:rPr>
          <w:rFonts w:ascii="Arial Regular" w:eastAsia="SimSun" w:hAnsi="Arial Regular" w:cs="Arial Regular"/>
          <w:color w:val="000000"/>
          <w:kern w:val="0"/>
          <w:sz w:val="24"/>
          <w:vertAlign w:val="superscript"/>
          <w:lang w:bidi="ar"/>
        </w:rPr>
        <w:t>+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 A</w:t>
      </w:r>
      <w:r>
        <w:rPr>
          <w:rFonts w:ascii="Arial Regular" w:eastAsia="SimSun" w:hAnsi="Arial Regular" w:cs="Arial Regular"/>
          <w:iCs/>
          <w:color w:val="000000"/>
          <w:kern w:val="0"/>
          <w:sz w:val="24"/>
          <w:lang w:bidi="ar"/>
        </w:rPr>
        <w:t>β</w:t>
      </w:r>
      <w:r>
        <w:rPr>
          <w:rFonts w:ascii="Arial Regular" w:eastAsia="SimSun" w:hAnsi="Arial Regular" w:cs="Arial Regular"/>
          <w:color w:val="000000"/>
          <w:kern w:val="0"/>
          <w:sz w:val="24"/>
          <w:lang w:bidi="ar"/>
        </w:rPr>
        <w:t xml:space="preserve">-LTMRs evoked spinal cord dorsal horn neurons. </w:t>
      </w:r>
    </w:p>
    <w:p w14:paraId="1389721C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1AEB672D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53E1FC5E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1F9B85E1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C6BD983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40844916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DF4AA4F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1E365FF5" w14:textId="77777777" w:rsidR="00D95B3F" w:rsidRDefault="00D95B3F">
      <w:pPr>
        <w:widowControl/>
        <w:spacing w:line="480" w:lineRule="auto"/>
        <w:ind w:leftChars="200" w:left="420"/>
        <w:rPr>
          <w:rFonts w:ascii="Arial Regular" w:eastAsia="SimSun" w:hAnsi="Arial Regular" w:cs="Arial Regular" w:hint="eastAsia"/>
          <w:color w:val="000000"/>
          <w:kern w:val="0"/>
          <w:sz w:val="24"/>
          <w:lang w:bidi="ar"/>
        </w:rPr>
      </w:pPr>
    </w:p>
    <w:p w14:paraId="270C09E1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3E3C858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4899603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4D4CB3DA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29C85F8" w14:textId="77777777" w:rsidR="00D95B3F" w:rsidRDefault="00F34F8B">
      <w:pPr>
        <w:widowControl/>
        <w:numPr>
          <w:ilvl w:val="0"/>
          <w:numId w:val="2"/>
        </w:numPr>
        <w:jc w:val="left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  <w:r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  <w:lastRenderedPageBreak/>
        <w:t>Supplemental Tables</w:t>
      </w:r>
    </w:p>
    <w:p w14:paraId="19CC316B" w14:textId="77777777" w:rsidR="00D95B3F" w:rsidRDefault="00D95B3F">
      <w:pPr>
        <w:widowControl/>
        <w:jc w:val="left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</w:p>
    <w:p w14:paraId="4990A3CC" w14:textId="77777777" w:rsidR="00D95B3F" w:rsidRDefault="00D95B3F">
      <w:pPr>
        <w:rPr>
          <w:rFonts w:ascii="Arial Regular" w:hAnsi="Arial Regular" w:cs="Arial Regular" w:hint="eastAsia"/>
          <w:sz w:val="24"/>
        </w:rPr>
      </w:pPr>
    </w:p>
    <w:p w14:paraId="4CE89F5A" w14:textId="77777777" w:rsidR="00D95B3F" w:rsidRDefault="00F34F8B">
      <w:pPr>
        <w:widowControl/>
        <w:spacing w:line="480" w:lineRule="auto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  <w:r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  <w:t xml:space="preserve">Table S1. Summary of different thermal assays in </w:t>
      </w:r>
      <w:proofErr w:type="spellStart"/>
      <w:r>
        <w:rPr>
          <w:rFonts w:ascii="Arial Bold Italic" w:hAnsi="Arial Bold Italic" w:cs="Arial Bold Italic"/>
          <w:b/>
          <w:i/>
          <w:iCs/>
          <w:sz w:val="24"/>
        </w:rPr>
        <w:t>Split</w:t>
      </w:r>
      <w:r>
        <w:rPr>
          <w:rFonts w:ascii="Arial Bold Italic" w:hAnsi="Arial Bold Italic" w:cs="Arial Bold Italic"/>
          <w:b/>
          <w:i/>
          <w:iCs/>
          <w:sz w:val="24"/>
          <w:vertAlign w:val="superscript"/>
        </w:rPr>
        <w:t>Cre</w:t>
      </w:r>
      <w:proofErr w:type="spellEnd"/>
      <w:r>
        <w:rPr>
          <w:rFonts w:ascii="Arial Bold Italic" w:hAnsi="Arial Bold Italic" w:cs="Arial Bold Italic"/>
          <w:b/>
          <w:i/>
          <w:iCs/>
          <w:sz w:val="24"/>
        </w:rPr>
        <w:t>-Aβ</w:t>
      </w:r>
      <w:r>
        <w:rPr>
          <w:rFonts w:ascii="Arial Regular" w:eastAsia="TimesNewRomanPS-BoldItalicMT" w:hAnsi="Arial Regular" w:cs="Arial Regular"/>
          <w:b/>
          <w:bCs/>
          <w:i/>
          <w:iCs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Arial Regular" w:eastAsia="TimesNewRomanPS-BoldItalicMT" w:hAnsi="Arial Regular" w:cs="Arial Regular"/>
          <w:b/>
          <w:bCs/>
          <w:i/>
          <w:iCs/>
          <w:color w:val="000000"/>
          <w:kern w:val="0"/>
          <w:sz w:val="24"/>
          <w:lang w:bidi="ar"/>
        </w:rPr>
        <w:t>TauDTR</w:t>
      </w:r>
      <w:proofErr w:type="spellEnd"/>
      <w:r>
        <w:rPr>
          <w:rFonts w:ascii="Arial Regular" w:eastAsia="TimesNewRomanPS-BoldItalicMT" w:hAnsi="Arial Regular" w:cs="Arial Regular"/>
          <w:b/>
          <w:bCs/>
          <w:i/>
          <w:iCs/>
          <w:color w:val="000000"/>
          <w:kern w:val="0"/>
          <w:sz w:val="24"/>
          <w:lang w:bidi="ar"/>
        </w:rPr>
        <w:t xml:space="preserve"> </w:t>
      </w:r>
      <w:r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  <w:t>mice, related to Figure 3.</w:t>
      </w:r>
    </w:p>
    <w:p w14:paraId="13361C29" w14:textId="77777777" w:rsidR="00D95B3F" w:rsidRDefault="00D95B3F">
      <w:pPr>
        <w:widowControl/>
        <w:jc w:val="left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</w:p>
    <w:p w14:paraId="1DE309EB" w14:textId="77777777" w:rsidR="00D95B3F" w:rsidRDefault="00D95B3F">
      <w:pPr>
        <w:widowControl/>
        <w:jc w:val="center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</w:p>
    <w:tbl>
      <w:tblPr>
        <w:tblStyle w:val="TableGrid"/>
        <w:tblpPr w:leftFromText="180" w:rightFromText="180" w:vertAnchor="text" w:horzAnchor="page" w:tblpX="1618" w:tblpY="278"/>
        <w:tblOverlap w:val="never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D95B3F" w14:paraId="6588BA5F" w14:textId="77777777">
        <w:tc>
          <w:tcPr>
            <w:tcW w:w="8522" w:type="dxa"/>
            <w:gridSpan w:val="4"/>
          </w:tcPr>
          <w:p w14:paraId="2A00389D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 xml:space="preserve">Hargreaves </w:t>
            </w:r>
          </w:p>
        </w:tc>
      </w:tr>
      <w:tr w:rsidR="00D95B3F" w14:paraId="44DE1C08" w14:textId="77777777">
        <w:tc>
          <w:tcPr>
            <w:tcW w:w="2130" w:type="dxa"/>
          </w:tcPr>
          <w:p w14:paraId="4962B876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Vehicle</w:t>
            </w:r>
          </w:p>
        </w:tc>
        <w:tc>
          <w:tcPr>
            <w:tcW w:w="6392" w:type="dxa"/>
            <w:gridSpan w:val="3"/>
          </w:tcPr>
          <w:p w14:paraId="6B4B5A8F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  <w:t xml:space="preserve">9.89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±</w:t>
            </w:r>
            <w:r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  <w:t xml:space="preserve"> 0.47 s</w:t>
            </w:r>
          </w:p>
        </w:tc>
      </w:tr>
      <w:tr w:rsidR="00D95B3F" w14:paraId="56621935" w14:textId="77777777">
        <w:tc>
          <w:tcPr>
            <w:tcW w:w="2130" w:type="dxa"/>
          </w:tcPr>
          <w:p w14:paraId="17E630F5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DTA</w:t>
            </w:r>
          </w:p>
        </w:tc>
        <w:tc>
          <w:tcPr>
            <w:tcW w:w="6392" w:type="dxa"/>
            <w:gridSpan w:val="3"/>
          </w:tcPr>
          <w:p w14:paraId="74F0D681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  <w:t xml:space="preserve">10.29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± </w:t>
            </w:r>
            <w:r>
              <w:rPr>
                <w:rFonts w:ascii="Arial Regular" w:eastAsia="TimesNewRomanPS-BoldMT" w:hAnsi="Arial Regular" w:cs="Arial Regular"/>
                <w:color w:val="000000"/>
                <w:kern w:val="0"/>
                <w:sz w:val="24"/>
                <w:lang w:bidi="ar"/>
              </w:rPr>
              <w:t>0.75 s</w:t>
            </w:r>
          </w:p>
        </w:tc>
      </w:tr>
      <w:tr w:rsidR="00D95B3F" w14:paraId="7228DD20" w14:textId="77777777">
        <w:tc>
          <w:tcPr>
            <w:tcW w:w="8522" w:type="dxa"/>
            <w:gridSpan w:val="4"/>
          </w:tcPr>
          <w:p w14:paraId="0C6DFA52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Dry-ice</w:t>
            </w:r>
          </w:p>
        </w:tc>
      </w:tr>
      <w:tr w:rsidR="00D95B3F" w14:paraId="5A1B3D4F" w14:textId="77777777">
        <w:tc>
          <w:tcPr>
            <w:tcW w:w="2130" w:type="dxa"/>
          </w:tcPr>
          <w:p w14:paraId="24B7FD74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Vehicle</w:t>
            </w:r>
          </w:p>
        </w:tc>
        <w:tc>
          <w:tcPr>
            <w:tcW w:w="6392" w:type="dxa"/>
            <w:gridSpan w:val="3"/>
          </w:tcPr>
          <w:p w14:paraId="4183031D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2.77 ± 0.05 s</w:t>
            </w:r>
          </w:p>
        </w:tc>
      </w:tr>
      <w:tr w:rsidR="00D95B3F" w14:paraId="512A39D4" w14:textId="77777777">
        <w:tc>
          <w:tcPr>
            <w:tcW w:w="2130" w:type="dxa"/>
          </w:tcPr>
          <w:p w14:paraId="620BEE5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DTA</w:t>
            </w:r>
          </w:p>
        </w:tc>
        <w:tc>
          <w:tcPr>
            <w:tcW w:w="6392" w:type="dxa"/>
            <w:gridSpan w:val="3"/>
          </w:tcPr>
          <w:p w14:paraId="7EC470D9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2.65 ± 0.08 s</w:t>
            </w:r>
          </w:p>
        </w:tc>
      </w:tr>
      <w:tr w:rsidR="00D95B3F" w14:paraId="09742ED1" w14:textId="77777777">
        <w:tc>
          <w:tcPr>
            <w:tcW w:w="8522" w:type="dxa"/>
            <w:gridSpan w:val="4"/>
          </w:tcPr>
          <w:p w14:paraId="5BF963BD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Dynamic hotplate</w:t>
            </w:r>
          </w:p>
        </w:tc>
      </w:tr>
      <w:tr w:rsidR="00D95B3F" w14:paraId="75B13BB7" w14:textId="77777777">
        <w:tc>
          <w:tcPr>
            <w:tcW w:w="2130" w:type="dxa"/>
          </w:tcPr>
          <w:p w14:paraId="4934C3A5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Vehicle</w:t>
            </w:r>
          </w:p>
        </w:tc>
        <w:tc>
          <w:tcPr>
            <w:tcW w:w="6392" w:type="dxa"/>
            <w:gridSpan w:val="3"/>
          </w:tcPr>
          <w:p w14:paraId="084261D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49.4 ± 0.24</w:t>
            </w:r>
            <w:r>
              <w:rPr>
                <w:rFonts w:ascii="SimSun" w:eastAsia="SimSun" w:hAnsi="SimSun" w:cs="SimSun" w:hint="eastAsia"/>
                <w:color w:val="000000" w:themeColor="text1"/>
                <w:sz w:val="24"/>
              </w:rPr>
              <w:t>℃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 </w:t>
            </w:r>
          </w:p>
        </w:tc>
      </w:tr>
      <w:tr w:rsidR="00D95B3F" w14:paraId="7FC596CE" w14:textId="77777777">
        <w:tc>
          <w:tcPr>
            <w:tcW w:w="2130" w:type="dxa"/>
          </w:tcPr>
          <w:p w14:paraId="2B4CD2EB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DTA</w:t>
            </w:r>
          </w:p>
        </w:tc>
        <w:tc>
          <w:tcPr>
            <w:tcW w:w="6392" w:type="dxa"/>
            <w:gridSpan w:val="3"/>
          </w:tcPr>
          <w:p w14:paraId="3D444987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49.73 ± 0.30</w:t>
            </w:r>
            <w:r>
              <w:rPr>
                <w:rFonts w:ascii="SimSun" w:eastAsia="SimSun" w:hAnsi="SimSun" w:cs="SimSun" w:hint="eastAsia"/>
                <w:color w:val="000000" w:themeColor="text1"/>
                <w:sz w:val="24"/>
              </w:rPr>
              <w:t>℃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 </w:t>
            </w:r>
          </w:p>
        </w:tc>
      </w:tr>
      <w:tr w:rsidR="00D95B3F" w14:paraId="1AED43E1" w14:textId="77777777">
        <w:tc>
          <w:tcPr>
            <w:tcW w:w="8522" w:type="dxa"/>
            <w:gridSpan w:val="4"/>
          </w:tcPr>
          <w:p w14:paraId="5A376A13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Static hotplate</w:t>
            </w:r>
          </w:p>
        </w:tc>
      </w:tr>
      <w:tr w:rsidR="00D95B3F" w14:paraId="35861C01" w14:textId="77777777">
        <w:tc>
          <w:tcPr>
            <w:tcW w:w="2130" w:type="dxa"/>
          </w:tcPr>
          <w:p w14:paraId="1B51D493" w14:textId="77777777" w:rsidR="00D95B3F" w:rsidRDefault="00D95B3F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30" w:type="dxa"/>
          </w:tcPr>
          <w:p w14:paraId="2D54C9F8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Flick</w:t>
            </w:r>
          </w:p>
        </w:tc>
        <w:tc>
          <w:tcPr>
            <w:tcW w:w="2131" w:type="dxa"/>
          </w:tcPr>
          <w:p w14:paraId="28D4FC46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Lick</w:t>
            </w:r>
          </w:p>
        </w:tc>
        <w:tc>
          <w:tcPr>
            <w:tcW w:w="2131" w:type="dxa"/>
          </w:tcPr>
          <w:p w14:paraId="0DDEC05B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Jump</w:t>
            </w:r>
          </w:p>
        </w:tc>
      </w:tr>
      <w:tr w:rsidR="00D95B3F" w14:paraId="7EDF55C9" w14:textId="77777777">
        <w:tc>
          <w:tcPr>
            <w:tcW w:w="2130" w:type="dxa"/>
          </w:tcPr>
          <w:p w14:paraId="74ED2DFF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Vehicle</w:t>
            </w:r>
          </w:p>
        </w:tc>
        <w:tc>
          <w:tcPr>
            <w:tcW w:w="2130" w:type="dxa"/>
          </w:tcPr>
          <w:p w14:paraId="4A0A9575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10.33 ± 0.81 s</w:t>
            </w:r>
          </w:p>
        </w:tc>
        <w:tc>
          <w:tcPr>
            <w:tcW w:w="2131" w:type="dxa"/>
          </w:tcPr>
          <w:p w14:paraId="1314933B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22.01 ± 2.23 s</w:t>
            </w:r>
          </w:p>
        </w:tc>
        <w:tc>
          <w:tcPr>
            <w:tcW w:w="2131" w:type="dxa"/>
          </w:tcPr>
          <w:p w14:paraId="1760FD3A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29.33 ± 0.58 s</w:t>
            </w:r>
          </w:p>
        </w:tc>
      </w:tr>
      <w:tr w:rsidR="00D95B3F" w14:paraId="2C224F53" w14:textId="77777777">
        <w:tc>
          <w:tcPr>
            <w:tcW w:w="2130" w:type="dxa"/>
          </w:tcPr>
          <w:p w14:paraId="58EAF74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DTA</w:t>
            </w:r>
          </w:p>
        </w:tc>
        <w:tc>
          <w:tcPr>
            <w:tcW w:w="2130" w:type="dxa"/>
          </w:tcPr>
          <w:p w14:paraId="491E4BC5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9.79 ± 0.77 s</w:t>
            </w:r>
          </w:p>
        </w:tc>
        <w:tc>
          <w:tcPr>
            <w:tcW w:w="2131" w:type="dxa"/>
          </w:tcPr>
          <w:p w14:paraId="2A4D95A4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21.34 ± 2.47 s</w:t>
            </w:r>
          </w:p>
        </w:tc>
        <w:tc>
          <w:tcPr>
            <w:tcW w:w="2131" w:type="dxa"/>
          </w:tcPr>
          <w:p w14:paraId="7D727C95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29.83 ± 0.17 s</w:t>
            </w:r>
          </w:p>
        </w:tc>
      </w:tr>
      <w:tr w:rsidR="00D95B3F" w14:paraId="1DEC0B6F" w14:textId="77777777">
        <w:tc>
          <w:tcPr>
            <w:tcW w:w="8522" w:type="dxa"/>
            <w:gridSpan w:val="4"/>
          </w:tcPr>
          <w:p w14:paraId="3B49EBE9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Tail-immersion</w:t>
            </w:r>
          </w:p>
        </w:tc>
      </w:tr>
      <w:tr w:rsidR="00D95B3F" w14:paraId="4D15F9D5" w14:textId="77777777">
        <w:tc>
          <w:tcPr>
            <w:tcW w:w="2130" w:type="dxa"/>
          </w:tcPr>
          <w:p w14:paraId="037F673D" w14:textId="77777777" w:rsidR="00D95B3F" w:rsidRDefault="00D95B3F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30" w:type="dxa"/>
          </w:tcPr>
          <w:p w14:paraId="49A82E54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48</w:t>
            </w:r>
            <w:r>
              <w:rPr>
                <w:rFonts w:ascii="Arial Regular" w:eastAsia="SimSun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℃</w:t>
            </w:r>
          </w:p>
        </w:tc>
        <w:tc>
          <w:tcPr>
            <w:tcW w:w="2131" w:type="dxa"/>
          </w:tcPr>
          <w:p w14:paraId="54063BEF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50</w:t>
            </w:r>
            <w:r>
              <w:rPr>
                <w:rFonts w:ascii="Arial Regular" w:eastAsia="SimSun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℃</w:t>
            </w:r>
          </w:p>
        </w:tc>
        <w:tc>
          <w:tcPr>
            <w:tcW w:w="2131" w:type="dxa"/>
          </w:tcPr>
          <w:p w14:paraId="0E361D7D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55</w:t>
            </w:r>
            <w:r>
              <w:rPr>
                <w:rFonts w:ascii="Arial Regular" w:eastAsia="SimSun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℃</w:t>
            </w:r>
          </w:p>
        </w:tc>
      </w:tr>
      <w:tr w:rsidR="00D95B3F" w14:paraId="5669F1B9" w14:textId="77777777">
        <w:tc>
          <w:tcPr>
            <w:tcW w:w="2130" w:type="dxa"/>
          </w:tcPr>
          <w:p w14:paraId="5F1E4DC6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Vehicle</w:t>
            </w:r>
          </w:p>
        </w:tc>
        <w:tc>
          <w:tcPr>
            <w:tcW w:w="2130" w:type="dxa"/>
          </w:tcPr>
          <w:p w14:paraId="289A8643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1.91 ± 0.07 s</w:t>
            </w:r>
          </w:p>
        </w:tc>
        <w:tc>
          <w:tcPr>
            <w:tcW w:w="2131" w:type="dxa"/>
          </w:tcPr>
          <w:p w14:paraId="4B1D904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1.26 ± 0.03 s</w:t>
            </w:r>
          </w:p>
        </w:tc>
        <w:tc>
          <w:tcPr>
            <w:tcW w:w="2131" w:type="dxa"/>
          </w:tcPr>
          <w:p w14:paraId="4835E39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0.71 ± 0.02 s</w:t>
            </w:r>
          </w:p>
        </w:tc>
      </w:tr>
      <w:tr w:rsidR="00D95B3F" w14:paraId="43F17A1A" w14:textId="77777777">
        <w:tc>
          <w:tcPr>
            <w:tcW w:w="2130" w:type="dxa"/>
          </w:tcPr>
          <w:p w14:paraId="396B316E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  <w:t>DTA</w:t>
            </w:r>
          </w:p>
        </w:tc>
        <w:tc>
          <w:tcPr>
            <w:tcW w:w="2130" w:type="dxa"/>
          </w:tcPr>
          <w:p w14:paraId="60542007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1.83 ± 0.05 s</w:t>
            </w:r>
          </w:p>
        </w:tc>
        <w:tc>
          <w:tcPr>
            <w:tcW w:w="2131" w:type="dxa"/>
          </w:tcPr>
          <w:p w14:paraId="165D88EF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1.33 ± 0.04 s</w:t>
            </w:r>
          </w:p>
        </w:tc>
        <w:tc>
          <w:tcPr>
            <w:tcW w:w="2131" w:type="dxa"/>
          </w:tcPr>
          <w:p w14:paraId="1D5AEAE1" w14:textId="77777777" w:rsidR="00D95B3F" w:rsidRDefault="00F34F8B">
            <w:pPr>
              <w:widowControl/>
              <w:jc w:val="center"/>
              <w:rPr>
                <w:rFonts w:ascii="Arial Regular" w:eastAsia="TimesNewRomanPS-BoldMT" w:hAnsi="Arial Regular" w:cs="Arial Regular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0.72 ± 0.02 s</w:t>
            </w:r>
          </w:p>
        </w:tc>
      </w:tr>
    </w:tbl>
    <w:p w14:paraId="21E61269" w14:textId="77777777" w:rsidR="00D95B3F" w:rsidRDefault="00D95B3F">
      <w:pPr>
        <w:widowControl/>
        <w:spacing w:line="480" w:lineRule="auto"/>
        <w:rPr>
          <w:rFonts w:ascii="Arial Regular" w:eastAsia="TimesNewRomanPS-BoldMT" w:hAnsi="Arial Regular" w:cs="Arial Regular"/>
          <w:b/>
          <w:bCs/>
          <w:color w:val="000000"/>
          <w:kern w:val="0"/>
          <w:sz w:val="24"/>
          <w:lang w:bidi="ar"/>
        </w:rPr>
      </w:pPr>
    </w:p>
    <w:p w14:paraId="125D0D41" w14:textId="77777777" w:rsidR="00D95B3F" w:rsidRDefault="00D95B3F">
      <w:pPr>
        <w:widowControl/>
        <w:jc w:val="left"/>
        <w:rPr>
          <w:rFonts w:ascii="TimesNewRomanPS-BoldMT" w:eastAsia="TimesNewRomanPS-BoldMT" w:hAnsi="TimesNewRomanPS-BoldMT" w:cs="TimesNewRomanPS-BoldMT"/>
          <w:b/>
          <w:bCs/>
          <w:color w:val="000000"/>
          <w:kern w:val="0"/>
          <w:sz w:val="22"/>
          <w:szCs w:val="22"/>
          <w:lang w:bidi="ar"/>
        </w:rPr>
      </w:pPr>
    </w:p>
    <w:p w14:paraId="16D2388E" w14:textId="77777777" w:rsidR="00D95B3F" w:rsidRDefault="00D95B3F"/>
    <w:p w14:paraId="19D04D12" w14:textId="77777777" w:rsidR="00D95B3F" w:rsidRDefault="00D95B3F"/>
    <w:p w14:paraId="672968D4" w14:textId="77777777" w:rsidR="00D95B3F" w:rsidRDefault="00D95B3F"/>
    <w:p w14:paraId="3AA77D2F" w14:textId="77777777" w:rsidR="00D95B3F" w:rsidRDefault="00D95B3F"/>
    <w:p w14:paraId="467A4AB1" w14:textId="77777777" w:rsidR="00D95B3F" w:rsidRDefault="00D95B3F"/>
    <w:p w14:paraId="5C90413D" w14:textId="77777777" w:rsidR="00D95B3F" w:rsidRDefault="00D95B3F"/>
    <w:p w14:paraId="2523B24E" w14:textId="77777777" w:rsidR="00D95B3F" w:rsidRDefault="00D95B3F"/>
    <w:p w14:paraId="657C1873" w14:textId="77777777" w:rsidR="00D95B3F" w:rsidRDefault="00D95B3F"/>
    <w:p w14:paraId="64C2E3DE" w14:textId="77777777" w:rsidR="00D95B3F" w:rsidRDefault="00D95B3F"/>
    <w:p w14:paraId="23ACB1AA" w14:textId="77777777" w:rsidR="00D95B3F" w:rsidRDefault="00D95B3F"/>
    <w:p w14:paraId="33287D75" w14:textId="77777777" w:rsidR="00D95B3F" w:rsidRDefault="00D95B3F"/>
    <w:p w14:paraId="3361BBE9" w14:textId="77777777" w:rsidR="00D95B3F" w:rsidRDefault="00D95B3F"/>
    <w:p w14:paraId="47729B48" w14:textId="77777777" w:rsidR="00D95B3F" w:rsidRDefault="00D95B3F"/>
    <w:p w14:paraId="12BBF77E" w14:textId="77777777" w:rsidR="00D95B3F" w:rsidRDefault="00D95B3F"/>
    <w:p w14:paraId="50126A8C" w14:textId="77777777" w:rsidR="00D95B3F" w:rsidRDefault="00F34F8B">
      <w:pPr>
        <w:rPr>
          <w:rFonts w:ascii="Arial Regular" w:hAnsi="Arial Regular" w:cs="Arial Regular" w:hint="eastAsia"/>
          <w:b/>
          <w:sz w:val="24"/>
        </w:rPr>
      </w:pPr>
      <w:r>
        <w:rPr>
          <w:rFonts w:ascii="Arial Regular" w:hAnsi="Arial Regular" w:cs="Arial Regular"/>
          <w:b/>
          <w:sz w:val="24"/>
        </w:rPr>
        <w:lastRenderedPageBreak/>
        <w:t xml:space="preserve">Table S2. Summary of peripheral light-evoked behavioral response in </w:t>
      </w:r>
      <w:proofErr w:type="spellStart"/>
      <w:r>
        <w:rPr>
          <w:rFonts w:ascii="Arial Bold Italic" w:hAnsi="Arial Bold Italic" w:cs="Arial Bold Italic"/>
          <w:b/>
          <w:i/>
          <w:iCs/>
          <w:sz w:val="24"/>
        </w:rPr>
        <w:t>Split</w:t>
      </w:r>
      <w:r>
        <w:rPr>
          <w:rFonts w:ascii="Arial Bold Italic" w:hAnsi="Arial Bold Italic" w:cs="Arial Bold Italic"/>
          <w:b/>
          <w:i/>
          <w:iCs/>
          <w:sz w:val="24"/>
          <w:vertAlign w:val="superscript"/>
        </w:rPr>
        <w:t>Cre</w:t>
      </w:r>
      <w:proofErr w:type="spellEnd"/>
      <w:r>
        <w:rPr>
          <w:rFonts w:ascii="Arial Bold Italic" w:hAnsi="Arial Bold Italic" w:cs="Arial Bold Italic"/>
          <w:b/>
          <w:i/>
          <w:iCs/>
          <w:sz w:val="24"/>
        </w:rPr>
        <w:t>-</w:t>
      </w:r>
      <w:r>
        <w:rPr>
          <w:rFonts w:ascii="Arial Bold Italic" w:hAnsi="Arial Bold Italic" w:cs="Arial Bold Italic"/>
          <w:b/>
          <w:sz w:val="24"/>
        </w:rPr>
        <w:t>Aβ</w:t>
      </w:r>
      <w:r>
        <w:rPr>
          <w:rFonts w:ascii="Arial Bold Italic" w:hAnsi="Arial Bold Italic" w:cs="Arial Bold Italic"/>
          <w:b/>
          <w:i/>
          <w:iCs/>
          <w:sz w:val="24"/>
        </w:rPr>
        <w:t xml:space="preserve"> </w:t>
      </w:r>
      <w:proofErr w:type="spellStart"/>
      <w:r>
        <w:rPr>
          <w:rFonts w:ascii="Arial Bold Italic" w:hAnsi="Arial Bold Italic" w:cs="Arial Bold Italic"/>
          <w:b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b/>
          <w:sz w:val="24"/>
        </w:rPr>
        <w:t xml:space="preserve"> mice, related to Figure 4.</w:t>
      </w:r>
    </w:p>
    <w:p w14:paraId="6D8E6B87" w14:textId="77777777" w:rsidR="00D95B3F" w:rsidRDefault="00D95B3F">
      <w:pPr>
        <w:rPr>
          <w:sz w:val="24"/>
        </w:rPr>
      </w:pPr>
    </w:p>
    <w:p w14:paraId="0BBFFEC0" w14:textId="77777777" w:rsidR="00D95B3F" w:rsidRDefault="00D95B3F">
      <w:pPr>
        <w:rPr>
          <w:sz w:val="24"/>
        </w:rPr>
      </w:pPr>
    </w:p>
    <w:tbl>
      <w:tblPr>
        <w:tblStyle w:val="TableGrid"/>
        <w:tblW w:w="8947" w:type="dxa"/>
        <w:tblLook w:val="04A0" w:firstRow="1" w:lastRow="0" w:firstColumn="1" w:lastColumn="0" w:noHBand="0" w:noVBand="1"/>
      </w:tblPr>
      <w:tblGrid>
        <w:gridCol w:w="1483"/>
        <w:gridCol w:w="1364"/>
        <w:gridCol w:w="1124"/>
        <w:gridCol w:w="1364"/>
        <w:gridCol w:w="1124"/>
        <w:gridCol w:w="1364"/>
        <w:gridCol w:w="1124"/>
      </w:tblGrid>
      <w:tr w:rsidR="00D95B3F" w14:paraId="1C18DD78" w14:textId="77777777">
        <w:trPr>
          <w:trHeight w:val="328"/>
        </w:trPr>
        <w:tc>
          <w:tcPr>
            <w:tcW w:w="8947" w:type="dxa"/>
            <w:gridSpan w:val="7"/>
          </w:tcPr>
          <w:p w14:paraId="5F9CC405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Baseline </w:t>
            </w:r>
          </w:p>
        </w:tc>
      </w:tr>
      <w:tr w:rsidR="00D95B3F" w14:paraId="358AAB02" w14:textId="77777777">
        <w:trPr>
          <w:trHeight w:val="328"/>
        </w:trPr>
        <w:tc>
          <w:tcPr>
            <w:tcW w:w="1483" w:type="dxa"/>
          </w:tcPr>
          <w:p w14:paraId="00F4FC6B" w14:textId="77777777" w:rsidR="00D95B3F" w:rsidRDefault="00D95B3F">
            <w:pPr>
              <w:rPr>
                <w:rFonts w:ascii="Arial Regular" w:hAnsi="Arial Regular" w:cs="Arial Regular" w:hint="eastAsia"/>
                <w:sz w:val="24"/>
              </w:rPr>
            </w:pPr>
          </w:p>
        </w:tc>
        <w:tc>
          <w:tcPr>
            <w:tcW w:w="2488" w:type="dxa"/>
            <w:gridSpan w:val="2"/>
          </w:tcPr>
          <w:p w14:paraId="518454B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5 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</w:p>
        </w:tc>
        <w:tc>
          <w:tcPr>
            <w:tcW w:w="2488" w:type="dxa"/>
            <w:gridSpan w:val="2"/>
          </w:tcPr>
          <w:p w14:paraId="5CB29AA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10 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</w:p>
        </w:tc>
        <w:tc>
          <w:tcPr>
            <w:tcW w:w="2488" w:type="dxa"/>
            <w:gridSpan w:val="2"/>
          </w:tcPr>
          <w:p w14:paraId="4AE45B2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20 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</w:p>
        </w:tc>
      </w:tr>
      <w:tr w:rsidR="00D95B3F" w14:paraId="4FC6A6B1" w14:textId="77777777">
        <w:trPr>
          <w:trHeight w:val="645"/>
        </w:trPr>
        <w:tc>
          <w:tcPr>
            <w:tcW w:w="1483" w:type="dxa"/>
          </w:tcPr>
          <w:p w14:paraId="23CF4784" w14:textId="77777777" w:rsidR="00D95B3F" w:rsidRDefault="00D95B3F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</w:p>
        </w:tc>
        <w:tc>
          <w:tcPr>
            <w:tcW w:w="1364" w:type="dxa"/>
          </w:tcPr>
          <w:p w14:paraId="61F759FC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Response (%) </w:t>
            </w:r>
          </w:p>
        </w:tc>
        <w:tc>
          <w:tcPr>
            <w:tcW w:w="1124" w:type="dxa"/>
          </w:tcPr>
          <w:p w14:paraId="6943F9E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Latency (s)</w:t>
            </w:r>
          </w:p>
        </w:tc>
        <w:tc>
          <w:tcPr>
            <w:tcW w:w="1364" w:type="dxa"/>
          </w:tcPr>
          <w:p w14:paraId="6FD604B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Response (%) </w:t>
            </w:r>
          </w:p>
        </w:tc>
        <w:tc>
          <w:tcPr>
            <w:tcW w:w="1124" w:type="dxa"/>
          </w:tcPr>
          <w:p w14:paraId="007F50A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Latency (s)</w:t>
            </w:r>
          </w:p>
        </w:tc>
        <w:tc>
          <w:tcPr>
            <w:tcW w:w="1364" w:type="dxa"/>
          </w:tcPr>
          <w:p w14:paraId="2F46A3E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Response (%) </w:t>
            </w:r>
          </w:p>
        </w:tc>
        <w:tc>
          <w:tcPr>
            <w:tcW w:w="1124" w:type="dxa"/>
          </w:tcPr>
          <w:p w14:paraId="440A074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Latency (s)</w:t>
            </w:r>
          </w:p>
        </w:tc>
      </w:tr>
      <w:tr w:rsidR="00D95B3F" w14:paraId="79849F7D" w14:textId="77777777">
        <w:trPr>
          <w:trHeight w:val="645"/>
        </w:trPr>
        <w:tc>
          <w:tcPr>
            <w:tcW w:w="1483" w:type="dxa"/>
          </w:tcPr>
          <w:p w14:paraId="12F5BFC0" w14:textId="77777777" w:rsidR="00D95B3F" w:rsidRDefault="00F34F8B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Hind paw</w:t>
            </w:r>
          </w:p>
        </w:tc>
        <w:tc>
          <w:tcPr>
            <w:tcW w:w="1364" w:type="dxa"/>
          </w:tcPr>
          <w:p w14:paraId="78C9EE5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37.5 ± 13.27</w:t>
            </w:r>
          </w:p>
        </w:tc>
        <w:tc>
          <w:tcPr>
            <w:tcW w:w="1124" w:type="dxa"/>
          </w:tcPr>
          <w:p w14:paraId="75CA0F7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4.01 ± 0.38</w:t>
            </w:r>
          </w:p>
        </w:tc>
        <w:tc>
          <w:tcPr>
            <w:tcW w:w="1364" w:type="dxa"/>
          </w:tcPr>
          <w:p w14:paraId="63BF61F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83.33 ± 8.9</w:t>
            </w:r>
          </w:p>
        </w:tc>
        <w:tc>
          <w:tcPr>
            <w:tcW w:w="1124" w:type="dxa"/>
          </w:tcPr>
          <w:p w14:paraId="401DA9E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2.76 ± 0.38</w:t>
            </w:r>
          </w:p>
        </w:tc>
        <w:tc>
          <w:tcPr>
            <w:tcW w:w="1364" w:type="dxa"/>
          </w:tcPr>
          <w:p w14:paraId="4D0AE737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95.83 ± 4.17</w:t>
            </w:r>
          </w:p>
        </w:tc>
        <w:tc>
          <w:tcPr>
            <w:tcW w:w="1124" w:type="dxa"/>
          </w:tcPr>
          <w:p w14:paraId="365517F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1.88 ± 0.22</w:t>
            </w:r>
          </w:p>
        </w:tc>
      </w:tr>
      <w:tr w:rsidR="00D95B3F" w14:paraId="780646BE" w14:textId="77777777">
        <w:trPr>
          <w:trHeight w:val="645"/>
        </w:trPr>
        <w:tc>
          <w:tcPr>
            <w:tcW w:w="1483" w:type="dxa"/>
          </w:tcPr>
          <w:p w14:paraId="6FE772EC" w14:textId="77777777" w:rsidR="00D95B3F" w:rsidRDefault="00F34F8B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Tail</w:t>
            </w:r>
          </w:p>
        </w:tc>
        <w:tc>
          <w:tcPr>
            <w:tcW w:w="1364" w:type="dxa"/>
          </w:tcPr>
          <w:p w14:paraId="1D30B2F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83.33 ± 8.9</w:t>
            </w:r>
          </w:p>
        </w:tc>
        <w:tc>
          <w:tcPr>
            <w:tcW w:w="1124" w:type="dxa"/>
          </w:tcPr>
          <w:p w14:paraId="704E3825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2.82 ± 0.42</w:t>
            </w:r>
          </w:p>
        </w:tc>
        <w:tc>
          <w:tcPr>
            <w:tcW w:w="1364" w:type="dxa"/>
          </w:tcPr>
          <w:p w14:paraId="03CCC6C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91.67 ± 5.45</w:t>
            </w:r>
          </w:p>
        </w:tc>
        <w:tc>
          <w:tcPr>
            <w:tcW w:w="1124" w:type="dxa"/>
          </w:tcPr>
          <w:p w14:paraId="61F3548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1.78 ± 0.24</w:t>
            </w:r>
          </w:p>
        </w:tc>
        <w:tc>
          <w:tcPr>
            <w:tcW w:w="1364" w:type="dxa"/>
          </w:tcPr>
          <w:p w14:paraId="4EFF9A4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95.83 ± 4.17</w:t>
            </w:r>
          </w:p>
        </w:tc>
        <w:tc>
          <w:tcPr>
            <w:tcW w:w="1124" w:type="dxa"/>
          </w:tcPr>
          <w:p w14:paraId="3ECDCB8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0.78 ± 0.16</w:t>
            </w:r>
          </w:p>
        </w:tc>
      </w:tr>
      <w:tr w:rsidR="00D95B3F" w14:paraId="3B1BDDC8" w14:textId="77777777">
        <w:trPr>
          <w:trHeight w:val="328"/>
        </w:trPr>
        <w:tc>
          <w:tcPr>
            <w:tcW w:w="8947" w:type="dxa"/>
            <w:gridSpan w:val="7"/>
          </w:tcPr>
          <w:p w14:paraId="23D4F085" w14:textId="77777777" w:rsidR="00D95B3F" w:rsidRDefault="00D95B3F">
            <w:pPr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</w:p>
        </w:tc>
      </w:tr>
      <w:tr w:rsidR="00D95B3F" w14:paraId="320652C5" w14:textId="77777777">
        <w:trPr>
          <w:trHeight w:val="328"/>
        </w:trPr>
        <w:tc>
          <w:tcPr>
            <w:tcW w:w="8947" w:type="dxa"/>
            <w:gridSpan w:val="7"/>
          </w:tcPr>
          <w:p w14:paraId="371815B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CFA-induced chronic inflammatory pain condition</w:t>
            </w:r>
          </w:p>
        </w:tc>
      </w:tr>
      <w:tr w:rsidR="00D95B3F" w14:paraId="5ED9DD77" w14:textId="77777777">
        <w:trPr>
          <w:trHeight w:val="328"/>
        </w:trPr>
        <w:tc>
          <w:tcPr>
            <w:tcW w:w="8947" w:type="dxa"/>
            <w:gridSpan w:val="7"/>
          </w:tcPr>
          <w:p w14:paraId="37A20D02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5 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</w:p>
        </w:tc>
      </w:tr>
      <w:tr w:rsidR="00D95B3F" w14:paraId="30CFA915" w14:textId="77777777">
        <w:trPr>
          <w:trHeight w:val="645"/>
        </w:trPr>
        <w:tc>
          <w:tcPr>
            <w:tcW w:w="1483" w:type="dxa"/>
          </w:tcPr>
          <w:p w14:paraId="671212F7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Time post-CFA</w:t>
            </w:r>
          </w:p>
        </w:tc>
        <w:tc>
          <w:tcPr>
            <w:tcW w:w="2488" w:type="dxa"/>
            <w:gridSpan w:val="2"/>
          </w:tcPr>
          <w:p w14:paraId="3B6E8DC9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Paw withdrawal </w:t>
            </w:r>
          </w:p>
          <w:p w14:paraId="1B421BC2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frequency (%)</w:t>
            </w:r>
          </w:p>
        </w:tc>
        <w:tc>
          <w:tcPr>
            <w:tcW w:w="2488" w:type="dxa"/>
            <w:gridSpan w:val="2"/>
          </w:tcPr>
          <w:p w14:paraId="522F9CB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Latency (s)</w:t>
            </w:r>
          </w:p>
        </w:tc>
        <w:tc>
          <w:tcPr>
            <w:tcW w:w="2488" w:type="dxa"/>
            <w:gridSpan w:val="2"/>
          </w:tcPr>
          <w:p w14:paraId="079D18D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Pain-score </w:t>
            </w:r>
          </w:p>
        </w:tc>
      </w:tr>
      <w:tr w:rsidR="00D95B3F" w14:paraId="532CF16D" w14:textId="77777777">
        <w:trPr>
          <w:trHeight w:val="328"/>
        </w:trPr>
        <w:tc>
          <w:tcPr>
            <w:tcW w:w="1483" w:type="dxa"/>
          </w:tcPr>
          <w:p w14:paraId="29965975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Baseline</w:t>
            </w:r>
          </w:p>
        </w:tc>
        <w:tc>
          <w:tcPr>
            <w:tcW w:w="2488" w:type="dxa"/>
            <w:gridSpan w:val="2"/>
          </w:tcPr>
          <w:p w14:paraId="07F2944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37.03 ± 11.71</w:t>
            </w:r>
          </w:p>
        </w:tc>
        <w:tc>
          <w:tcPr>
            <w:tcW w:w="2488" w:type="dxa"/>
            <w:gridSpan w:val="2"/>
          </w:tcPr>
          <w:p w14:paraId="002F392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4.01 ± 0.38</w:t>
            </w:r>
          </w:p>
        </w:tc>
        <w:tc>
          <w:tcPr>
            <w:tcW w:w="2488" w:type="dxa"/>
            <w:gridSpan w:val="2"/>
          </w:tcPr>
          <w:p w14:paraId="2EB0E42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0.04 ± 0.04</w:t>
            </w:r>
          </w:p>
        </w:tc>
      </w:tr>
      <w:tr w:rsidR="00D95B3F" w14:paraId="69549403" w14:textId="77777777">
        <w:trPr>
          <w:trHeight w:val="328"/>
        </w:trPr>
        <w:tc>
          <w:tcPr>
            <w:tcW w:w="1483" w:type="dxa"/>
          </w:tcPr>
          <w:p w14:paraId="7E36BB3C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2h</w:t>
            </w:r>
          </w:p>
        </w:tc>
        <w:tc>
          <w:tcPr>
            <w:tcW w:w="2488" w:type="dxa"/>
            <w:gridSpan w:val="2"/>
          </w:tcPr>
          <w:p w14:paraId="14B9E86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74.07 ± 10.80</w:t>
            </w:r>
          </w:p>
        </w:tc>
        <w:tc>
          <w:tcPr>
            <w:tcW w:w="2488" w:type="dxa"/>
            <w:gridSpan w:val="2"/>
          </w:tcPr>
          <w:p w14:paraId="3B1692B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3.09 ± 0.31</w:t>
            </w:r>
          </w:p>
        </w:tc>
        <w:tc>
          <w:tcPr>
            <w:tcW w:w="2488" w:type="dxa"/>
            <w:gridSpan w:val="2"/>
          </w:tcPr>
          <w:p w14:paraId="6C07264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1.11 ± 0.26</w:t>
            </w:r>
          </w:p>
        </w:tc>
      </w:tr>
      <w:tr w:rsidR="00D95B3F" w14:paraId="0A9120D9" w14:textId="77777777">
        <w:trPr>
          <w:trHeight w:val="328"/>
        </w:trPr>
        <w:tc>
          <w:tcPr>
            <w:tcW w:w="1483" w:type="dxa"/>
          </w:tcPr>
          <w:p w14:paraId="6CBF1AA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D1</w:t>
            </w:r>
          </w:p>
        </w:tc>
        <w:tc>
          <w:tcPr>
            <w:tcW w:w="2488" w:type="dxa"/>
            <w:gridSpan w:val="2"/>
          </w:tcPr>
          <w:p w14:paraId="7A6EFB5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88.89 ± 7.86</w:t>
            </w:r>
          </w:p>
        </w:tc>
        <w:tc>
          <w:tcPr>
            <w:tcW w:w="2488" w:type="dxa"/>
            <w:gridSpan w:val="2"/>
          </w:tcPr>
          <w:p w14:paraId="0EAC538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2.73 ± 0.33</w:t>
            </w:r>
          </w:p>
        </w:tc>
        <w:tc>
          <w:tcPr>
            <w:tcW w:w="2488" w:type="dxa"/>
            <w:gridSpan w:val="2"/>
          </w:tcPr>
          <w:p w14:paraId="040D3AB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1.79 ± 0.30</w:t>
            </w:r>
          </w:p>
        </w:tc>
      </w:tr>
      <w:tr w:rsidR="00D95B3F" w14:paraId="54E65ECA" w14:textId="77777777">
        <w:trPr>
          <w:trHeight w:val="328"/>
        </w:trPr>
        <w:tc>
          <w:tcPr>
            <w:tcW w:w="1483" w:type="dxa"/>
          </w:tcPr>
          <w:p w14:paraId="7CA5CD1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D3</w:t>
            </w:r>
          </w:p>
        </w:tc>
        <w:tc>
          <w:tcPr>
            <w:tcW w:w="2488" w:type="dxa"/>
            <w:gridSpan w:val="2"/>
          </w:tcPr>
          <w:p w14:paraId="7FB8F3C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81.48 ± 8.07</w:t>
            </w:r>
          </w:p>
        </w:tc>
        <w:tc>
          <w:tcPr>
            <w:tcW w:w="2488" w:type="dxa"/>
            <w:gridSpan w:val="2"/>
          </w:tcPr>
          <w:p w14:paraId="756CAA4C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2.20 ± 0.19</w:t>
            </w:r>
          </w:p>
        </w:tc>
        <w:tc>
          <w:tcPr>
            <w:tcW w:w="2488" w:type="dxa"/>
            <w:gridSpan w:val="2"/>
          </w:tcPr>
          <w:p w14:paraId="64CE2EC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1.33 ± 0.34</w:t>
            </w:r>
          </w:p>
        </w:tc>
      </w:tr>
      <w:tr w:rsidR="00D95B3F" w14:paraId="61DE0EFF" w14:textId="77777777">
        <w:trPr>
          <w:trHeight w:val="328"/>
        </w:trPr>
        <w:tc>
          <w:tcPr>
            <w:tcW w:w="1483" w:type="dxa"/>
          </w:tcPr>
          <w:p w14:paraId="24CF4FF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D7</w:t>
            </w:r>
          </w:p>
        </w:tc>
        <w:tc>
          <w:tcPr>
            <w:tcW w:w="2488" w:type="dxa"/>
            <w:gridSpan w:val="2"/>
          </w:tcPr>
          <w:p w14:paraId="403A7AE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88.89 ± 7.86</w:t>
            </w:r>
          </w:p>
        </w:tc>
        <w:tc>
          <w:tcPr>
            <w:tcW w:w="2488" w:type="dxa"/>
            <w:gridSpan w:val="2"/>
          </w:tcPr>
          <w:p w14:paraId="1E8921FF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2.07 ± 0.21 </w:t>
            </w:r>
          </w:p>
        </w:tc>
        <w:tc>
          <w:tcPr>
            <w:tcW w:w="2488" w:type="dxa"/>
            <w:gridSpan w:val="2"/>
          </w:tcPr>
          <w:p w14:paraId="0DE9EAB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2.41 ± 0.40</w:t>
            </w:r>
          </w:p>
        </w:tc>
      </w:tr>
      <w:tr w:rsidR="00D95B3F" w14:paraId="5567317E" w14:textId="77777777">
        <w:trPr>
          <w:trHeight w:val="328"/>
        </w:trPr>
        <w:tc>
          <w:tcPr>
            <w:tcW w:w="1483" w:type="dxa"/>
          </w:tcPr>
          <w:p w14:paraId="1EF2466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D14</w:t>
            </w:r>
          </w:p>
        </w:tc>
        <w:tc>
          <w:tcPr>
            <w:tcW w:w="2488" w:type="dxa"/>
            <w:gridSpan w:val="2"/>
          </w:tcPr>
          <w:p w14:paraId="4F8370E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96.30 ± 3.70</w:t>
            </w:r>
          </w:p>
        </w:tc>
        <w:tc>
          <w:tcPr>
            <w:tcW w:w="2488" w:type="dxa"/>
            <w:gridSpan w:val="2"/>
          </w:tcPr>
          <w:p w14:paraId="008F0A17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1.72 ± 0.27</w:t>
            </w:r>
          </w:p>
        </w:tc>
        <w:tc>
          <w:tcPr>
            <w:tcW w:w="2488" w:type="dxa"/>
            <w:gridSpan w:val="2"/>
          </w:tcPr>
          <w:p w14:paraId="0A82C25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1.96 ± 0.39</w:t>
            </w:r>
          </w:p>
        </w:tc>
      </w:tr>
      <w:tr w:rsidR="00D95B3F" w14:paraId="7E0E7F89" w14:textId="77777777">
        <w:trPr>
          <w:trHeight w:val="328"/>
        </w:trPr>
        <w:tc>
          <w:tcPr>
            <w:tcW w:w="1483" w:type="dxa"/>
          </w:tcPr>
          <w:p w14:paraId="72E28D9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D21</w:t>
            </w:r>
          </w:p>
        </w:tc>
        <w:tc>
          <w:tcPr>
            <w:tcW w:w="2488" w:type="dxa"/>
            <w:gridSpan w:val="2"/>
          </w:tcPr>
          <w:p w14:paraId="785EE81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88.89 ± 7.86</w:t>
            </w:r>
          </w:p>
        </w:tc>
        <w:tc>
          <w:tcPr>
            <w:tcW w:w="2488" w:type="dxa"/>
            <w:gridSpan w:val="2"/>
          </w:tcPr>
          <w:p w14:paraId="6BF9CB1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2.80 ± 0.19</w:t>
            </w:r>
          </w:p>
        </w:tc>
        <w:tc>
          <w:tcPr>
            <w:tcW w:w="2488" w:type="dxa"/>
            <w:gridSpan w:val="2"/>
          </w:tcPr>
          <w:p w14:paraId="68F0EF05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1.18 ± 0.27</w:t>
            </w:r>
          </w:p>
        </w:tc>
      </w:tr>
      <w:tr w:rsidR="00D95B3F" w14:paraId="75F4695D" w14:textId="77777777">
        <w:trPr>
          <w:trHeight w:val="328"/>
        </w:trPr>
        <w:tc>
          <w:tcPr>
            <w:tcW w:w="1483" w:type="dxa"/>
          </w:tcPr>
          <w:p w14:paraId="0D3F9A1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D28</w:t>
            </w:r>
          </w:p>
        </w:tc>
        <w:tc>
          <w:tcPr>
            <w:tcW w:w="2488" w:type="dxa"/>
            <w:gridSpan w:val="2"/>
          </w:tcPr>
          <w:p w14:paraId="5C08216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92.59 ± 4.90</w:t>
            </w:r>
          </w:p>
        </w:tc>
        <w:tc>
          <w:tcPr>
            <w:tcW w:w="2488" w:type="dxa"/>
            <w:gridSpan w:val="2"/>
          </w:tcPr>
          <w:p w14:paraId="3EF54DB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3.00 ± 0.39</w:t>
            </w:r>
          </w:p>
        </w:tc>
        <w:tc>
          <w:tcPr>
            <w:tcW w:w="2488" w:type="dxa"/>
            <w:gridSpan w:val="2"/>
          </w:tcPr>
          <w:p w14:paraId="63B3709F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1.15 ± 0.18</w:t>
            </w:r>
          </w:p>
        </w:tc>
      </w:tr>
      <w:tr w:rsidR="00D95B3F" w14:paraId="54E1ADB2" w14:textId="77777777">
        <w:trPr>
          <w:trHeight w:val="328"/>
        </w:trPr>
        <w:tc>
          <w:tcPr>
            <w:tcW w:w="8947" w:type="dxa"/>
            <w:gridSpan w:val="7"/>
          </w:tcPr>
          <w:p w14:paraId="3C7AFA50" w14:textId="77777777" w:rsidR="00D95B3F" w:rsidRDefault="00D95B3F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</w:p>
        </w:tc>
      </w:tr>
      <w:tr w:rsidR="00D95B3F" w14:paraId="2DA82E40" w14:textId="77777777">
        <w:trPr>
          <w:trHeight w:val="328"/>
        </w:trPr>
        <w:tc>
          <w:tcPr>
            <w:tcW w:w="8947" w:type="dxa"/>
            <w:gridSpan w:val="7"/>
          </w:tcPr>
          <w:p w14:paraId="70D16F4F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MPNL-induced chronic neuropathic pain condition</w:t>
            </w:r>
          </w:p>
        </w:tc>
      </w:tr>
      <w:tr w:rsidR="00D95B3F" w14:paraId="181CDBC7" w14:textId="77777777">
        <w:trPr>
          <w:trHeight w:val="328"/>
        </w:trPr>
        <w:tc>
          <w:tcPr>
            <w:tcW w:w="8947" w:type="dxa"/>
            <w:gridSpan w:val="7"/>
          </w:tcPr>
          <w:p w14:paraId="28030D2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5 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</w:p>
        </w:tc>
      </w:tr>
      <w:tr w:rsidR="00D95B3F" w14:paraId="50D92DCA" w14:textId="77777777">
        <w:trPr>
          <w:trHeight w:val="675"/>
        </w:trPr>
        <w:tc>
          <w:tcPr>
            <w:tcW w:w="1483" w:type="dxa"/>
          </w:tcPr>
          <w:p w14:paraId="26281AC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Time post-MPNL</w:t>
            </w:r>
          </w:p>
        </w:tc>
        <w:tc>
          <w:tcPr>
            <w:tcW w:w="2488" w:type="dxa"/>
            <w:gridSpan w:val="2"/>
          </w:tcPr>
          <w:p w14:paraId="6B9790E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Paw withdrawal </w:t>
            </w:r>
          </w:p>
          <w:p w14:paraId="309E63C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frequency (%)</w:t>
            </w:r>
          </w:p>
        </w:tc>
        <w:tc>
          <w:tcPr>
            <w:tcW w:w="2488" w:type="dxa"/>
            <w:gridSpan w:val="2"/>
          </w:tcPr>
          <w:p w14:paraId="47679BB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Latency (s)</w:t>
            </w:r>
          </w:p>
        </w:tc>
        <w:tc>
          <w:tcPr>
            <w:tcW w:w="2488" w:type="dxa"/>
            <w:gridSpan w:val="2"/>
          </w:tcPr>
          <w:p w14:paraId="6CCEB3E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Pain-score </w:t>
            </w:r>
          </w:p>
        </w:tc>
      </w:tr>
      <w:tr w:rsidR="00D95B3F" w14:paraId="487F236C" w14:textId="77777777">
        <w:trPr>
          <w:trHeight w:val="328"/>
        </w:trPr>
        <w:tc>
          <w:tcPr>
            <w:tcW w:w="1483" w:type="dxa"/>
          </w:tcPr>
          <w:p w14:paraId="36BE7C1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Baseline</w:t>
            </w:r>
          </w:p>
        </w:tc>
        <w:tc>
          <w:tcPr>
            <w:tcW w:w="2488" w:type="dxa"/>
            <w:gridSpan w:val="2"/>
          </w:tcPr>
          <w:p w14:paraId="44AC6DA7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33.17 ± 12.57</w:t>
            </w:r>
          </w:p>
        </w:tc>
        <w:tc>
          <w:tcPr>
            <w:tcW w:w="2488" w:type="dxa"/>
            <w:gridSpan w:val="2"/>
          </w:tcPr>
          <w:p w14:paraId="25F788F2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3.44 ± 0.58</w:t>
            </w:r>
          </w:p>
        </w:tc>
        <w:tc>
          <w:tcPr>
            <w:tcW w:w="2488" w:type="dxa"/>
            <w:gridSpan w:val="2"/>
          </w:tcPr>
          <w:p w14:paraId="244D6742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</w:t>
            </w:r>
          </w:p>
        </w:tc>
      </w:tr>
      <w:tr w:rsidR="00D95B3F" w14:paraId="4F59693B" w14:textId="77777777">
        <w:trPr>
          <w:trHeight w:val="328"/>
        </w:trPr>
        <w:tc>
          <w:tcPr>
            <w:tcW w:w="1483" w:type="dxa"/>
          </w:tcPr>
          <w:p w14:paraId="507EB4E9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D1</w:t>
            </w:r>
          </w:p>
        </w:tc>
        <w:tc>
          <w:tcPr>
            <w:tcW w:w="2488" w:type="dxa"/>
            <w:gridSpan w:val="2"/>
          </w:tcPr>
          <w:p w14:paraId="27EF1DD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70.83 ± 11.68 </w:t>
            </w:r>
          </w:p>
        </w:tc>
        <w:tc>
          <w:tcPr>
            <w:tcW w:w="2488" w:type="dxa"/>
            <w:gridSpan w:val="2"/>
          </w:tcPr>
          <w:p w14:paraId="1B58C11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2.83 ± 0.35</w:t>
            </w:r>
          </w:p>
        </w:tc>
        <w:tc>
          <w:tcPr>
            <w:tcW w:w="2488" w:type="dxa"/>
            <w:gridSpan w:val="2"/>
          </w:tcPr>
          <w:p w14:paraId="36F425C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0.95 ± 0.20</w:t>
            </w:r>
          </w:p>
        </w:tc>
      </w:tr>
      <w:tr w:rsidR="00D95B3F" w14:paraId="69306344" w14:textId="77777777">
        <w:trPr>
          <w:trHeight w:val="328"/>
        </w:trPr>
        <w:tc>
          <w:tcPr>
            <w:tcW w:w="1483" w:type="dxa"/>
          </w:tcPr>
          <w:p w14:paraId="3426C989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D3</w:t>
            </w:r>
          </w:p>
        </w:tc>
        <w:tc>
          <w:tcPr>
            <w:tcW w:w="2488" w:type="dxa"/>
            <w:gridSpan w:val="2"/>
          </w:tcPr>
          <w:p w14:paraId="4F0E631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91.67 ± 5.46</w:t>
            </w:r>
          </w:p>
        </w:tc>
        <w:tc>
          <w:tcPr>
            <w:tcW w:w="2488" w:type="dxa"/>
            <w:gridSpan w:val="2"/>
          </w:tcPr>
          <w:p w14:paraId="75FC266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2.33 ± 0.29</w:t>
            </w:r>
          </w:p>
        </w:tc>
        <w:tc>
          <w:tcPr>
            <w:tcW w:w="2488" w:type="dxa"/>
            <w:gridSpan w:val="2"/>
          </w:tcPr>
          <w:p w14:paraId="655AD87F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1.62 ± 0.22</w:t>
            </w:r>
          </w:p>
        </w:tc>
      </w:tr>
      <w:tr w:rsidR="00D95B3F" w14:paraId="76CECD0A" w14:textId="77777777">
        <w:trPr>
          <w:trHeight w:val="328"/>
        </w:trPr>
        <w:tc>
          <w:tcPr>
            <w:tcW w:w="1483" w:type="dxa"/>
          </w:tcPr>
          <w:p w14:paraId="005D0D7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D7</w:t>
            </w:r>
          </w:p>
        </w:tc>
        <w:tc>
          <w:tcPr>
            <w:tcW w:w="2488" w:type="dxa"/>
            <w:gridSpan w:val="2"/>
          </w:tcPr>
          <w:p w14:paraId="0CDA0E9C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95.83 ± 4.17</w:t>
            </w:r>
          </w:p>
        </w:tc>
        <w:tc>
          <w:tcPr>
            <w:tcW w:w="2488" w:type="dxa"/>
            <w:gridSpan w:val="2"/>
          </w:tcPr>
          <w:p w14:paraId="246F26A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1.87 ± 0.29</w:t>
            </w:r>
          </w:p>
        </w:tc>
        <w:tc>
          <w:tcPr>
            <w:tcW w:w="2488" w:type="dxa"/>
            <w:gridSpan w:val="2"/>
          </w:tcPr>
          <w:p w14:paraId="5729B9EE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1.54 ± 0.21</w:t>
            </w:r>
          </w:p>
        </w:tc>
      </w:tr>
      <w:tr w:rsidR="00D95B3F" w14:paraId="2103A096" w14:textId="77777777">
        <w:trPr>
          <w:trHeight w:val="328"/>
        </w:trPr>
        <w:tc>
          <w:tcPr>
            <w:tcW w:w="1483" w:type="dxa"/>
          </w:tcPr>
          <w:p w14:paraId="769CFE9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D14</w:t>
            </w:r>
          </w:p>
        </w:tc>
        <w:tc>
          <w:tcPr>
            <w:tcW w:w="2488" w:type="dxa"/>
            <w:gridSpan w:val="2"/>
          </w:tcPr>
          <w:p w14:paraId="7FE0517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100 ± 0 </w:t>
            </w:r>
          </w:p>
        </w:tc>
        <w:tc>
          <w:tcPr>
            <w:tcW w:w="2488" w:type="dxa"/>
            <w:gridSpan w:val="2"/>
          </w:tcPr>
          <w:p w14:paraId="5BA1C48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1.54 ± 0.27</w:t>
            </w:r>
          </w:p>
        </w:tc>
        <w:tc>
          <w:tcPr>
            <w:tcW w:w="2488" w:type="dxa"/>
            <w:gridSpan w:val="2"/>
          </w:tcPr>
          <w:p w14:paraId="67FE475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1.59 ± 0.27</w:t>
            </w:r>
          </w:p>
        </w:tc>
      </w:tr>
      <w:tr w:rsidR="00D95B3F" w14:paraId="5375D2DA" w14:textId="77777777">
        <w:trPr>
          <w:trHeight w:val="328"/>
        </w:trPr>
        <w:tc>
          <w:tcPr>
            <w:tcW w:w="1483" w:type="dxa"/>
          </w:tcPr>
          <w:p w14:paraId="2334550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D21</w:t>
            </w:r>
          </w:p>
        </w:tc>
        <w:tc>
          <w:tcPr>
            <w:tcW w:w="2488" w:type="dxa"/>
            <w:gridSpan w:val="2"/>
          </w:tcPr>
          <w:p w14:paraId="29AE289C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95.83 ± 4.17</w:t>
            </w:r>
          </w:p>
        </w:tc>
        <w:tc>
          <w:tcPr>
            <w:tcW w:w="2488" w:type="dxa"/>
            <w:gridSpan w:val="2"/>
          </w:tcPr>
          <w:p w14:paraId="1958BE5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1.50 ± 0.18</w:t>
            </w:r>
          </w:p>
        </w:tc>
        <w:tc>
          <w:tcPr>
            <w:tcW w:w="2488" w:type="dxa"/>
            <w:gridSpan w:val="2"/>
          </w:tcPr>
          <w:p w14:paraId="7C89F48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1.79 ± 0.26</w:t>
            </w:r>
          </w:p>
        </w:tc>
      </w:tr>
      <w:tr w:rsidR="00D95B3F" w14:paraId="29F472B3" w14:textId="77777777">
        <w:trPr>
          <w:trHeight w:val="338"/>
        </w:trPr>
        <w:tc>
          <w:tcPr>
            <w:tcW w:w="1483" w:type="dxa"/>
          </w:tcPr>
          <w:p w14:paraId="6A26D4E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D28</w:t>
            </w:r>
          </w:p>
        </w:tc>
        <w:tc>
          <w:tcPr>
            <w:tcW w:w="2488" w:type="dxa"/>
            <w:gridSpan w:val="2"/>
          </w:tcPr>
          <w:p w14:paraId="6EC193D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95.83 ± 4.17</w:t>
            </w:r>
          </w:p>
        </w:tc>
        <w:tc>
          <w:tcPr>
            <w:tcW w:w="2488" w:type="dxa"/>
            <w:gridSpan w:val="2"/>
          </w:tcPr>
          <w:p w14:paraId="1352036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1.48 ± 0.14</w:t>
            </w:r>
          </w:p>
        </w:tc>
        <w:tc>
          <w:tcPr>
            <w:tcW w:w="2488" w:type="dxa"/>
            <w:gridSpan w:val="2"/>
          </w:tcPr>
          <w:p w14:paraId="4C59BEAB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1.54 ± 0.14</w:t>
            </w:r>
          </w:p>
        </w:tc>
      </w:tr>
    </w:tbl>
    <w:p w14:paraId="21E108EF" w14:textId="77777777" w:rsidR="00D95B3F" w:rsidRDefault="00D95B3F"/>
    <w:p w14:paraId="51206C60" w14:textId="77777777" w:rsidR="00D95B3F" w:rsidRDefault="00D95B3F"/>
    <w:p w14:paraId="63EA7783" w14:textId="77777777" w:rsidR="00D95B3F" w:rsidRDefault="00D95B3F"/>
    <w:p w14:paraId="34F7D839" w14:textId="77777777" w:rsidR="00D95B3F" w:rsidRDefault="00D95B3F"/>
    <w:p w14:paraId="232ED14F" w14:textId="77777777" w:rsidR="00D95B3F" w:rsidRDefault="00D95B3F"/>
    <w:p w14:paraId="56208BEE" w14:textId="77777777" w:rsidR="00D95B3F" w:rsidRDefault="00F34F8B">
      <w:pPr>
        <w:rPr>
          <w:rFonts w:ascii="Arial Regular" w:hAnsi="Arial Regular" w:cs="Arial Regular" w:hint="eastAsia"/>
        </w:rPr>
      </w:pPr>
      <w:r>
        <w:rPr>
          <w:rFonts w:ascii="Arial Regular" w:hAnsi="Arial Regular" w:cs="Arial Regular"/>
          <w:b/>
          <w:sz w:val="24"/>
        </w:rPr>
        <w:lastRenderedPageBreak/>
        <w:t xml:space="preserve">Table S3. Summary of spinal light-evoked behavioral responses in </w:t>
      </w:r>
      <w:proofErr w:type="spellStart"/>
      <w:r>
        <w:rPr>
          <w:rFonts w:ascii="Arial Bold Italic" w:hAnsi="Arial Bold Italic" w:cs="Arial Bold Italic"/>
          <w:b/>
          <w:i/>
          <w:iCs/>
          <w:sz w:val="24"/>
        </w:rPr>
        <w:t>Split</w:t>
      </w:r>
      <w:r>
        <w:rPr>
          <w:rFonts w:ascii="Arial Bold Italic" w:hAnsi="Arial Bold Italic" w:cs="Arial Bold Italic"/>
          <w:b/>
          <w:i/>
          <w:iCs/>
          <w:sz w:val="24"/>
          <w:vertAlign w:val="superscript"/>
        </w:rPr>
        <w:t>Cre</w:t>
      </w:r>
      <w:proofErr w:type="spellEnd"/>
      <w:r>
        <w:rPr>
          <w:rFonts w:ascii="Arial Bold Italic" w:hAnsi="Arial Bold Italic" w:cs="Arial Bold Italic"/>
          <w:b/>
          <w:i/>
          <w:iCs/>
          <w:sz w:val="24"/>
        </w:rPr>
        <w:t>-</w:t>
      </w:r>
      <w:r>
        <w:rPr>
          <w:rFonts w:ascii="Arial Bold Italic" w:hAnsi="Arial Bold Italic" w:cs="Arial Bold Italic"/>
          <w:b/>
          <w:sz w:val="24"/>
        </w:rPr>
        <w:t>Aβ</w:t>
      </w:r>
      <w:r>
        <w:rPr>
          <w:rFonts w:ascii="Arial Bold Italic" w:hAnsi="Arial Bold Italic" w:cs="Arial Bold Italic"/>
          <w:b/>
          <w:i/>
          <w:iCs/>
          <w:sz w:val="24"/>
        </w:rPr>
        <w:t xml:space="preserve"> </w:t>
      </w:r>
      <w:proofErr w:type="spellStart"/>
      <w:r>
        <w:rPr>
          <w:rFonts w:ascii="Arial Bold Italic" w:hAnsi="Arial Bold Italic" w:cs="Arial Bold Italic"/>
          <w:b/>
          <w:i/>
          <w:iCs/>
          <w:sz w:val="24"/>
        </w:rPr>
        <w:t>ReaChR</w:t>
      </w:r>
      <w:proofErr w:type="spellEnd"/>
      <w:r>
        <w:rPr>
          <w:rFonts w:ascii="Arial Bold Italic" w:hAnsi="Arial Bold Italic" w:cs="Arial Bold Italic"/>
          <w:b/>
          <w:i/>
          <w:iCs/>
          <w:sz w:val="24"/>
        </w:rPr>
        <w:t xml:space="preserve"> </w:t>
      </w:r>
      <w:r>
        <w:rPr>
          <w:rFonts w:ascii="Arial Regular" w:hAnsi="Arial Regular" w:cs="Arial Regular"/>
          <w:b/>
          <w:sz w:val="24"/>
        </w:rPr>
        <w:t>mice, related to Figure 6.</w:t>
      </w:r>
    </w:p>
    <w:p w14:paraId="39A50732" w14:textId="77777777" w:rsidR="00D95B3F" w:rsidRDefault="00D95B3F">
      <w:pPr>
        <w:rPr>
          <w:rFonts w:ascii="Arial Regular" w:hAnsi="Arial Regular" w:cs="Arial Regular" w:hint="eastAsia"/>
        </w:rPr>
      </w:pPr>
    </w:p>
    <w:tbl>
      <w:tblPr>
        <w:tblStyle w:val="TableGrid"/>
        <w:tblpPr w:leftFromText="180" w:rightFromText="180" w:vertAnchor="text" w:horzAnchor="page" w:tblpX="1812" w:tblpY="272"/>
        <w:tblOverlap w:val="never"/>
        <w:tblW w:w="8939" w:type="dxa"/>
        <w:tblLook w:val="04A0" w:firstRow="1" w:lastRow="0" w:firstColumn="1" w:lastColumn="0" w:noHBand="0" w:noVBand="1"/>
      </w:tblPr>
      <w:tblGrid>
        <w:gridCol w:w="1785"/>
        <w:gridCol w:w="1524"/>
        <w:gridCol w:w="1400"/>
        <w:gridCol w:w="1450"/>
        <w:gridCol w:w="1450"/>
        <w:gridCol w:w="1330"/>
      </w:tblGrid>
      <w:tr w:rsidR="00D95B3F" w14:paraId="49947FA5" w14:textId="77777777">
        <w:tc>
          <w:tcPr>
            <w:tcW w:w="8939" w:type="dxa"/>
            <w:gridSpan w:val="6"/>
          </w:tcPr>
          <w:p w14:paraId="0B11EBEC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sz w:val="24"/>
                <w:szCs w:val="32"/>
              </w:rPr>
              <w:t>50% Paw withdrawal threshold (g)</w:t>
            </w:r>
          </w:p>
        </w:tc>
      </w:tr>
      <w:tr w:rsidR="00D95B3F" w14:paraId="595B31FE" w14:textId="77777777">
        <w:tc>
          <w:tcPr>
            <w:tcW w:w="1785" w:type="dxa"/>
          </w:tcPr>
          <w:p w14:paraId="60F1BEA5" w14:textId="77777777" w:rsidR="00D95B3F" w:rsidRDefault="00F34F8B">
            <w:r>
              <w:rPr>
                <w:rFonts w:ascii="Arial Regular" w:hAnsi="Arial Regular" w:cs="Arial Regular"/>
                <w:b/>
                <w:bCs/>
                <w:sz w:val="24"/>
              </w:rPr>
              <w:t>Intensity (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  <w:r>
              <w:rPr>
                <w:rFonts w:ascii="Arial Regular" w:hAnsi="Arial Regular" w:cs="Arial Regular"/>
                <w:b/>
                <w:bCs/>
                <w:sz w:val="24"/>
              </w:rPr>
              <w:t>)</w:t>
            </w:r>
          </w:p>
        </w:tc>
        <w:tc>
          <w:tcPr>
            <w:tcW w:w="1524" w:type="dxa"/>
          </w:tcPr>
          <w:p w14:paraId="352BBAC0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Pre-stim.</w:t>
            </w:r>
          </w:p>
        </w:tc>
        <w:tc>
          <w:tcPr>
            <w:tcW w:w="1400" w:type="dxa"/>
          </w:tcPr>
          <w:p w14:paraId="69A8266C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5 min.</w:t>
            </w:r>
          </w:p>
        </w:tc>
        <w:tc>
          <w:tcPr>
            <w:tcW w:w="1450" w:type="dxa"/>
          </w:tcPr>
          <w:p w14:paraId="72D6F2CB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30 min.</w:t>
            </w:r>
          </w:p>
        </w:tc>
        <w:tc>
          <w:tcPr>
            <w:tcW w:w="1450" w:type="dxa"/>
          </w:tcPr>
          <w:p w14:paraId="3B2D55B9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90 min.</w:t>
            </w:r>
          </w:p>
        </w:tc>
        <w:tc>
          <w:tcPr>
            <w:tcW w:w="1330" w:type="dxa"/>
          </w:tcPr>
          <w:p w14:paraId="553E7D56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120 min.</w:t>
            </w:r>
          </w:p>
        </w:tc>
      </w:tr>
      <w:tr w:rsidR="00D95B3F" w14:paraId="55672EE7" w14:textId="77777777">
        <w:tc>
          <w:tcPr>
            <w:tcW w:w="1785" w:type="dxa"/>
          </w:tcPr>
          <w:p w14:paraId="1A99D0BE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0.5</w:t>
            </w:r>
          </w:p>
        </w:tc>
        <w:tc>
          <w:tcPr>
            <w:tcW w:w="1524" w:type="dxa"/>
          </w:tcPr>
          <w:p w14:paraId="19E9B8FB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0.985</w:t>
            </w:r>
            <w:r>
              <w:rPr>
                <w:rFonts w:ascii="Arial Regular" w:hAnsi="Arial Regular" w:cs="Arial Regular"/>
                <w:bCs/>
                <w:color w:val="000000" w:themeColor="text1"/>
                <w:sz w:val="24"/>
              </w:rPr>
              <w:t xml:space="preserve">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± 0.007</w:t>
            </w:r>
          </w:p>
        </w:tc>
        <w:tc>
          <w:tcPr>
            <w:tcW w:w="1400" w:type="dxa"/>
          </w:tcPr>
          <w:p w14:paraId="366A3240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0.924 ± 0.017</w:t>
            </w:r>
          </w:p>
        </w:tc>
        <w:tc>
          <w:tcPr>
            <w:tcW w:w="1450" w:type="dxa"/>
          </w:tcPr>
          <w:p w14:paraId="23169C84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0.953 ± 0.018</w:t>
            </w:r>
          </w:p>
        </w:tc>
        <w:tc>
          <w:tcPr>
            <w:tcW w:w="1450" w:type="dxa"/>
          </w:tcPr>
          <w:p w14:paraId="357F3092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0.989 ± 0.007</w:t>
            </w:r>
          </w:p>
        </w:tc>
        <w:tc>
          <w:tcPr>
            <w:tcW w:w="1330" w:type="dxa"/>
          </w:tcPr>
          <w:p w14:paraId="6B7728DA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0.986 ± 0.004</w:t>
            </w:r>
          </w:p>
        </w:tc>
      </w:tr>
      <w:tr w:rsidR="00D95B3F" w14:paraId="1C7ADE97" w14:textId="77777777">
        <w:tc>
          <w:tcPr>
            <w:tcW w:w="1785" w:type="dxa"/>
          </w:tcPr>
          <w:p w14:paraId="727F298F" w14:textId="77777777" w:rsidR="00D95B3F" w:rsidRDefault="00F34F8B">
            <w:pPr>
              <w:jc w:val="center"/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10</w:t>
            </w:r>
          </w:p>
        </w:tc>
        <w:tc>
          <w:tcPr>
            <w:tcW w:w="1524" w:type="dxa"/>
          </w:tcPr>
          <w:p w14:paraId="136A4465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bCs/>
                <w:color w:val="000000" w:themeColor="text1"/>
                <w:sz w:val="24"/>
              </w:rPr>
              <w:t xml:space="preserve">0.98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± 0.009</w:t>
            </w:r>
          </w:p>
        </w:tc>
        <w:tc>
          <w:tcPr>
            <w:tcW w:w="1400" w:type="dxa"/>
          </w:tcPr>
          <w:p w14:paraId="6ECE8A77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0.405 ± 0.13</w:t>
            </w:r>
          </w:p>
        </w:tc>
        <w:tc>
          <w:tcPr>
            <w:tcW w:w="1450" w:type="dxa"/>
          </w:tcPr>
          <w:p w14:paraId="04A2E4C8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0.657 ± 0.064</w:t>
            </w:r>
          </w:p>
        </w:tc>
        <w:tc>
          <w:tcPr>
            <w:tcW w:w="1450" w:type="dxa"/>
          </w:tcPr>
          <w:p w14:paraId="782F6F5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color w:val="000000" w:themeColor="text1"/>
                <w:sz w:val="24"/>
              </w:rPr>
            </w:pPr>
            <w:r>
              <w:rPr>
                <w:rStyle w:val="CommentReference"/>
                <w:rFonts w:ascii="Arial Regular" w:hAnsi="Arial Regular" w:cs="Arial Regular"/>
                <w:sz w:val="24"/>
                <w:szCs w:val="24"/>
              </w:rPr>
              <w:t xml:space="preserve">0.88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 xml:space="preserve">± </w:t>
            </w:r>
          </w:p>
          <w:p w14:paraId="4ECF86FE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0.04</w:t>
            </w:r>
          </w:p>
        </w:tc>
        <w:tc>
          <w:tcPr>
            <w:tcW w:w="1330" w:type="dxa"/>
          </w:tcPr>
          <w:p w14:paraId="0A7A9A37" w14:textId="77777777" w:rsidR="00D95B3F" w:rsidRDefault="00F34F8B">
            <w:pPr>
              <w:jc w:val="center"/>
              <w:rPr>
                <w:sz w:val="24"/>
              </w:rPr>
            </w:pPr>
            <w:r>
              <w:rPr>
                <w:rStyle w:val="CommentReference"/>
                <w:rFonts w:ascii="Arial Regular" w:hAnsi="Arial Regular" w:cs="Arial Regular"/>
                <w:sz w:val="24"/>
                <w:szCs w:val="24"/>
              </w:rPr>
              <w:t xml:space="preserve">0.92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± 0.02</w:t>
            </w:r>
          </w:p>
        </w:tc>
      </w:tr>
    </w:tbl>
    <w:p w14:paraId="30B9F995" w14:textId="77777777" w:rsidR="00D95B3F" w:rsidRDefault="00D95B3F"/>
    <w:tbl>
      <w:tblPr>
        <w:tblStyle w:val="TableGrid"/>
        <w:tblpPr w:leftFromText="180" w:rightFromText="180" w:vertAnchor="text" w:horzAnchor="page" w:tblpX="1772" w:tblpY="39"/>
        <w:tblOverlap w:val="never"/>
        <w:tblW w:w="9004" w:type="dxa"/>
        <w:tblLayout w:type="fixed"/>
        <w:tblLook w:val="04A0" w:firstRow="1" w:lastRow="0" w:firstColumn="1" w:lastColumn="0" w:noHBand="0" w:noVBand="1"/>
      </w:tblPr>
      <w:tblGrid>
        <w:gridCol w:w="1355"/>
        <w:gridCol w:w="1418"/>
        <w:gridCol w:w="1255"/>
        <w:gridCol w:w="1400"/>
        <w:gridCol w:w="1127"/>
        <w:gridCol w:w="1309"/>
        <w:gridCol w:w="1140"/>
      </w:tblGrid>
      <w:tr w:rsidR="00D95B3F" w14:paraId="4475653C" w14:textId="77777777">
        <w:trPr>
          <w:trHeight w:val="385"/>
        </w:trPr>
        <w:tc>
          <w:tcPr>
            <w:tcW w:w="1355" w:type="dxa"/>
          </w:tcPr>
          <w:p w14:paraId="69A8A1D7" w14:textId="77777777" w:rsidR="00D95B3F" w:rsidRDefault="00D95B3F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</w:p>
        </w:tc>
        <w:tc>
          <w:tcPr>
            <w:tcW w:w="7649" w:type="dxa"/>
            <w:gridSpan w:val="6"/>
          </w:tcPr>
          <w:p w14:paraId="0555B7B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 xml:space="preserve">Behaviors during light stimuli (15-minute period) </w:t>
            </w:r>
          </w:p>
        </w:tc>
      </w:tr>
      <w:tr w:rsidR="00D95B3F" w14:paraId="5D27D1C6" w14:textId="77777777">
        <w:trPr>
          <w:trHeight w:val="698"/>
        </w:trPr>
        <w:tc>
          <w:tcPr>
            <w:tcW w:w="1355" w:type="dxa"/>
          </w:tcPr>
          <w:p w14:paraId="66B97766" w14:textId="77777777" w:rsidR="00D95B3F" w:rsidRDefault="00F34F8B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Intensity (</w:t>
            </w:r>
            <w:proofErr w:type="spellStart"/>
            <w:r>
              <w:rPr>
                <w:rFonts w:ascii="Arial Regular" w:hAnsi="Arial Regular" w:cs="Arial Regular"/>
                <w:b/>
                <w:bCs/>
                <w:sz w:val="24"/>
              </w:rPr>
              <w:t>mW</w:t>
            </w:r>
            <w:proofErr w:type="spellEnd"/>
            <w:r>
              <w:rPr>
                <w:rFonts w:ascii="Arial Regular" w:hAnsi="Arial Regular" w:cs="Arial Regular"/>
                <w:b/>
                <w:bCs/>
                <w:sz w:val="24"/>
              </w:rPr>
              <w:t>)</w:t>
            </w:r>
          </w:p>
        </w:tc>
        <w:tc>
          <w:tcPr>
            <w:tcW w:w="2673" w:type="dxa"/>
            <w:gridSpan w:val="2"/>
          </w:tcPr>
          <w:p w14:paraId="742684A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Back</w:t>
            </w:r>
            <w:r w:rsidRPr="00555120">
              <w:rPr>
                <w:rFonts w:ascii="Arial Regular" w:hAnsi="Arial Regular" w:cs="Arial Regular"/>
                <w:b/>
                <w:bCs/>
                <w:color w:val="000000" w:themeColor="text1"/>
                <w:sz w:val="24"/>
              </w:rPr>
              <w:t xml:space="preserve"> attending </w:t>
            </w:r>
            <w:r>
              <w:rPr>
                <w:rFonts w:ascii="Arial Regular" w:hAnsi="Arial Regular" w:cs="Arial Regular"/>
                <w:b/>
                <w:bCs/>
                <w:sz w:val="24"/>
              </w:rPr>
              <w:t>episodes</w:t>
            </w:r>
          </w:p>
        </w:tc>
        <w:tc>
          <w:tcPr>
            <w:tcW w:w="2527" w:type="dxa"/>
            <w:gridSpan w:val="2"/>
          </w:tcPr>
          <w:p w14:paraId="04BB0901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Hind paw licking episodes</w:t>
            </w:r>
          </w:p>
        </w:tc>
        <w:tc>
          <w:tcPr>
            <w:tcW w:w="2449" w:type="dxa"/>
            <w:gridSpan w:val="2"/>
          </w:tcPr>
          <w:p w14:paraId="1655303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Back scratching bouts</w:t>
            </w:r>
          </w:p>
        </w:tc>
      </w:tr>
      <w:tr w:rsidR="00D95B3F" w14:paraId="72AC59F3" w14:textId="77777777">
        <w:trPr>
          <w:trHeight w:val="698"/>
        </w:trPr>
        <w:tc>
          <w:tcPr>
            <w:tcW w:w="1355" w:type="dxa"/>
          </w:tcPr>
          <w:p w14:paraId="5BA77551" w14:textId="77777777" w:rsidR="00D95B3F" w:rsidRDefault="00D95B3F">
            <w:pPr>
              <w:rPr>
                <w:rFonts w:ascii="Arial Regular" w:hAnsi="Arial Regular" w:cs="Arial Regular" w:hint="eastAsia"/>
                <w:b/>
                <w:bCs/>
                <w:sz w:val="24"/>
              </w:rPr>
            </w:pPr>
          </w:p>
        </w:tc>
        <w:tc>
          <w:tcPr>
            <w:tcW w:w="1418" w:type="dxa"/>
          </w:tcPr>
          <w:p w14:paraId="424C7CD7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Pre-stim.</w:t>
            </w:r>
          </w:p>
        </w:tc>
        <w:tc>
          <w:tcPr>
            <w:tcW w:w="1255" w:type="dxa"/>
          </w:tcPr>
          <w:p w14:paraId="0B5E2AD6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Stim.</w:t>
            </w:r>
          </w:p>
        </w:tc>
        <w:tc>
          <w:tcPr>
            <w:tcW w:w="1400" w:type="dxa"/>
          </w:tcPr>
          <w:p w14:paraId="369E085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Pre-stim.</w:t>
            </w:r>
          </w:p>
        </w:tc>
        <w:tc>
          <w:tcPr>
            <w:tcW w:w="1127" w:type="dxa"/>
          </w:tcPr>
          <w:p w14:paraId="67B2DF13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Stim.</w:t>
            </w:r>
          </w:p>
        </w:tc>
        <w:tc>
          <w:tcPr>
            <w:tcW w:w="1309" w:type="dxa"/>
          </w:tcPr>
          <w:p w14:paraId="5424C43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Pre-stim.</w:t>
            </w:r>
          </w:p>
        </w:tc>
        <w:tc>
          <w:tcPr>
            <w:tcW w:w="1140" w:type="dxa"/>
          </w:tcPr>
          <w:p w14:paraId="2187D2BD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Stim.</w:t>
            </w:r>
          </w:p>
        </w:tc>
      </w:tr>
      <w:tr w:rsidR="00D95B3F" w14:paraId="7BD2E9F9" w14:textId="77777777">
        <w:trPr>
          <w:trHeight w:val="737"/>
        </w:trPr>
        <w:tc>
          <w:tcPr>
            <w:tcW w:w="1355" w:type="dxa"/>
          </w:tcPr>
          <w:p w14:paraId="5903AF72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b/>
                <w:bCs/>
                <w:sz w:val="24"/>
              </w:rPr>
            </w:pPr>
            <w:r>
              <w:rPr>
                <w:rFonts w:ascii="Arial Regular" w:hAnsi="Arial Regular" w:cs="Arial Regular"/>
                <w:b/>
                <w:bCs/>
                <w:sz w:val="24"/>
              </w:rPr>
              <w:t>0.5</w:t>
            </w:r>
          </w:p>
        </w:tc>
        <w:tc>
          <w:tcPr>
            <w:tcW w:w="1418" w:type="dxa"/>
          </w:tcPr>
          <w:p w14:paraId="7D6E7F1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bCs/>
                <w:color w:val="000000" w:themeColor="text1"/>
                <w:sz w:val="24"/>
              </w:rPr>
              <w:t xml:space="preserve">12.01 </w:t>
            </w: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± 4.35</w:t>
            </w:r>
          </w:p>
        </w:tc>
        <w:tc>
          <w:tcPr>
            <w:tcW w:w="1255" w:type="dxa"/>
          </w:tcPr>
          <w:p w14:paraId="130F0EB8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38.0 ± 9.05</w:t>
            </w:r>
          </w:p>
        </w:tc>
        <w:tc>
          <w:tcPr>
            <w:tcW w:w="1400" w:type="dxa"/>
          </w:tcPr>
          <w:p w14:paraId="43B46F80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1.14 ± 0.40</w:t>
            </w:r>
          </w:p>
        </w:tc>
        <w:tc>
          <w:tcPr>
            <w:tcW w:w="1127" w:type="dxa"/>
          </w:tcPr>
          <w:p w14:paraId="7C26665A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1.87 ± 0.55</w:t>
            </w:r>
          </w:p>
        </w:tc>
        <w:tc>
          <w:tcPr>
            <w:tcW w:w="1309" w:type="dxa"/>
          </w:tcPr>
          <w:p w14:paraId="68317744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7.14 ± 1.72</w:t>
            </w:r>
          </w:p>
        </w:tc>
        <w:tc>
          <w:tcPr>
            <w:tcW w:w="1140" w:type="dxa"/>
          </w:tcPr>
          <w:p w14:paraId="4CB94D2F" w14:textId="77777777" w:rsidR="00D95B3F" w:rsidRDefault="00F34F8B">
            <w:pPr>
              <w:jc w:val="center"/>
              <w:rPr>
                <w:rFonts w:ascii="Arial Regular" w:hAnsi="Arial Regular" w:cs="Arial Regular" w:hint="eastAsia"/>
                <w:sz w:val="24"/>
              </w:rPr>
            </w:pPr>
            <w:r>
              <w:rPr>
                <w:rFonts w:ascii="Arial Regular" w:hAnsi="Arial Regular" w:cs="Arial Regular"/>
                <w:color w:val="000000" w:themeColor="text1"/>
                <w:sz w:val="24"/>
              </w:rPr>
              <w:t>12.71 ± 3.67</w:t>
            </w:r>
          </w:p>
        </w:tc>
      </w:tr>
    </w:tbl>
    <w:p w14:paraId="6566F6DB" w14:textId="77777777" w:rsidR="00D95B3F" w:rsidRDefault="00D95B3F"/>
    <w:p w14:paraId="3A192413" w14:textId="77777777" w:rsidR="00D95B3F" w:rsidRDefault="00D95B3F"/>
    <w:p w14:paraId="7189B1AF" w14:textId="77777777" w:rsidR="00D95B3F" w:rsidRDefault="00D95B3F"/>
    <w:p w14:paraId="4A727D09" w14:textId="77777777" w:rsidR="00D95B3F" w:rsidRDefault="00D95B3F"/>
    <w:p w14:paraId="2533A2DB" w14:textId="77777777" w:rsidR="00D95B3F" w:rsidRDefault="00D95B3F"/>
    <w:p w14:paraId="48FB6434" w14:textId="77777777" w:rsidR="00D95B3F" w:rsidRDefault="00D95B3F"/>
    <w:p w14:paraId="6F400504" w14:textId="77777777" w:rsidR="00D95B3F" w:rsidRDefault="00D95B3F"/>
    <w:p w14:paraId="060D5A66" w14:textId="77777777" w:rsidR="00D95B3F" w:rsidRDefault="00D95B3F"/>
    <w:p w14:paraId="4951BCEB" w14:textId="77777777" w:rsidR="00D95B3F" w:rsidRDefault="00D95B3F"/>
    <w:p w14:paraId="5FC9503F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491868AA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48740B30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6DE0A94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F4896F3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0ED3B130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6A4127CC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60A0A123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0D52A85D" w14:textId="77777777" w:rsidR="00D95B3F" w:rsidRDefault="00F34F8B">
      <w:pPr>
        <w:numPr>
          <w:ilvl w:val="0"/>
          <w:numId w:val="2"/>
        </w:numPr>
        <w:spacing w:line="480" w:lineRule="auto"/>
        <w:ind w:leftChars="-400" w:left="-840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>Supplemental Figures</w:t>
      </w:r>
    </w:p>
    <w:p w14:paraId="3711B9CC" w14:textId="77777777" w:rsidR="00D95B3F" w:rsidRDefault="00D95B3F">
      <w:pPr>
        <w:numPr>
          <w:ilvl w:val="255"/>
          <w:numId w:val="0"/>
        </w:num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3E11A1EC" w14:textId="77777777" w:rsidR="00D95B3F" w:rsidRDefault="00F34F8B">
      <w:pPr>
        <w:spacing w:line="480" w:lineRule="auto"/>
        <w:ind w:leftChars="-400" w:left="-840"/>
        <w:jc w:val="center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drawing>
          <wp:inline distT="0" distB="0" distL="114300" distR="114300">
            <wp:extent cx="5269865" cy="6819900"/>
            <wp:effectExtent l="0" t="0" r="13335" b="12700"/>
            <wp:docPr id="1" name="Picture 1" descr="May 8 2023 Manuscript MG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y 8 2023 Manuscript MG-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DBA45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035FB340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096C4AFC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1A8569E2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6470015</wp:posOffset>
                </wp:positionV>
                <wp:extent cx="914400" cy="9144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38275" y="804799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0B09E" w14:textId="77777777" w:rsidR="00D95B3F" w:rsidRDefault="00F34F8B">
                            <w:pPr>
                              <w:rPr>
                                <w:rFonts w:ascii="Arial Regular" w:hAnsi="Arial Regular" w:cs="Arial Regular" w:hint="eastAsia"/>
                                <w:b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Arial Regular" w:hAnsi="Arial Regular" w:cs="Arial Regular"/>
                                <w:b/>
                                <w:sz w:val="32"/>
                                <w:szCs w:val="40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4.25pt;margin-top:509.4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" filled="f" fillcolor="white [3201]" stroked="f" strokeweight=".5pt">
                <v:textbox>
                  <w:txbxContent>
                    <w:p w14:paraId="7520B09E" w14:textId="77777777" w:rsidR="00D95B3F" w:rsidRDefault="00F34F8B">
                      <w:pPr>
                        <w:rPr>
                          <w:rFonts w:ascii="Arial Regular" w:hAnsi="Arial Regular" w:cs="Arial Regular" w:hint="eastAsia"/>
                          <w:b/>
                          <w:sz w:val="32"/>
                          <w:szCs w:val="40"/>
                        </w:rPr>
                      </w:pPr>
                      <w:r>
                        <w:rPr>
                          <w:rFonts w:ascii="Arial Regular" w:hAnsi="Arial Regular" w:cs="Arial Regular"/>
                          <w:b/>
                          <w:sz w:val="32"/>
                          <w:szCs w:val="40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Regular" w:hAnsi="Arial Regular" w:cs="Arial Regular"/>
          <w:b/>
          <w:bCs/>
          <w:noProof/>
          <w:sz w:val="24"/>
          <w:lang w:eastAsia="en-US"/>
        </w:rPr>
        <w:drawing>
          <wp:inline distT="0" distB="0" distL="114300" distR="114300">
            <wp:extent cx="5212080" cy="6348095"/>
            <wp:effectExtent l="0" t="0" r="20320" b="1905"/>
            <wp:docPr id="2" name="Picture 2" descr="May 8 2023 Manuscript MG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y 8 2023 Manuscript MG-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634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49583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50887CA9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drawing>
          <wp:inline distT="0" distB="0" distL="114300" distR="114300">
            <wp:extent cx="2164715" cy="1451610"/>
            <wp:effectExtent l="0" t="0" r="19685" b="21590"/>
            <wp:docPr id="12" name="Picture 12" descr="Asse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sset 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45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33079" w14:textId="77777777" w:rsidR="00D95B3F" w:rsidRDefault="00D95B3F">
      <w:pPr>
        <w:spacing w:line="480" w:lineRule="auto"/>
        <w:ind w:leftChars="-400" w:left="-840" w:firstLineChars="150" w:firstLine="361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2F988E7C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0A9EECC3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drawing>
          <wp:inline distT="0" distB="0" distL="114300" distR="114300">
            <wp:extent cx="5266690" cy="6414135"/>
            <wp:effectExtent l="0" t="0" r="16510" b="12065"/>
            <wp:docPr id="3" name="Picture 3" descr="May 8 2023 Manuscript MG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y 8 2023 Manuscript MG-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1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DB3C8" w14:textId="77777777" w:rsidR="00D95B3F" w:rsidRDefault="00D95B3F">
      <w:p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7316C94F" w14:textId="77777777" w:rsidR="00D95B3F" w:rsidRDefault="00D95B3F">
      <w:pPr>
        <w:spacing w:line="480" w:lineRule="auto"/>
        <w:ind w:leftChars="-400" w:left="-840"/>
        <w:jc w:val="center"/>
        <w:rPr>
          <w:rFonts w:ascii="Arial Regular" w:hAnsi="Arial Regular" w:cs="Arial Regular" w:hint="eastAsia"/>
          <w:b/>
          <w:bCs/>
          <w:sz w:val="24"/>
        </w:rPr>
      </w:pPr>
    </w:p>
    <w:p w14:paraId="4C35CABE" w14:textId="77777777" w:rsidR="00D95B3F" w:rsidRDefault="00D95B3F">
      <w:pPr>
        <w:spacing w:line="480" w:lineRule="auto"/>
        <w:ind w:leftChars="-400" w:left="-840"/>
        <w:jc w:val="center"/>
        <w:rPr>
          <w:rFonts w:ascii="Arial Regular" w:hAnsi="Arial Regular" w:cs="Arial Regular" w:hint="eastAsia"/>
          <w:b/>
          <w:bCs/>
          <w:sz w:val="24"/>
        </w:rPr>
      </w:pPr>
    </w:p>
    <w:p w14:paraId="46AFBC5B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5ED9C706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lastRenderedPageBreak/>
        <w:drawing>
          <wp:inline distT="0" distB="0" distL="114300" distR="114300">
            <wp:extent cx="5266690" cy="6414135"/>
            <wp:effectExtent l="0" t="0" r="16510" b="12065"/>
            <wp:docPr id="4" name="Picture 4" descr="May 8 2023 Manuscript MG-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y 8 2023 Manuscript MG-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1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51475" w14:textId="77777777" w:rsidR="00D95B3F" w:rsidRDefault="00D95B3F">
      <w:p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34DEC032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60800306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2A00D43F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7CDB5145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04C9C2D9" w14:textId="77777777" w:rsidR="00D95B3F" w:rsidRDefault="00F34F8B">
      <w:p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lastRenderedPageBreak/>
        <w:drawing>
          <wp:inline distT="0" distB="0" distL="114300" distR="114300">
            <wp:extent cx="5266690" cy="6414135"/>
            <wp:effectExtent l="0" t="0" r="16510" b="12065"/>
            <wp:docPr id="8" name="Picture 8" descr="May 8 2023 Manuscript MG-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ay 8 2023 Manuscript MG-0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1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4BF32" w14:textId="77777777" w:rsidR="00D95B3F" w:rsidRDefault="00D95B3F">
      <w:p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2767BC21" w14:textId="77777777" w:rsidR="00D95B3F" w:rsidRDefault="00D95B3F">
      <w:pPr>
        <w:spacing w:line="480" w:lineRule="auto"/>
        <w:jc w:val="left"/>
        <w:rPr>
          <w:rFonts w:ascii="Arial Regular" w:hAnsi="Arial Regular" w:cs="Arial Regular" w:hint="eastAsia"/>
          <w:b/>
          <w:bCs/>
          <w:sz w:val="24"/>
        </w:rPr>
      </w:pPr>
    </w:p>
    <w:p w14:paraId="51A90518" w14:textId="77777777" w:rsidR="00D95B3F" w:rsidRDefault="00D95B3F">
      <w:pPr>
        <w:spacing w:line="480" w:lineRule="auto"/>
        <w:jc w:val="center"/>
        <w:rPr>
          <w:rFonts w:ascii="Arial Regular" w:hAnsi="Arial Regular" w:cs="Arial Regular" w:hint="eastAsia"/>
          <w:b/>
          <w:bCs/>
          <w:sz w:val="24"/>
        </w:rPr>
      </w:pPr>
    </w:p>
    <w:p w14:paraId="5C355204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04985DAA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644E000C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noProof/>
          <w:sz w:val="24"/>
          <w:lang w:eastAsia="en-US"/>
        </w:rPr>
        <w:lastRenderedPageBreak/>
        <w:drawing>
          <wp:inline distT="0" distB="0" distL="114300" distR="114300" wp14:editId="75A9DF25">
            <wp:extent cx="5482404" cy="6676846"/>
            <wp:effectExtent l="0" t="0" r="4445" b="0"/>
            <wp:docPr id="9" name="Picture 9" descr="May 8 2023 Manuscript MG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y 8 2023 Manuscript MG-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109" cy="6681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4BC88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76A15DA8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2792F556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4BDAAF18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1F7C172B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7691923A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49A3B175" w14:textId="77777777" w:rsidR="00D95B3F" w:rsidRDefault="00F34F8B">
      <w:pPr>
        <w:numPr>
          <w:ilvl w:val="0"/>
          <w:numId w:val="2"/>
        </w:num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>Supplementary Figure Legends</w:t>
      </w:r>
    </w:p>
    <w:p w14:paraId="27DBAF0C" w14:textId="77777777" w:rsidR="00D95B3F" w:rsidRDefault="00D95B3F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</w:p>
    <w:p w14:paraId="31D71529" w14:textId="77777777" w:rsidR="00D95B3F" w:rsidRDefault="00F34F8B">
      <w:p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b/>
          <w:bCs/>
          <w:sz w:val="24"/>
        </w:rPr>
        <w:t>Supplementary Figure 1</w:t>
      </w:r>
      <w:r>
        <w:rPr>
          <w:rFonts w:ascii="Arial Regular" w:hAnsi="Arial Regular" w:cs="Arial Regular"/>
          <w:sz w:val="24"/>
        </w:rPr>
        <w:t xml:space="preserve">. </w:t>
      </w:r>
      <w:r>
        <w:rPr>
          <w:rFonts w:ascii="Arial Regular" w:hAnsi="Arial Regular" w:cs="Arial Regular"/>
          <w:b/>
          <w:bCs/>
          <w:sz w:val="24"/>
        </w:rPr>
        <w:t xml:space="preserve">Histological characterizations of </w:t>
      </w:r>
      <w:proofErr w:type="spellStart"/>
      <w:r>
        <w:rPr>
          <w:rFonts w:ascii="Arial Bold Italic" w:hAnsi="Arial Bold Italic" w:cs="Arial Bold Italic"/>
          <w:b/>
          <w:bCs/>
          <w:i/>
          <w:iCs/>
          <w:sz w:val="24"/>
        </w:rPr>
        <w:t>Split</w:t>
      </w:r>
      <w:r>
        <w:rPr>
          <w:rFonts w:ascii="Arial Bold Italic" w:hAnsi="Arial Bold Italic" w:cs="Arial Bold Italic"/>
          <w:b/>
          <w:bCs/>
          <w:i/>
          <w:iCs/>
          <w:sz w:val="24"/>
          <w:vertAlign w:val="superscript"/>
        </w:rPr>
        <w:t>Cre</w:t>
      </w:r>
      <w:proofErr w:type="spellEnd"/>
      <w:r>
        <w:rPr>
          <w:rFonts w:ascii="Arial Bold Italic" w:hAnsi="Arial Bold Italic" w:cs="Arial Bold Italic"/>
          <w:b/>
          <w:bCs/>
          <w:i/>
          <w:iCs/>
          <w:sz w:val="24"/>
        </w:rPr>
        <w:t>-</w:t>
      </w:r>
      <w:r>
        <w:rPr>
          <w:rFonts w:ascii="Arial Italic" w:eastAsia="SimSun" w:hAnsi="Arial Italic" w:cs="Arial Italic"/>
          <w:b/>
          <w:bCs/>
          <w:i/>
          <w:iCs/>
          <w:color w:val="000000"/>
          <w:kern w:val="0"/>
          <w:sz w:val="24"/>
          <w:lang w:bidi="ar"/>
        </w:rPr>
        <w:t>Aβ</w:t>
      </w:r>
      <w:r>
        <w:rPr>
          <w:rFonts w:ascii="Arial Bold Italic" w:hAnsi="Arial Bold Italic" w:cs="Arial Bold Italic"/>
          <w:b/>
          <w:bCs/>
          <w:i/>
          <w:iCs/>
          <w:sz w:val="24"/>
        </w:rPr>
        <w:t xml:space="preserve"> </w:t>
      </w:r>
      <w:proofErr w:type="spellStart"/>
      <w:r>
        <w:rPr>
          <w:rFonts w:ascii="Arial Bold Italic" w:hAnsi="Arial Bold Italic" w:cs="Arial Bold Italic"/>
          <w:b/>
          <w:bCs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b/>
          <w:bCs/>
          <w:sz w:val="24"/>
        </w:rPr>
        <w:t xml:space="preserve"> mice, related to Figure 1. </w:t>
      </w:r>
      <w:r>
        <w:rPr>
          <w:rFonts w:ascii="Arial Regular" w:hAnsi="Arial Regular" w:cs="Arial Regular"/>
          <w:sz w:val="24"/>
        </w:rPr>
        <w:t xml:space="preserve"> </w:t>
      </w:r>
    </w:p>
    <w:p w14:paraId="23538968" w14:textId="77777777" w:rsidR="00D95B3F" w:rsidRDefault="00F34F8B">
      <w:pPr>
        <w:numPr>
          <w:ilvl w:val="0"/>
          <w:numId w:val="3"/>
        </w:num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sz w:val="24"/>
        </w:rPr>
        <w:t xml:space="preserve">Schematic depicting the genetic configuration of the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sz w:val="24"/>
        </w:rPr>
        <w:t xml:space="preserve"> mouse line. (B) Schematic depicting the breeding strategy to generate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r>
        <w:rPr>
          <w:rFonts w:ascii="Arial Italic" w:hAnsi="Arial Italic" w:cs="Arial Italic"/>
          <w:i/>
          <w:iCs/>
          <w:sz w:val="24"/>
        </w:rPr>
        <w:t>;Advil</w:t>
      </w:r>
      <w:r>
        <w:rPr>
          <w:rFonts w:ascii="Arial Italic" w:hAnsi="Arial Italic" w:cs="Arial Italic"/>
          <w:i/>
          <w:iCs/>
          <w:sz w:val="24"/>
          <w:vertAlign w:val="superscript"/>
        </w:rPr>
        <w:t>FlpO</w:t>
      </w:r>
      <w:r>
        <w:rPr>
          <w:rFonts w:ascii="Arial Italic" w:hAnsi="Arial Italic" w:cs="Arial Italic"/>
          <w:i/>
          <w:iCs/>
          <w:sz w:val="24"/>
        </w:rPr>
        <w:t>;Rosa</w:t>
      </w:r>
      <w:r>
        <w:rPr>
          <w:rFonts w:ascii="Arial Italic" w:hAnsi="Arial Italic" w:cs="Arial Italic"/>
          <w:i/>
          <w:iCs/>
          <w:sz w:val="24"/>
          <w:vertAlign w:val="superscript"/>
        </w:rPr>
        <w:t>ReaChRf</w:t>
      </w:r>
      <w:proofErr w:type="spellEnd"/>
      <w:r>
        <w:rPr>
          <w:rFonts w:ascii="Arial Italic" w:hAnsi="Arial Italic" w:cs="Arial Italic"/>
          <w:i/>
          <w:iCs/>
          <w:sz w:val="24"/>
          <w:vertAlign w:val="superscript"/>
        </w:rPr>
        <w:t>/+</w:t>
      </w:r>
      <w:r>
        <w:rPr>
          <w:rFonts w:ascii="Arial Regular" w:hAnsi="Arial Regular" w:cs="Arial Regular"/>
          <w:sz w:val="24"/>
        </w:rPr>
        <w:t xml:space="preserve"> triple mice. (C-E) Images of dermal papilla sections of the plantar skin showing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nerves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and innervate S100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Meissner’s corpuscles.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fibers rarely innervate the K8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Merkel cell at the base of papilla. (F) Quantification of the percentage of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innervating Meissner’s corpuscles. Data are presented as Mean ± SEM. 6-8 sections/mouse, n = 4-6 mice. (G) Whole-mount immunostaining of the hairy back skin showing that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>. (H-J) Whole-mount immunostaining of the hairy back and tail skin showing that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>. A few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fibers innervate Merkel cells in the hairy skin (an example indicated by a white arrowhead). n = 4-6 mice. (K-N) Whole-mount immunostaining of the hairy back, nape and posterior ear skin showing that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and form lanceolate ending structures around hair follicles. </w:t>
      </w:r>
    </w:p>
    <w:p w14:paraId="56CB2782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4AB78011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7CB8DDD8" w14:textId="77777777" w:rsidR="00D95B3F" w:rsidRDefault="00F34F8B">
      <w:p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b/>
          <w:bCs/>
          <w:sz w:val="24"/>
        </w:rPr>
        <w:lastRenderedPageBreak/>
        <w:t xml:space="preserve">Supplementary Figure 2. Histological characterization of </w:t>
      </w:r>
      <w:proofErr w:type="spellStart"/>
      <w:r>
        <w:rPr>
          <w:rFonts w:ascii="Arial Regular" w:hAnsi="Arial Regular" w:cs="Arial Regular"/>
          <w:b/>
          <w:bCs/>
          <w:i/>
          <w:sz w:val="24"/>
        </w:rPr>
        <w:t>Split</w:t>
      </w:r>
      <w:r>
        <w:rPr>
          <w:rFonts w:ascii="Arial Regular" w:hAnsi="Arial Regular" w:cs="Arial Regular"/>
          <w:b/>
          <w:bCs/>
          <w:i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b/>
          <w:bCs/>
          <w:i/>
          <w:sz w:val="24"/>
        </w:rPr>
        <w:t xml:space="preserve">-Aβ </w:t>
      </w:r>
      <w:proofErr w:type="spellStart"/>
      <w:r>
        <w:rPr>
          <w:rFonts w:ascii="Arial Regular" w:hAnsi="Arial Regular" w:cs="Arial Regular"/>
          <w:b/>
          <w:bCs/>
          <w:i/>
          <w:sz w:val="24"/>
        </w:rPr>
        <w:t>TauDTR</w:t>
      </w:r>
      <w:proofErr w:type="spellEnd"/>
      <w:r>
        <w:rPr>
          <w:rFonts w:ascii="Arial Regular" w:hAnsi="Arial Regular" w:cs="Arial Regular"/>
          <w:b/>
          <w:bCs/>
          <w:sz w:val="24"/>
        </w:rPr>
        <w:t xml:space="preserve"> mice, related to Figure 2.</w:t>
      </w:r>
      <w:r>
        <w:rPr>
          <w:rFonts w:ascii="Arial Regular" w:hAnsi="Arial Regular" w:cs="Arial Regular"/>
          <w:sz w:val="24"/>
        </w:rPr>
        <w:t xml:space="preserve"> </w:t>
      </w:r>
    </w:p>
    <w:p w14:paraId="5B23A738" w14:textId="77777777" w:rsidR="00D95B3F" w:rsidRPr="00555120" w:rsidRDefault="00F34F8B">
      <w:pPr>
        <w:numPr>
          <w:ilvl w:val="0"/>
          <w:numId w:val="4"/>
        </w:numPr>
        <w:spacing w:line="480" w:lineRule="auto"/>
        <w:rPr>
          <w:rFonts w:ascii="Arial Regular" w:hAnsi="Arial Regular" w:cs="Arial Regular" w:hint="eastAsia"/>
          <w:color w:val="000000" w:themeColor="text1"/>
          <w:sz w:val="24"/>
        </w:rPr>
      </w:pPr>
      <w:r>
        <w:rPr>
          <w:rFonts w:ascii="Arial Regular" w:hAnsi="Arial Regular" w:cs="Arial Regular"/>
          <w:sz w:val="24"/>
        </w:rPr>
        <w:t xml:space="preserve">Immunostaining of a lumbar DRG section showed a little overlap between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DRG neurons and nociceptor markers CGRP or IB4. (B) Immunostaining of DRG sections showing high overlaps between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DRG neurons and a large-diameter neuron marker NF200. White arrows indicate some overlapped neurons. (C) Immunostaining of DRG sections showed some overlap between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DRG neurons and a proprioceptive marker PV. (D) Quantification of the percentage of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neurons expressing different markers. 6-8 sections/mouse, n = 4-6 mice. Error bars represent Mean ± S.E.M. (E) Immunostaining of a lumbar spinal cord section showing laminar segregation of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and CGRP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or IB4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nociceptor terminals. (F) Immunostaining of a lumbar spinal cord section showing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innervate deeper dorsal horn lamina (III-V), indicated by VGLUT1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staining. (G-I) Immunostaining of plantar skin sections showed that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and innervate Meissner’s corpuscles (revealed by S100 staining) but rarely innervate K8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Merkel cells. White arrows indicate some Meissner’s corpuscles, while white arrowheads indicate some Merkel cells. 6-8 sections/mouse, n = 4-6 mice. (J) Whole-mount immunostaining of the hairy back skin shows that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. (K) Whole-mount immunostaining of the hairy back skin showed that most of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are NF200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, and a </w:t>
      </w:r>
      <w:r>
        <w:rPr>
          <w:rFonts w:ascii="Arial Regular" w:hAnsi="Arial Regular" w:cs="Arial Regular"/>
          <w:sz w:val="24"/>
        </w:rPr>
        <w:lastRenderedPageBreak/>
        <w:t xml:space="preserve">few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fibers also innervate Merkel cells (One example indicated by a white arrowhead). (L-N) Whole-mount immunostaining of the nape, posterior ear and back skin showing that </w:t>
      </w:r>
      <w:proofErr w:type="spellStart"/>
      <w:r>
        <w:rPr>
          <w:rFonts w:ascii="Arial Regular" w:hAnsi="Arial Regular" w:cs="Arial Regular"/>
          <w:sz w:val="24"/>
        </w:rPr>
        <w:t>tdTomato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peripheral axons form lanceolate endings around the hair follicles of different hairy skin regions. </w:t>
      </w:r>
      <w:r w:rsidRPr="00555120">
        <w:rPr>
          <w:rFonts w:ascii="Arial Regular" w:hAnsi="Arial Regular" w:cs="Arial Regular"/>
          <w:color w:val="000000" w:themeColor="text1"/>
          <w:sz w:val="24"/>
        </w:rPr>
        <w:t xml:space="preserve">(O) Quantification of total </w:t>
      </w:r>
      <w:proofErr w:type="spellStart"/>
      <w:r w:rsidRPr="00555120">
        <w:rPr>
          <w:rFonts w:ascii="Arial Regular" w:hAnsi="Arial Regular" w:cs="Arial Regular"/>
          <w:color w:val="000000" w:themeColor="text1"/>
          <w:sz w:val="24"/>
        </w:rPr>
        <w:t>tdTomato</w:t>
      </w:r>
      <w:proofErr w:type="spellEnd"/>
      <w:r w:rsidRPr="00555120">
        <w:rPr>
          <w:rFonts w:ascii="Arial Regular" w:hAnsi="Arial Regular" w:cs="Arial Regular"/>
          <w:color w:val="000000" w:themeColor="text1"/>
          <w:sz w:val="24"/>
          <w:vertAlign w:val="superscript"/>
        </w:rPr>
        <w:t>+</w:t>
      </w:r>
      <w:r w:rsidRPr="00555120">
        <w:rPr>
          <w:rFonts w:ascii="Arial Regular" w:hAnsi="Arial Regular" w:cs="Arial Regular"/>
          <w:color w:val="000000" w:themeColor="text1"/>
          <w:sz w:val="24"/>
        </w:rPr>
        <w:t xml:space="preserve"> fibers innervating dermal papilla per footpad section showed a significant decrease with DTA-treatment (p = 0.0022), 5-7 sections per mouse, n = 6 mice. Error bars represent Mean ± S.E.M. Unpaired, two-tailed Mann-Whitney test. **p &lt; 0.01</w:t>
      </w:r>
    </w:p>
    <w:p w14:paraId="161E6AA4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7EDC11D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67163D77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 xml:space="preserve">Supplementary Figure 3. Ablation of </w:t>
      </w:r>
      <w:proofErr w:type="spellStart"/>
      <w:r>
        <w:rPr>
          <w:rFonts w:ascii="Arial Regular" w:hAnsi="Arial Regular" w:cs="Arial Regular"/>
          <w:b/>
          <w:bCs/>
          <w:sz w:val="24"/>
        </w:rPr>
        <w:t>Split</w:t>
      </w:r>
      <w:r>
        <w:rPr>
          <w:rFonts w:ascii="Arial Regular" w:hAnsi="Arial Regular" w:cs="Arial Regular"/>
          <w:b/>
          <w:bCs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b/>
          <w:bCs/>
          <w:sz w:val="24"/>
        </w:rPr>
        <w:t>-A</w:t>
      </w:r>
      <w:r>
        <w:rPr>
          <w:rFonts w:ascii="Arial Bold" w:hAnsi="Arial Bold" w:cs="Arial Bold"/>
          <w:b/>
          <w:bCs/>
          <w:iCs/>
          <w:sz w:val="24"/>
        </w:rPr>
        <w:t>β</w:t>
      </w:r>
      <w:r>
        <w:rPr>
          <w:rFonts w:ascii="Arial Regular" w:hAnsi="Arial Regular" w:cs="Arial Regular"/>
          <w:b/>
          <w:bCs/>
          <w:sz w:val="24"/>
        </w:rPr>
        <w:t>-LTMRs did not alter general locomotion, and thermal sensation, related to Figure 3.</w:t>
      </w:r>
    </w:p>
    <w:p w14:paraId="5B40E674" w14:textId="77777777" w:rsidR="00D95B3F" w:rsidRDefault="00F34F8B">
      <w:pPr>
        <w:numPr>
          <w:ilvl w:val="0"/>
          <w:numId w:val="5"/>
        </w:num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sz w:val="24"/>
        </w:rPr>
        <w:t xml:space="preserve">Ablation of </w:t>
      </w:r>
      <w:proofErr w:type="spellStart"/>
      <w:r>
        <w:rPr>
          <w:rFonts w:ascii="Arial Regular" w:hAnsi="Arial Regular" w:cs="Arial Regular"/>
          <w:sz w:val="24"/>
        </w:rPr>
        <w:t>Split</w:t>
      </w:r>
      <w:r>
        <w:rPr>
          <w:rFonts w:ascii="Arial Regular" w:hAnsi="Arial Regular" w:cs="Arial Regular"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sz w:val="24"/>
        </w:rPr>
        <w:t>-A</w:t>
      </w:r>
      <w:r>
        <w:rPr>
          <w:rFonts w:ascii="Arial Regular" w:hAnsi="Arial Regular" w:cs="Arial Regular"/>
          <w:iCs/>
          <w:sz w:val="24"/>
        </w:rPr>
        <w:t>β</w:t>
      </w:r>
      <w:r>
        <w:rPr>
          <w:rFonts w:ascii="Arial Regular" w:hAnsi="Arial Regular" w:cs="Arial Regular"/>
          <w:sz w:val="24"/>
        </w:rPr>
        <w:t xml:space="preserve">-LTMRs did not alter the time spent in peripheral (p = 0.38) and central zones (p = 0.328) in vehicle vs DTA treated mice. There was also no difference in total distance travelled between the two groups (p = 0.72). (B) No difference in baseline heat nociception sensitivity, indicated by the latency of hind paw flick (p = 0.64), hind paw lick (p = 0.904), or jump (p = 0.733), in the DTA vs vehicle treated groups in static hotplate test. (C) No difference in baseline heat nociception sensitivity, indicated by the heat pain temperature threshold (p = 0.702) between the DTA vs vehicle treated using the dynamic hotplate test, n = 8 mice in each group in (A-C). (D) No difference in baseline cold nociception sensitivity, indicated by the paw-withdrawal </w:t>
      </w:r>
      <w:r>
        <w:rPr>
          <w:rFonts w:ascii="Arial Regular" w:hAnsi="Arial Regular" w:cs="Arial Regular"/>
          <w:sz w:val="24"/>
        </w:rPr>
        <w:lastRenderedPageBreak/>
        <w:t xml:space="preserve">latency (p = 0.395) to dry ice, between the DTA vs vehicle treated groups, n = 9 mice in each group. </w:t>
      </w:r>
      <w:r w:rsidRPr="001D76C2">
        <w:rPr>
          <w:rFonts w:ascii="Arial Regular" w:hAnsi="Arial Regular" w:cs="Arial Regular"/>
          <w:color w:val="000000" w:themeColor="text1"/>
          <w:sz w:val="24"/>
        </w:rPr>
        <w:t xml:space="preserve">(E) Representative images of hook (a) and loop (b) material of the Velcro surface. Scale bar = 0.5 mm. </w:t>
      </w:r>
      <w:r>
        <w:rPr>
          <w:rFonts w:ascii="Arial Regular" w:hAnsi="Arial Regular" w:cs="Arial Regular"/>
          <w:sz w:val="24"/>
        </w:rPr>
        <w:t xml:space="preserve">Error bars represent Mean ± S.E.M. Unpaired, two-tailed Mann-Whitney test. *p &lt; 0.05, **p &lt; 0.01; ***p &lt; 0.001, ns = non significance, BL = baseline. </w:t>
      </w:r>
    </w:p>
    <w:p w14:paraId="63D5E361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F80E804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F51AAE2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 xml:space="preserve">Supplementary Figure 4. Ablation of </w:t>
      </w:r>
      <w:proofErr w:type="spellStart"/>
      <w:r>
        <w:rPr>
          <w:rFonts w:ascii="Arial Regular" w:hAnsi="Arial Regular" w:cs="Arial Regular"/>
          <w:b/>
          <w:bCs/>
          <w:sz w:val="24"/>
        </w:rPr>
        <w:t>Split</w:t>
      </w:r>
      <w:r>
        <w:rPr>
          <w:rFonts w:ascii="Arial Regular" w:hAnsi="Arial Regular" w:cs="Arial Regular"/>
          <w:b/>
          <w:bCs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b/>
          <w:bCs/>
          <w:sz w:val="24"/>
        </w:rPr>
        <w:t>-A</w:t>
      </w:r>
      <w:r>
        <w:rPr>
          <w:rFonts w:ascii="Arial Bold" w:hAnsi="Arial Bold" w:cs="Arial Bold"/>
          <w:b/>
          <w:bCs/>
          <w:iCs/>
          <w:sz w:val="24"/>
        </w:rPr>
        <w:t>β</w:t>
      </w:r>
      <w:r>
        <w:rPr>
          <w:rFonts w:ascii="Arial Regular" w:hAnsi="Arial Regular" w:cs="Arial Regular"/>
          <w:b/>
          <w:bCs/>
          <w:sz w:val="24"/>
        </w:rPr>
        <w:t xml:space="preserve">-LTMRs altered the gentle touch and nociception in the hairy skin, related to Figure 3. </w:t>
      </w:r>
    </w:p>
    <w:p w14:paraId="6B157A3D" w14:textId="77777777" w:rsidR="00D95B3F" w:rsidRDefault="00F34F8B">
      <w:pPr>
        <w:numPr>
          <w:ilvl w:val="0"/>
          <w:numId w:val="6"/>
        </w:num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sz w:val="24"/>
        </w:rPr>
        <w:t>Illustration showing cutaneous sensory afferents of the ablated hairy skin; green fibers represent nociceptive C/</w:t>
      </w:r>
      <w:proofErr w:type="spellStart"/>
      <w:r>
        <w:rPr>
          <w:rFonts w:ascii="Arial Regular" w:hAnsi="Arial Regular" w:cs="Arial Regular"/>
          <w:sz w:val="24"/>
        </w:rPr>
        <w:t>A</w:t>
      </w:r>
      <w:r>
        <w:rPr>
          <w:rFonts w:ascii="Arial Regular" w:hAnsi="Arial Regular" w:cs="Arial Regular"/>
          <w:iCs/>
          <w:sz w:val="24"/>
        </w:rPr>
        <w:t>δ</w:t>
      </w:r>
      <w:proofErr w:type="spellEnd"/>
      <w:r>
        <w:rPr>
          <w:rFonts w:ascii="Arial Regular" w:hAnsi="Arial Regular" w:cs="Arial Regular"/>
          <w:sz w:val="24"/>
        </w:rPr>
        <w:t xml:space="preserve"> fibers; red fibers represent RA A</w:t>
      </w:r>
      <w:r>
        <w:rPr>
          <w:rFonts w:ascii="Arial Regular" w:hAnsi="Arial Regular" w:cs="Arial Regular"/>
          <w:iCs/>
          <w:sz w:val="24"/>
        </w:rPr>
        <w:t>β</w:t>
      </w:r>
      <w:r>
        <w:rPr>
          <w:rFonts w:ascii="Arial Regular" w:hAnsi="Arial Regular" w:cs="Arial Regular"/>
          <w:sz w:val="24"/>
        </w:rPr>
        <w:t>-LTMRs encircling the hair follicles; black fibers represent SA A</w:t>
      </w:r>
      <w:r>
        <w:rPr>
          <w:rFonts w:ascii="Arial Regular" w:hAnsi="Arial Regular" w:cs="Arial Regular"/>
          <w:iCs/>
          <w:sz w:val="24"/>
        </w:rPr>
        <w:t>β</w:t>
      </w:r>
      <w:r>
        <w:rPr>
          <w:rFonts w:ascii="Arial Regular" w:hAnsi="Arial Regular" w:cs="Arial Regular"/>
          <w:sz w:val="24"/>
        </w:rPr>
        <w:t xml:space="preserve">-LTMRs innervating Merkel cells (black bead-like structures); blue and brown colored fibers represent the C- and </w:t>
      </w:r>
      <w:proofErr w:type="spellStart"/>
      <w:r>
        <w:rPr>
          <w:rFonts w:ascii="Arial Regular" w:hAnsi="Arial Regular" w:cs="Arial Regular"/>
          <w:sz w:val="24"/>
        </w:rPr>
        <w:t>A</w:t>
      </w:r>
      <w:r>
        <w:rPr>
          <w:rFonts w:ascii="Arial Regular" w:hAnsi="Arial Regular" w:cs="Arial Regular"/>
          <w:iCs/>
          <w:sz w:val="24"/>
        </w:rPr>
        <w:t>δ</w:t>
      </w:r>
      <w:proofErr w:type="spellEnd"/>
      <w:r>
        <w:rPr>
          <w:rFonts w:ascii="Arial Regular" w:hAnsi="Arial Regular" w:cs="Arial Regular"/>
          <w:sz w:val="24"/>
        </w:rPr>
        <w:t xml:space="preserve">-LTMRs respectively; ‘X’ symbol represents the DTA-induced selective ablation of </w:t>
      </w:r>
      <w:proofErr w:type="spellStart"/>
      <w:r>
        <w:rPr>
          <w:rFonts w:ascii="Arial Regular" w:hAnsi="Arial Regular" w:cs="Arial Regular"/>
          <w:sz w:val="24"/>
        </w:rPr>
        <w:t>Split</w:t>
      </w:r>
      <w:r>
        <w:rPr>
          <w:rFonts w:ascii="Arial Regular" w:hAnsi="Arial Regular" w:cs="Arial Regular"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sz w:val="24"/>
        </w:rPr>
        <w:t>-A</w:t>
      </w:r>
      <w:r>
        <w:rPr>
          <w:rFonts w:ascii="Arial Regular" w:hAnsi="Arial Regular" w:cs="Arial Regular"/>
          <w:iCs/>
          <w:sz w:val="24"/>
        </w:rPr>
        <w:t>β</w:t>
      </w:r>
      <w:r>
        <w:rPr>
          <w:rFonts w:ascii="Arial Regular" w:hAnsi="Arial Regular" w:cs="Arial Regular"/>
          <w:sz w:val="24"/>
        </w:rPr>
        <w:t xml:space="preserve">-LTMRs. (B) The ablated mice showed significantly increased scratching behaviors in response to a tape attached to the back (p = 0.0027). (C) In response to a tape attached to the back, no difference in licking behaviors between the vehicle and DTA groups (p = 0.743) was observed. (D) The ablated mice displayed significantly increased number of licking episodes (p = 0.0074) in response to the application of an alligator clip at the nape of the neck. n = 11 and 10 mice in vehicle and DTA groups respectively in (B-D). Also see the supplementary video 3. Error bars </w:t>
      </w:r>
      <w:r>
        <w:rPr>
          <w:rFonts w:ascii="Arial Regular" w:hAnsi="Arial Regular" w:cs="Arial Regular"/>
          <w:sz w:val="24"/>
        </w:rPr>
        <w:lastRenderedPageBreak/>
        <w:t xml:space="preserve">represent Mean ± S.E.M. Unpaired, two-tailed Mann-Whitney test. **p &lt; 0.01. </w:t>
      </w:r>
    </w:p>
    <w:p w14:paraId="31FF63B5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DA0DFCF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0FB6E5DD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>Supplementary Figure 5.</w:t>
      </w:r>
      <w:r>
        <w:rPr>
          <w:rFonts w:ascii="Arial Regular" w:hAnsi="Arial Regular" w:cs="Arial Regular"/>
          <w:sz w:val="24"/>
        </w:rPr>
        <w:t xml:space="preserve"> </w:t>
      </w:r>
      <w:r>
        <w:rPr>
          <w:rFonts w:ascii="Arial Regular" w:hAnsi="Arial Regular" w:cs="Arial Regular"/>
          <w:b/>
          <w:bCs/>
          <w:sz w:val="24"/>
        </w:rPr>
        <w:t xml:space="preserve">Local optogenetic activation of </w:t>
      </w:r>
      <w:proofErr w:type="spellStart"/>
      <w:r>
        <w:rPr>
          <w:rFonts w:ascii="Arial Regular" w:hAnsi="Arial Regular" w:cs="Arial Regular"/>
          <w:b/>
          <w:bCs/>
          <w:sz w:val="24"/>
        </w:rPr>
        <w:t>Split</w:t>
      </w:r>
      <w:r>
        <w:rPr>
          <w:rFonts w:ascii="Arial Regular" w:hAnsi="Arial Regular" w:cs="Arial Regular"/>
          <w:b/>
          <w:bCs/>
          <w:sz w:val="24"/>
          <w:vertAlign w:val="superscript"/>
        </w:rPr>
        <w:t>Cre</w:t>
      </w:r>
      <w:proofErr w:type="spellEnd"/>
      <w:r>
        <w:rPr>
          <w:rFonts w:ascii="Arial Regular" w:hAnsi="Arial Regular" w:cs="Arial Regular"/>
          <w:b/>
          <w:bCs/>
          <w:sz w:val="24"/>
        </w:rPr>
        <w:t>-A</w:t>
      </w:r>
      <w:r>
        <w:rPr>
          <w:rFonts w:ascii="Arial Bold" w:hAnsi="Arial Bold" w:cs="Arial Bold"/>
          <w:b/>
          <w:bCs/>
          <w:iCs/>
          <w:sz w:val="24"/>
        </w:rPr>
        <w:t>β</w:t>
      </w:r>
      <w:r>
        <w:rPr>
          <w:rFonts w:ascii="Arial Regular" w:hAnsi="Arial Regular" w:cs="Arial Regular"/>
          <w:b/>
          <w:bCs/>
          <w:sz w:val="24"/>
        </w:rPr>
        <w:t>-LTMRs at different skin areas, and CFA-induced inflammation alter the GFP</w:t>
      </w:r>
      <w:r>
        <w:rPr>
          <w:rFonts w:ascii="Arial Regular" w:hAnsi="Arial Regular" w:cs="Arial Regular"/>
          <w:b/>
          <w:bCs/>
          <w:sz w:val="24"/>
          <w:vertAlign w:val="superscript"/>
        </w:rPr>
        <w:t xml:space="preserve">+ </w:t>
      </w:r>
      <w:r>
        <w:rPr>
          <w:rFonts w:ascii="Arial Regular" w:hAnsi="Arial Regular" w:cs="Arial Regular"/>
          <w:b/>
          <w:bCs/>
          <w:sz w:val="24"/>
        </w:rPr>
        <w:t>fiber innervation in plantar skin, related to Figure 4.</w:t>
      </w:r>
    </w:p>
    <w:p w14:paraId="769D04B5" w14:textId="042E0D8A" w:rsidR="00D95B3F" w:rsidRDefault="00F34F8B">
      <w:pPr>
        <w:numPr>
          <w:ilvl w:val="0"/>
          <w:numId w:val="7"/>
        </w:num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sz w:val="24"/>
        </w:rPr>
        <w:t xml:space="preserve">Schematic showing how blue laser was shined to stimulate different skin areas of the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hAnsi="Arial Italic" w:cs="Arial Italic"/>
          <w:i/>
          <w:iCs/>
          <w:sz w:val="24"/>
        </w:rPr>
        <w:t>-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Italic" w:hAnsi="Arial Italic" w:cs="Arial Italic"/>
          <w:i/>
          <w:iCs/>
          <w:sz w:val="24"/>
        </w:rPr>
        <w:t xml:space="preserve"> </w:t>
      </w:r>
      <w:r>
        <w:rPr>
          <w:rFonts w:ascii="Arial Regular" w:hAnsi="Arial Regular" w:cs="Arial Regular"/>
          <w:sz w:val="24"/>
        </w:rPr>
        <w:t xml:space="preserve">mouse. (B)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hAnsi="Arial Italic" w:cs="Arial Italic"/>
          <w:i/>
          <w:iCs/>
          <w:sz w:val="24"/>
        </w:rPr>
        <w:t>-</w:t>
      </w:r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mice showed high responsive rates to different intensities (5, 10 and 20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) of blue laser stimuli on different hairy skin (Nape of the neck, back and tail) regions. (C) The tail-flick latency decreased significantly in an intensity dependent manner (5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 vs 10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, p = 0.005); (5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 vs 20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, p = 0.0008); (10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 vs 20 </w:t>
      </w:r>
      <w:proofErr w:type="spellStart"/>
      <w:r>
        <w:rPr>
          <w:rFonts w:ascii="Arial Regular" w:hAnsi="Arial Regular" w:cs="Arial Regular"/>
          <w:sz w:val="24"/>
        </w:rPr>
        <w:t>mW</w:t>
      </w:r>
      <w:proofErr w:type="spellEnd"/>
      <w:r>
        <w:rPr>
          <w:rFonts w:ascii="Arial Regular" w:hAnsi="Arial Regular" w:cs="Arial Regular"/>
          <w:sz w:val="24"/>
        </w:rPr>
        <w:t xml:space="preserve">, p = 0.68). n = 8 mice in (B-C). Error bars represent Mean ± S.E.M. One way ANOVA followed by Tukey’s multiple comparison. *p &lt; 0.05, **p &lt; 0.01, ***p &lt; 0.001, ****p &lt; 0.0001. (D-E) Triple staining of GFP, NF200 and K8 with plantar footpad sections of control and CFA-treated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-</w:t>
      </w:r>
      <w:r>
        <w:rPr>
          <w:rFonts w:ascii="Arial Italic" w:eastAsia="SimSun" w:hAnsi="Arial Italic" w:cs="Arial Italic"/>
          <w:color w:val="000000"/>
          <w:kern w:val="0"/>
          <w:sz w:val="24"/>
          <w:lang w:bidi="ar"/>
        </w:rPr>
        <w:t>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mice at post-CFA Day 7. (F-G) Double staining of GFP and S100 with footpad sections of control and CFA-treated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-Aβ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mouse at post-CFA Day 7.  (H) Quantification of Merkel cell numbers per foot pad skin section showed no significant difference between the control and CFA treated mice (p = 0.179) at post-CFA Day 7. (I) Quantification of the percentage of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fibers innervating Merkel cells per foot pad section showed a non-significant increase trend in </w:t>
      </w:r>
      <w:r>
        <w:rPr>
          <w:rFonts w:ascii="Arial Regular" w:hAnsi="Arial Regular" w:cs="Arial Regular"/>
          <w:sz w:val="24"/>
        </w:rPr>
        <w:lastRenderedPageBreak/>
        <w:t>CFA treated mice, compared to the control (p = 0.088). (J) Quantification of the number of Meissner’s corpuscles per foot pad section showed non-significant decrease trend in control and CFA-treated mice (p = 0.0931). (K) Quantification of the percentage of GFP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fibers innervating Meissner’s corpuscles per foot pad section showed a significant decrease in CFA treated mice compared to the control (p = 0.041), n = 6 mice in each group (5-7 sections per mouse</w:t>
      </w:r>
      <w:r w:rsidRPr="001D76C2">
        <w:rPr>
          <w:rFonts w:ascii="Arial Regular" w:hAnsi="Arial Regular" w:cs="Arial Regular"/>
          <w:color w:val="000000" w:themeColor="text1"/>
          <w:sz w:val="24"/>
        </w:rPr>
        <w:t>. (L) Results showing the effect and time course of the neuropathic medial plantar nerve ligatio</w:t>
      </w:r>
      <w:r w:rsidRPr="001D76C2">
        <w:rPr>
          <w:rFonts w:ascii="Arial Regular" w:hAnsi="Arial Regular" w:cs="Arial Regular" w:hint="eastAsia"/>
          <w:color w:val="000000" w:themeColor="text1"/>
          <w:sz w:val="24"/>
        </w:rPr>
        <w:t>n</w:t>
      </w:r>
      <w:r w:rsidRPr="001D76C2">
        <w:rPr>
          <w:rFonts w:ascii="Arial Regular" w:hAnsi="Arial Regular" w:cs="Arial Regular"/>
          <w:color w:val="000000" w:themeColor="text1"/>
          <w:sz w:val="24"/>
        </w:rPr>
        <w:t xml:space="preserve"> (MPNL) model. Control mice undergone MPNL showed a significant decrease in the 50% PWT (p &lt; 0.0001), which didn’t recover as the experiment laste</w:t>
      </w:r>
      <w:r w:rsidR="001D76C2">
        <w:rPr>
          <w:rFonts w:ascii="Arial Regular" w:hAnsi="Arial Regular" w:cs="Arial Regular"/>
          <w:color w:val="000000" w:themeColor="text1"/>
          <w:sz w:val="24"/>
        </w:rPr>
        <w:t xml:space="preserve">d up to D28, n = 9 mice. </w:t>
      </w:r>
      <w:r>
        <w:rPr>
          <w:rFonts w:ascii="Arial Regular" w:hAnsi="Arial Regular" w:cs="Arial Regular"/>
          <w:color w:val="FF0000"/>
          <w:sz w:val="24"/>
        </w:rPr>
        <w:t xml:space="preserve"> </w:t>
      </w:r>
      <w:r w:rsidRPr="001D76C2">
        <w:rPr>
          <w:rFonts w:ascii="Arial Regular" w:hAnsi="Arial Regular" w:cs="Arial Regular"/>
          <w:color w:val="000000" w:themeColor="text1"/>
          <w:sz w:val="24"/>
        </w:rPr>
        <w:t xml:space="preserve">Error bars represent Mean ± S.E.M. Mann-Whitney test in H-K &amp; One way ANOVA followed by Bonferroni’s test in L and M. *p &lt; 0.05, **p &lt; 0.01, ****p &lt; 0.0001. </w:t>
      </w:r>
    </w:p>
    <w:p w14:paraId="73C97022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1DFC6AF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50D5F007" w14:textId="77777777" w:rsidR="00D95B3F" w:rsidRDefault="00F34F8B">
      <w:pPr>
        <w:spacing w:line="480" w:lineRule="auto"/>
        <w:rPr>
          <w:rFonts w:ascii="Arial Regular" w:hAnsi="Arial Regular" w:cs="Arial Regular" w:hint="eastAsia"/>
          <w:b/>
          <w:bCs/>
          <w:sz w:val="24"/>
        </w:rPr>
      </w:pPr>
      <w:r>
        <w:rPr>
          <w:rFonts w:ascii="Arial Regular" w:hAnsi="Arial Regular" w:cs="Arial Regular"/>
          <w:b/>
          <w:bCs/>
          <w:sz w:val="24"/>
        </w:rPr>
        <w:t xml:space="preserve">Supplementary Figure 6. Dorsal column activation of </w:t>
      </w:r>
      <w:proofErr w:type="spellStart"/>
      <w:r>
        <w:rPr>
          <w:rFonts w:ascii="Arial Regular" w:hAnsi="Arial Regular" w:cs="Arial Regular"/>
          <w:b/>
          <w:bCs/>
          <w:sz w:val="24"/>
        </w:rPr>
        <w:t>Split</w:t>
      </w:r>
      <w:r>
        <w:rPr>
          <w:rFonts w:ascii="Arial Regular" w:hAnsi="Arial Regular" w:cs="Arial Regular"/>
          <w:b/>
          <w:bCs/>
          <w:sz w:val="24"/>
          <w:vertAlign w:val="superscript"/>
        </w:rPr>
        <w:t>Cre</w:t>
      </w:r>
      <w:r>
        <w:rPr>
          <w:rFonts w:ascii="Arial Regular" w:hAnsi="Arial Regular" w:cs="Arial Regular"/>
          <w:b/>
          <w:bCs/>
          <w:sz w:val="24"/>
        </w:rPr>
        <w:t>-ReaChR</w:t>
      </w:r>
      <w:proofErr w:type="spellEnd"/>
      <w:r>
        <w:rPr>
          <w:rFonts w:ascii="Arial Regular" w:hAnsi="Arial Regular" w:cs="Arial Regular"/>
          <w:b/>
          <w:bCs/>
          <w:sz w:val="24"/>
          <w:vertAlign w:val="superscript"/>
        </w:rPr>
        <w:t>+</w:t>
      </w:r>
      <w:r>
        <w:rPr>
          <w:rFonts w:ascii="Arial Regular" w:hAnsi="Arial Regular" w:cs="Arial Regular"/>
          <w:b/>
          <w:bCs/>
          <w:sz w:val="24"/>
        </w:rPr>
        <w:t xml:space="preserve"> A</w:t>
      </w:r>
      <w:r>
        <w:rPr>
          <w:rFonts w:ascii="Arial Bold" w:hAnsi="Arial Bold" w:cs="Arial Bold"/>
          <w:b/>
          <w:bCs/>
          <w:iCs/>
          <w:sz w:val="24"/>
        </w:rPr>
        <w:t>β</w:t>
      </w:r>
      <w:r>
        <w:rPr>
          <w:rFonts w:ascii="Arial Regular" w:hAnsi="Arial Regular" w:cs="Arial Regular"/>
          <w:b/>
          <w:bCs/>
          <w:sz w:val="24"/>
        </w:rPr>
        <w:t>-LTMRs evoked spontaneous behaviors and c-</w:t>
      </w:r>
      <w:proofErr w:type="spellStart"/>
      <w:r>
        <w:rPr>
          <w:rFonts w:ascii="Arial Regular" w:hAnsi="Arial Regular" w:cs="Arial Regular"/>
          <w:b/>
          <w:bCs/>
          <w:sz w:val="24"/>
        </w:rPr>
        <w:t>Fos</w:t>
      </w:r>
      <w:proofErr w:type="spellEnd"/>
      <w:r>
        <w:rPr>
          <w:rFonts w:ascii="Arial Regular" w:hAnsi="Arial Regular" w:cs="Arial Regular"/>
          <w:b/>
          <w:bCs/>
          <w:sz w:val="24"/>
        </w:rPr>
        <w:t xml:space="preserve"> expression in deep dorsal horn neurons, related to Figure 6.</w:t>
      </w:r>
    </w:p>
    <w:p w14:paraId="3A662F2F" w14:textId="4FF9B5AD" w:rsidR="00D95B3F" w:rsidRDefault="00F34F8B" w:rsidP="00963C7F">
      <w:pPr>
        <w:spacing w:line="480" w:lineRule="auto"/>
        <w:rPr>
          <w:rFonts w:ascii="Arial Regular" w:hAnsi="Arial Regular" w:cs="Arial Regular" w:hint="eastAsia"/>
          <w:sz w:val="24"/>
        </w:rPr>
      </w:pPr>
      <w:r>
        <w:rPr>
          <w:rFonts w:ascii="Arial Regular" w:hAnsi="Arial Regular" w:cs="Arial Regular"/>
          <w:sz w:val="24"/>
        </w:rPr>
        <w:t>(</w:t>
      </w:r>
      <w:r w:rsidR="001D76C2">
        <w:rPr>
          <w:rFonts w:ascii="Arial Regular" w:hAnsi="Arial Regular" w:cs="Arial Regular"/>
          <w:sz w:val="24"/>
        </w:rPr>
        <w:t>A-C</w:t>
      </w:r>
      <w:r>
        <w:rPr>
          <w:rFonts w:ascii="Arial Regular" w:hAnsi="Arial Regular" w:cs="Arial Regular"/>
          <w:sz w:val="24"/>
        </w:rPr>
        <w:t>) Double immunostaining of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and GFP with a T11 spinal cord section of an unstimulated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mouse showing innervation of </w:t>
      </w:r>
      <w:proofErr w:type="spellStart"/>
      <w:r>
        <w:rPr>
          <w:rFonts w:ascii="Arial Regular" w:hAnsi="Arial Regular" w:cs="Arial Regular"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>-EFYP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in the layer III-V and baseline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expre</w:t>
      </w:r>
      <w:r w:rsidR="001D76C2">
        <w:rPr>
          <w:rFonts w:ascii="Arial Regular" w:hAnsi="Arial Regular" w:cs="Arial Regular"/>
          <w:sz w:val="24"/>
        </w:rPr>
        <w:t>ssion. (D-F</w:t>
      </w:r>
      <w:r>
        <w:rPr>
          <w:rFonts w:ascii="Arial Regular" w:hAnsi="Arial Regular" w:cs="Arial Regular"/>
          <w:sz w:val="24"/>
        </w:rPr>
        <w:t>) Double immunostaining of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and GFP with a T11 spinal cord section of a light-stimulated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 xml:space="preserve">-Aβ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mouse showing </w:t>
      </w:r>
      <w:r>
        <w:rPr>
          <w:rFonts w:ascii="Arial Regular" w:hAnsi="Arial Regular" w:cs="Arial Regular"/>
          <w:sz w:val="24"/>
        </w:rPr>
        <w:lastRenderedPageBreak/>
        <w:t xml:space="preserve">innervation of </w:t>
      </w:r>
      <w:proofErr w:type="spellStart"/>
      <w:r>
        <w:rPr>
          <w:rFonts w:ascii="Arial Regular" w:hAnsi="Arial Regular" w:cs="Arial Regular"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>-EFYP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in the layer III-V and </w:t>
      </w:r>
      <w:r w:rsidR="001D76C2">
        <w:rPr>
          <w:rFonts w:ascii="Arial Regular" w:hAnsi="Arial Regular" w:cs="Arial Regular"/>
          <w:sz w:val="24"/>
        </w:rPr>
        <w:t>increased c-</w:t>
      </w:r>
      <w:proofErr w:type="spellStart"/>
      <w:r w:rsidR="001D76C2">
        <w:rPr>
          <w:rFonts w:ascii="Arial Regular" w:hAnsi="Arial Regular" w:cs="Arial Regular"/>
          <w:sz w:val="24"/>
        </w:rPr>
        <w:t>Fos</w:t>
      </w:r>
      <w:proofErr w:type="spellEnd"/>
      <w:r w:rsidR="001D76C2">
        <w:rPr>
          <w:rFonts w:ascii="Arial Regular" w:hAnsi="Arial Regular" w:cs="Arial Regular"/>
          <w:sz w:val="24"/>
        </w:rPr>
        <w:t xml:space="preserve"> expression. (G-I</w:t>
      </w:r>
      <w:r>
        <w:rPr>
          <w:rFonts w:ascii="Arial Regular" w:hAnsi="Arial Regular" w:cs="Arial Regular"/>
          <w:sz w:val="24"/>
        </w:rPr>
        <w:t>) Double immunostaining of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and GFP with a L4 spinal cord section of an unstimulated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-Aβ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mouse showing innervation of </w:t>
      </w:r>
      <w:proofErr w:type="spellStart"/>
      <w:r>
        <w:rPr>
          <w:rFonts w:ascii="Arial Regular" w:hAnsi="Arial Regular" w:cs="Arial Regular"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>-EFYP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in the layer III-V a</w:t>
      </w:r>
      <w:r w:rsidR="001D76C2">
        <w:rPr>
          <w:rFonts w:ascii="Arial Regular" w:hAnsi="Arial Regular" w:cs="Arial Regular"/>
          <w:sz w:val="24"/>
        </w:rPr>
        <w:t>nd baseline c-</w:t>
      </w:r>
      <w:proofErr w:type="spellStart"/>
      <w:r w:rsidR="001D76C2">
        <w:rPr>
          <w:rFonts w:ascii="Arial Regular" w:hAnsi="Arial Regular" w:cs="Arial Regular"/>
          <w:sz w:val="24"/>
        </w:rPr>
        <w:t>Fos</w:t>
      </w:r>
      <w:proofErr w:type="spellEnd"/>
      <w:r w:rsidR="001D76C2">
        <w:rPr>
          <w:rFonts w:ascii="Arial Regular" w:hAnsi="Arial Regular" w:cs="Arial Regular"/>
          <w:sz w:val="24"/>
        </w:rPr>
        <w:t xml:space="preserve"> expression. (J-L</w:t>
      </w:r>
      <w:r>
        <w:rPr>
          <w:rFonts w:ascii="Arial Regular" w:hAnsi="Arial Regular" w:cs="Arial Regular"/>
          <w:sz w:val="24"/>
        </w:rPr>
        <w:t>) Double immunostaining of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and GFP with a L4 spinal cord section of a light-stimulated </w:t>
      </w:r>
      <w:proofErr w:type="spellStart"/>
      <w:r>
        <w:rPr>
          <w:rFonts w:ascii="Arial Italic" w:hAnsi="Arial Italic" w:cs="Arial Italic"/>
          <w:i/>
          <w:iCs/>
          <w:sz w:val="24"/>
        </w:rPr>
        <w:t>Split</w:t>
      </w:r>
      <w:r>
        <w:rPr>
          <w:rFonts w:ascii="Arial Italic" w:hAnsi="Arial Italic" w:cs="Arial Italic"/>
          <w:i/>
          <w:iCs/>
          <w:sz w:val="24"/>
          <w:vertAlign w:val="superscript"/>
        </w:rPr>
        <w:t>Cre</w:t>
      </w:r>
      <w:proofErr w:type="spellEnd"/>
      <w:r>
        <w:rPr>
          <w:rFonts w:ascii="Arial Italic" w:eastAsia="SimSun" w:hAnsi="Arial Italic" w:cs="Arial Italic"/>
          <w:i/>
          <w:iCs/>
          <w:color w:val="000000"/>
          <w:kern w:val="0"/>
          <w:sz w:val="24"/>
          <w:lang w:bidi="ar"/>
        </w:rPr>
        <w:t>-Aβ</w:t>
      </w:r>
      <w:r>
        <w:rPr>
          <w:rFonts w:ascii="Arial Italic" w:hAnsi="Arial Italic" w:cs="Arial Italic"/>
          <w:i/>
          <w:iCs/>
          <w:sz w:val="24"/>
        </w:rPr>
        <w:t xml:space="preserve"> </w:t>
      </w:r>
      <w:proofErr w:type="spellStart"/>
      <w:r>
        <w:rPr>
          <w:rFonts w:ascii="Arial Italic" w:hAnsi="Arial Italic" w:cs="Arial Italic"/>
          <w:i/>
          <w:iCs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 xml:space="preserve"> mouse showing innervation of </w:t>
      </w:r>
      <w:proofErr w:type="spellStart"/>
      <w:r>
        <w:rPr>
          <w:rFonts w:ascii="Arial Regular" w:hAnsi="Arial Regular" w:cs="Arial Regular"/>
          <w:sz w:val="24"/>
        </w:rPr>
        <w:t>ReaChR</w:t>
      </w:r>
      <w:proofErr w:type="spellEnd"/>
      <w:r>
        <w:rPr>
          <w:rFonts w:ascii="Arial Regular" w:hAnsi="Arial Regular" w:cs="Arial Regular"/>
          <w:sz w:val="24"/>
        </w:rPr>
        <w:t>-EFYP</w:t>
      </w:r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central terminals in the layer III-V and increased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expression. White arrowheads indicate some examples of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</w:rPr>
        <w:t xml:space="preserve"> immunoreactivity in deeper laminae. White arrows point to some c-</w:t>
      </w:r>
      <w:proofErr w:type="spellStart"/>
      <w:r>
        <w:rPr>
          <w:rFonts w:ascii="Arial Regular" w:hAnsi="Arial Regular" w:cs="Arial Regular"/>
          <w:sz w:val="24"/>
        </w:rPr>
        <w:t>Fos</w:t>
      </w:r>
      <w:proofErr w:type="spellEnd"/>
      <w:r>
        <w:rPr>
          <w:rFonts w:ascii="Arial Regular" w:hAnsi="Arial Regular" w:cs="Arial Regular"/>
          <w:sz w:val="24"/>
          <w:vertAlign w:val="superscript"/>
        </w:rPr>
        <w:t>+</w:t>
      </w:r>
      <w:r>
        <w:rPr>
          <w:rFonts w:ascii="Arial Regular" w:hAnsi="Arial Regular" w:cs="Arial Regular"/>
          <w:sz w:val="24"/>
        </w:rPr>
        <w:t xml:space="preserve"> cells in superficial laminae of the dorsal horn. n = 3 mice in each group (5-7 sections per mouse for statistical comparison). 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(M-P) </w:t>
      </w:r>
      <w:r w:rsidR="00963C7F">
        <w:rPr>
          <w:rFonts w:ascii="Arial Regular" w:hAnsi="Arial Regular" w:cs="Arial Regular"/>
          <w:color w:val="000000" w:themeColor="text1"/>
          <w:sz w:val="24"/>
        </w:rPr>
        <w:t xml:space="preserve">Representative images of </w:t>
      </w:r>
      <w:proofErr w:type="spellStart"/>
      <w:r w:rsidRPr="00F34F8B">
        <w:rPr>
          <w:rFonts w:ascii="Arial Regular" w:hAnsi="Arial Regular" w:cs="Arial Regular"/>
          <w:color w:val="000000" w:themeColor="text1"/>
          <w:sz w:val="24"/>
        </w:rPr>
        <w:t>RNAScope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</w:t>
      </w:r>
      <w:r w:rsidRPr="00F34F8B">
        <w:rPr>
          <w:rFonts w:ascii="Arial Regular" w:hAnsi="Arial Regular" w:cs="Arial Regular"/>
          <w:i/>
          <w:color w:val="000000" w:themeColor="text1"/>
          <w:sz w:val="24"/>
        </w:rPr>
        <w:t>in situ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hybridization for </w:t>
      </w:r>
      <w:proofErr w:type="spellStart"/>
      <w:r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V</w:t>
      </w:r>
      <w:r w:rsidR="00963C7F"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gat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</w:rPr>
        <w:t xml:space="preserve">, </w:t>
      </w:r>
      <w:r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V</w:t>
      </w:r>
      <w:r w:rsidR="00963C7F"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glut2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and </w:t>
      </w:r>
      <w:r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c-</w:t>
      </w:r>
      <w:proofErr w:type="spellStart"/>
      <w:r w:rsidRPr="00963C7F">
        <w:rPr>
          <w:rFonts w:ascii="Arial Regular" w:hAnsi="Arial Regular" w:cs="Arial Regular"/>
          <w:i/>
          <w:iCs/>
          <w:color w:val="000000" w:themeColor="text1"/>
          <w:sz w:val="24"/>
        </w:rPr>
        <w:t>Fos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with a T11 spinal cord section of a spinal light-stimulated </w:t>
      </w:r>
      <w:proofErr w:type="spellStart"/>
      <w:r w:rsidRPr="00F34F8B">
        <w:rPr>
          <w:rFonts w:ascii="Arial Regular" w:hAnsi="Arial Regular" w:cs="Arial Regular"/>
          <w:i/>
          <w:color w:val="000000" w:themeColor="text1"/>
          <w:sz w:val="24"/>
        </w:rPr>
        <w:t>Split</w:t>
      </w:r>
      <w:r w:rsidRPr="00F34F8B">
        <w:rPr>
          <w:rFonts w:ascii="Arial Regular" w:hAnsi="Arial Regular" w:cs="Arial Regular"/>
          <w:i/>
          <w:color w:val="000000" w:themeColor="text1"/>
          <w:sz w:val="24"/>
          <w:vertAlign w:val="superscript"/>
        </w:rPr>
        <w:t>Cre</w:t>
      </w:r>
      <w:proofErr w:type="spellEnd"/>
      <w:r w:rsidRPr="00F34F8B">
        <w:rPr>
          <w:rFonts w:ascii="Arial Regular" w:hAnsi="Arial Regular" w:cs="Arial Regular"/>
          <w:i/>
          <w:color w:val="000000" w:themeColor="text1"/>
          <w:sz w:val="24"/>
        </w:rPr>
        <w:t xml:space="preserve">-Aβ </w:t>
      </w:r>
      <w:proofErr w:type="spellStart"/>
      <w:r w:rsidRPr="00F34F8B">
        <w:rPr>
          <w:rFonts w:ascii="Arial Regular" w:hAnsi="Arial Regular" w:cs="Arial Regular"/>
          <w:i/>
          <w:color w:val="000000" w:themeColor="text1"/>
          <w:sz w:val="24"/>
        </w:rPr>
        <w:t>ReaChR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mouse. White arrowheads indicate some examples of co-localized VGLUT2</w:t>
      </w:r>
      <w:r w:rsidRPr="00F34F8B">
        <w:rPr>
          <w:rFonts w:ascii="Arial Regular" w:hAnsi="Arial Regular" w:cs="Arial Regular"/>
          <w:color w:val="000000" w:themeColor="text1"/>
          <w:sz w:val="24"/>
          <w:vertAlign w:val="superscript"/>
        </w:rPr>
        <w:t>+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and c-</w:t>
      </w:r>
      <w:proofErr w:type="spellStart"/>
      <w:r w:rsidRPr="00F34F8B">
        <w:rPr>
          <w:rFonts w:ascii="Arial Regular" w:hAnsi="Arial Regular" w:cs="Arial Regular"/>
          <w:color w:val="000000" w:themeColor="text1"/>
          <w:sz w:val="24"/>
        </w:rPr>
        <w:t>Fos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  <w:vertAlign w:val="superscript"/>
        </w:rPr>
        <w:t>+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neurons. White arrows indicate some co-localized VGAT</w:t>
      </w:r>
      <w:r w:rsidRPr="00F34F8B">
        <w:rPr>
          <w:rFonts w:ascii="Arial Regular" w:hAnsi="Arial Regular" w:cs="Arial Regular"/>
          <w:color w:val="000000" w:themeColor="text1"/>
          <w:sz w:val="24"/>
          <w:vertAlign w:val="superscript"/>
        </w:rPr>
        <w:t>+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with c-</w:t>
      </w:r>
      <w:proofErr w:type="spellStart"/>
      <w:r w:rsidRPr="00F34F8B">
        <w:rPr>
          <w:rFonts w:ascii="Arial Regular" w:hAnsi="Arial Regular" w:cs="Arial Regular"/>
          <w:color w:val="000000" w:themeColor="text1"/>
          <w:sz w:val="24"/>
        </w:rPr>
        <w:t>Fos</w:t>
      </w:r>
      <w:proofErr w:type="spellEnd"/>
      <w:r w:rsidRPr="00F34F8B">
        <w:rPr>
          <w:rFonts w:ascii="Arial Regular" w:hAnsi="Arial Regular" w:cs="Arial Regular"/>
          <w:color w:val="000000" w:themeColor="text1"/>
          <w:sz w:val="24"/>
          <w:vertAlign w:val="superscript"/>
        </w:rPr>
        <w:t>+</w:t>
      </w:r>
      <w:r w:rsidRPr="00F34F8B">
        <w:rPr>
          <w:rFonts w:ascii="Arial Regular" w:hAnsi="Arial Regular" w:cs="Arial Regular"/>
          <w:color w:val="000000" w:themeColor="text1"/>
          <w:sz w:val="24"/>
        </w:rPr>
        <w:t xml:space="preserve"> neurons. n = 3 mice (3-4 sections per mouse). </w:t>
      </w:r>
      <w:r>
        <w:rPr>
          <w:rFonts w:ascii="Arial Regular" w:hAnsi="Arial Regular" w:cs="Arial Regular"/>
          <w:sz w:val="24"/>
        </w:rPr>
        <w:t>Error bars represent Mean ± S.E.M. Mann-Whitney test. *p &lt; 0.05, **p &lt; 0.01, ***p &lt; 0.001.</w:t>
      </w:r>
    </w:p>
    <w:p w14:paraId="0A19EEA2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FE479D8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B2327C4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2EB94AF1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p w14:paraId="157CD6FF" w14:textId="77777777" w:rsidR="00D95B3F" w:rsidRDefault="00D95B3F">
      <w:pPr>
        <w:spacing w:line="480" w:lineRule="auto"/>
        <w:rPr>
          <w:rFonts w:ascii="Arial Regular" w:hAnsi="Arial Regular" w:cs="Arial Regular" w:hint="eastAsia"/>
          <w:sz w:val="24"/>
        </w:rPr>
      </w:pPr>
    </w:p>
    <w:sectPr w:rsidR="00D95B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egular">
    <w:altName w:val="Arial"/>
    <w:charset w:val="00"/>
    <w:family w:val="auto"/>
    <w:pitch w:val="default"/>
  </w:font>
  <w:font w:name="TimesNewRomanPS-BoldMT">
    <w:altName w:val="Times New Roman"/>
    <w:charset w:val="00"/>
    <w:family w:val="auto"/>
    <w:pitch w:val="default"/>
  </w:font>
  <w:font w:name="Arial Italic">
    <w:panose1 w:val="020B0604020202090204"/>
    <w:charset w:val="00"/>
    <w:family w:val="auto"/>
    <w:pitch w:val="default"/>
  </w:font>
  <w:font w:name="Arial Bold Italic">
    <w:panose1 w:val="020B0704020202090204"/>
    <w:charset w:val="00"/>
    <w:family w:val="auto"/>
    <w:pitch w:val="default"/>
  </w:font>
  <w:font w:name="TimesNewRomanPS-BoldItalicMT">
    <w:charset w:val="00"/>
    <w:family w:val="auto"/>
    <w:pitch w:val="default"/>
  </w:font>
  <w:font w:name="Arial Bold">
    <w:panose1 w:val="020B07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F7B1D9"/>
    <w:multiLevelType w:val="singleLevel"/>
    <w:tmpl w:val="BFF7B1D9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C5DD928B"/>
    <w:multiLevelType w:val="singleLevel"/>
    <w:tmpl w:val="C5DD928B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D4BFF295"/>
    <w:multiLevelType w:val="singleLevel"/>
    <w:tmpl w:val="D4BFF295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ECFF1778"/>
    <w:multiLevelType w:val="singleLevel"/>
    <w:tmpl w:val="18329732"/>
    <w:lvl w:ilvl="0">
      <w:start w:val="1"/>
      <w:numFmt w:val="upperLetter"/>
      <w:suff w:val="space"/>
      <w:lvlText w:val="(%1)"/>
      <w:lvlJc w:val="left"/>
      <w:rPr>
        <w:color w:val="000000" w:themeColor="text1"/>
      </w:rPr>
    </w:lvl>
  </w:abstractNum>
  <w:abstractNum w:abstractNumId="4" w15:restartNumberingAfterBreak="0">
    <w:nsid w:val="F87F71A9"/>
    <w:multiLevelType w:val="singleLevel"/>
    <w:tmpl w:val="F87F71A9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FACFD60B"/>
    <w:multiLevelType w:val="singleLevel"/>
    <w:tmpl w:val="FACFD60B"/>
    <w:lvl w:ilvl="0">
      <w:start w:val="1"/>
      <w:numFmt w:val="upperLetter"/>
      <w:suff w:val="space"/>
      <w:lvlText w:val="(%1)"/>
      <w:lvlJc w:val="left"/>
    </w:lvl>
  </w:abstractNum>
  <w:abstractNum w:abstractNumId="6" w15:restartNumberingAfterBreak="0">
    <w:nsid w:val="FD8B1196"/>
    <w:multiLevelType w:val="singleLevel"/>
    <w:tmpl w:val="FD8B1196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FFEC097C"/>
    <w:multiLevelType w:val="singleLevel"/>
    <w:tmpl w:val="FFEC097C"/>
    <w:lvl w:ilvl="0">
      <w:start w:val="1"/>
      <w:numFmt w:val="upperLetter"/>
      <w:suff w:val="space"/>
      <w:lvlText w:val="(%1)"/>
      <w:lvlJc w:val="left"/>
    </w:lvl>
  </w:abstractNum>
  <w:num w:numId="1" w16cid:durableId="1001617137">
    <w:abstractNumId w:val="6"/>
  </w:num>
  <w:num w:numId="2" w16cid:durableId="1415977353">
    <w:abstractNumId w:val="4"/>
  </w:num>
  <w:num w:numId="3" w16cid:durableId="2068146188">
    <w:abstractNumId w:val="2"/>
  </w:num>
  <w:num w:numId="4" w16cid:durableId="1258246697">
    <w:abstractNumId w:val="3"/>
  </w:num>
  <w:num w:numId="5" w16cid:durableId="1341394008">
    <w:abstractNumId w:val="0"/>
  </w:num>
  <w:num w:numId="6" w16cid:durableId="933710291">
    <w:abstractNumId w:val="5"/>
  </w:num>
  <w:num w:numId="7" w16cid:durableId="1090392281">
    <w:abstractNumId w:val="1"/>
  </w:num>
  <w:num w:numId="8" w16cid:durableId="3272911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ED778F"/>
    <w:rsid w:val="4DED778F"/>
    <w:rsid w:val="8BFC42BD"/>
    <w:rsid w:val="9FCB8D29"/>
    <w:rsid w:val="A7273B46"/>
    <w:rsid w:val="B2FF3C3C"/>
    <w:rsid w:val="B78D3116"/>
    <w:rsid w:val="B7A5705F"/>
    <w:rsid w:val="B7FF244E"/>
    <w:rsid w:val="BD7FA2F5"/>
    <w:rsid w:val="BDE92AC4"/>
    <w:rsid w:val="EBFB99A4"/>
    <w:rsid w:val="EE75E6C2"/>
    <w:rsid w:val="F37DEB11"/>
    <w:rsid w:val="F67561FB"/>
    <w:rsid w:val="F6A97074"/>
    <w:rsid w:val="F7FD19B9"/>
    <w:rsid w:val="F92536D4"/>
    <w:rsid w:val="FA7D02BF"/>
    <w:rsid w:val="FB9DB2F3"/>
    <w:rsid w:val="FBBFE357"/>
    <w:rsid w:val="FBFFADA4"/>
    <w:rsid w:val="FEBF2B70"/>
    <w:rsid w:val="FF35C0D5"/>
    <w:rsid w:val="FF4F50F4"/>
    <w:rsid w:val="FFBD6428"/>
    <w:rsid w:val="000B30C3"/>
    <w:rsid w:val="000B51BB"/>
    <w:rsid w:val="0016711E"/>
    <w:rsid w:val="00176F7E"/>
    <w:rsid w:val="001D76C2"/>
    <w:rsid w:val="001E3BF0"/>
    <w:rsid w:val="0027231C"/>
    <w:rsid w:val="002A0965"/>
    <w:rsid w:val="00312592"/>
    <w:rsid w:val="00323827"/>
    <w:rsid w:val="00457689"/>
    <w:rsid w:val="004A178D"/>
    <w:rsid w:val="004A39E0"/>
    <w:rsid w:val="00555120"/>
    <w:rsid w:val="00591FCE"/>
    <w:rsid w:val="006033D8"/>
    <w:rsid w:val="00713C43"/>
    <w:rsid w:val="00733792"/>
    <w:rsid w:val="007C1B91"/>
    <w:rsid w:val="00874601"/>
    <w:rsid w:val="008C3CDC"/>
    <w:rsid w:val="008D7634"/>
    <w:rsid w:val="00915B70"/>
    <w:rsid w:val="00932FCB"/>
    <w:rsid w:val="00963C7F"/>
    <w:rsid w:val="009C34E7"/>
    <w:rsid w:val="00AA4E8A"/>
    <w:rsid w:val="00B47377"/>
    <w:rsid w:val="00B56C2E"/>
    <w:rsid w:val="00BA580A"/>
    <w:rsid w:val="00BF5678"/>
    <w:rsid w:val="00C51E65"/>
    <w:rsid w:val="00C94BB0"/>
    <w:rsid w:val="00D348AB"/>
    <w:rsid w:val="00D41183"/>
    <w:rsid w:val="00D43C5A"/>
    <w:rsid w:val="00D64028"/>
    <w:rsid w:val="00D95B3F"/>
    <w:rsid w:val="00E27059"/>
    <w:rsid w:val="00EF67B2"/>
    <w:rsid w:val="00F34F8B"/>
    <w:rsid w:val="00FB76F0"/>
    <w:rsid w:val="1FF4D7F1"/>
    <w:rsid w:val="35B5D5C3"/>
    <w:rsid w:val="3EDFC956"/>
    <w:rsid w:val="3FFE14B3"/>
    <w:rsid w:val="4DED778F"/>
    <w:rsid w:val="6AE517A1"/>
    <w:rsid w:val="73DCDC4C"/>
    <w:rsid w:val="76FBBDFD"/>
    <w:rsid w:val="797F2527"/>
    <w:rsid w:val="79CF625B"/>
    <w:rsid w:val="7B5FF276"/>
    <w:rsid w:val="7BEDD60E"/>
    <w:rsid w:val="7BF0E336"/>
    <w:rsid w:val="7DDFF4E7"/>
    <w:rsid w:val="7DEDE069"/>
    <w:rsid w:val="7E7E5F28"/>
    <w:rsid w:val="7FFDE9CC"/>
    <w:rsid w:val="7FFEA49D"/>
    <w:rsid w:val="7FFFC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F9EBF2C"/>
  <w15:docId w15:val="{433FB0AE-5552-4EBB-9E8F-0D2B2C30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uiPriority="99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paragraph" w:styleId="NormalWeb">
    <w:name w:val="Normal (Web)"/>
    <w:basedOn w:val="Normal"/>
    <w:qFormat/>
    <w:pPr>
      <w:spacing w:beforeAutospacing="1" w:afterAutospacing="1" w:line="259" w:lineRule="auto"/>
    </w:pPr>
    <w:rPr>
      <w:rFonts w:eastAsia="SimSun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lang w:eastAsia="zh-CN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lang w:eastAsia="zh-CN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customStyle="1" w:styleId="Revision1">
    <w:name w:val="Revision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Revision">
    <w:name w:val="Revision"/>
    <w:hidden/>
    <w:uiPriority w:val="99"/>
    <w:semiHidden/>
    <w:rsid w:val="001D76C2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18</Pages>
  <Words>2037</Words>
  <Characters>11613</Characters>
  <Application>Microsoft Office Word</Application>
  <DocSecurity>0</DocSecurity>
  <Lines>96</Lines>
  <Paragraphs>27</Paragraphs>
  <ScaleCrop>false</ScaleCrop>
  <Company>PMACS</Company>
  <LinksUpToDate>false</LinksUpToDate>
  <CharactersWithSpaces>13623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MayankGautam</dc:creator>
  <cp:lastModifiedBy>Luo, Wenqin</cp:lastModifiedBy>
  <cp:revision>7</cp:revision>
  <dcterms:created xsi:type="dcterms:W3CDTF">2023-05-12T08:49:00Z</dcterms:created>
  <dcterms:modified xsi:type="dcterms:W3CDTF">2023-05-15T19:03:00Z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1033-5.1.0.7912</vt:lpwstr>
  </property>
</Properties>
</file>