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240" w:lineRule="auto"/>
        <w:jc w:val="center"/>
        <w:rPr>
          <w:rFonts w:hint="eastAsia" w:ascii="Times New Roman Bold" w:hAnsi="Times New Roman Bold" w:cs="Times New Roman Bold"/>
          <w:b/>
          <w:color w:val="000000"/>
          <w:sz w:val="32"/>
          <w:szCs w:val="32"/>
          <w:lang w:val="en-US" w:eastAsia="zh-Hans"/>
        </w:rPr>
      </w:pPr>
      <w:r>
        <w:rPr>
          <w:rFonts w:ascii="Times New Roman Bold" w:hAnsi="Times New Roman Bold" w:eastAsia="Times New Roman" w:cs="Times New Roman Bold"/>
          <w:b/>
          <w:color w:val="000000"/>
          <w:sz w:val="32"/>
          <w:szCs w:val="32"/>
          <w:lang w:val="en-US" w:eastAsia="zh-Hans"/>
        </w:rPr>
        <w:t>Supplementary</w:t>
      </w:r>
      <w:r>
        <w:rPr>
          <w:rFonts w:ascii="Times New Roman Bold" w:hAnsi="Times New Roman Bold" w:eastAsia="Times New Roman" w:cs="Times New Roman Bold"/>
          <w:b/>
          <w:color w:val="000000"/>
          <w:sz w:val="32"/>
          <w:szCs w:val="32"/>
          <w:lang w:eastAsia="zh-Hans"/>
        </w:rPr>
        <w:t xml:space="preserve"> </w:t>
      </w:r>
      <w:r>
        <w:rPr>
          <w:rFonts w:ascii="Times New Roman Bold" w:hAnsi="Times New Roman Bold" w:eastAsia="Times New Roman" w:cs="Times New Roman Bold"/>
          <w:b/>
          <w:color w:val="000000"/>
          <w:sz w:val="32"/>
          <w:szCs w:val="32"/>
          <w:lang w:val="en-US" w:eastAsia="zh-Hans"/>
        </w:rPr>
        <w:t>Material</w:t>
      </w:r>
      <w:r>
        <w:rPr>
          <w:rFonts w:hint="eastAsia" w:ascii="Times New Roman Bold" w:hAnsi="Times New Roman Bold" w:eastAsia="Times New Roman" w:cs="Times New Roman Bold"/>
          <w:b/>
          <w:color w:val="000000"/>
          <w:sz w:val="32"/>
          <w:szCs w:val="32"/>
          <w:lang w:val="en-US" w:eastAsia="zh-Hans"/>
        </w:rPr>
        <w:t>s</w:t>
      </w:r>
    </w:p>
    <w:p>
      <w:pPr>
        <w:spacing w:after="0" w:line="240" w:lineRule="auto"/>
        <w:rPr>
          <w:rFonts w:hint="eastAsia" w:ascii="Times New Roman Bold" w:hAnsi="Times New Roman Bold" w:eastAsia="Times New Roman" w:cs="Times New Roman Bold"/>
          <w:b/>
          <w:color w:val="000000"/>
          <w:sz w:val="24"/>
          <w:szCs w:val="24"/>
          <w:lang w:val="en-US" w:eastAsia="zh-Hans"/>
        </w:rPr>
      </w:pPr>
      <w:r>
        <w:rPr>
          <w:rFonts w:ascii="Times New Roman Bold" w:hAnsi="Times New Roman Bold" w:eastAsia="Times New Roman" w:cs="Times New Roman Bold"/>
          <w:b/>
          <w:color w:val="000000"/>
          <w:sz w:val="24"/>
          <w:szCs w:val="24"/>
          <w:lang w:val="en-US" w:eastAsia="zh-Hans"/>
        </w:rPr>
        <w:t>Supplementary</w:t>
      </w:r>
      <w:r>
        <w:rPr>
          <w:rFonts w:ascii="Times New Roman Bold" w:hAnsi="Times New Roman Bold" w:eastAsia="Times New Roman" w:cs="Times New Roman Bold"/>
          <w:b/>
          <w:color w:val="000000"/>
          <w:sz w:val="24"/>
          <w:szCs w:val="24"/>
          <w:lang w:eastAsia="zh-Hans"/>
        </w:rPr>
        <w:t xml:space="preserve"> Table.1  </w:t>
      </w:r>
      <w:r>
        <w:rPr>
          <w:rFonts w:hint="eastAsia" w:ascii="Times New Roman Bold" w:hAnsi="Times New Roman Bold" w:eastAsia="Times New Roman" w:cs="Times New Roman Bold"/>
          <w:b/>
          <w:color w:val="000000"/>
          <w:sz w:val="24"/>
          <w:szCs w:val="24"/>
          <w:lang w:val="en-US" w:eastAsia="zh-Hans"/>
        </w:rPr>
        <w:t>PRISMA</w:t>
      </w:r>
      <w:r>
        <w:rPr>
          <w:rFonts w:hint="default" w:ascii="Times New Roman Bold" w:hAnsi="Times New Roman Bold" w:eastAsia="Times New Roman" w:cs="Times New Roman Bold"/>
          <w:b/>
          <w:color w:val="000000"/>
          <w:sz w:val="24"/>
          <w:szCs w:val="24"/>
          <w:lang w:eastAsia="zh-Hans"/>
        </w:rPr>
        <w:t xml:space="preserve"> </w:t>
      </w:r>
      <w:r>
        <w:rPr>
          <w:rFonts w:hint="eastAsia" w:ascii="Times New Roman Bold" w:hAnsi="Times New Roman Bold" w:eastAsia="Times New Roman" w:cs="Times New Roman Bold"/>
          <w:b/>
          <w:color w:val="000000"/>
          <w:sz w:val="24"/>
          <w:szCs w:val="24"/>
          <w:lang w:val="en-US" w:eastAsia="zh-Hans"/>
        </w:rPr>
        <w:t>checklist</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89"/>
        <w:gridCol w:w="470"/>
        <w:gridCol w:w="6926"/>
        <w:gridCol w:w="881"/>
      </w:tblGrid>
      <w:tr>
        <w:trPr>
          <w:cantSplit/>
          <w:trHeight w:val="368" w:hRule="atLeast"/>
          <w:jc w:val="center"/>
        </w:trPr>
        <w:tc>
          <w:tcPr>
            <w:tcW w:w="0" w:type="auto"/>
            <w:tcBorders>
              <w:top w:val="single" w:color="auto" w:sz="4" w:space="0"/>
              <w:left w:val="nil"/>
              <w:bottom w:val="single" w:color="auto" w:sz="4" w:space="0"/>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val="0"/>
                <w:bCs/>
                <w:color w:val="000000"/>
                <w:sz w:val="24"/>
                <w:szCs w:val="24"/>
              </w:rPr>
            </w:pPr>
            <w:r>
              <w:rPr>
                <w:rFonts w:hint="default" w:ascii="Times New Roman Bold" w:hAnsi="Times New Roman Bold" w:eastAsia="DejaVu Sans" w:cs="Times New Roman Bold"/>
                <w:b w:val="0"/>
                <w:bCs/>
                <w:color w:val="000000"/>
                <w:kern w:val="0"/>
                <w:sz w:val="18"/>
                <w:szCs w:val="18"/>
                <w:lang w:val="en-US" w:eastAsia="zh-CN" w:bidi="ar"/>
              </w:rPr>
              <w:t>Topic</w:t>
            </w:r>
          </w:p>
        </w:tc>
        <w:tc>
          <w:tcPr>
            <w:tcW w:w="0" w:type="auto"/>
            <w:tcBorders>
              <w:top w:val="single" w:color="auto" w:sz="4" w:space="0"/>
              <w:left w:val="nil"/>
              <w:bottom w:val="single" w:color="auto" w:sz="4" w:space="0"/>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No.</w:t>
            </w:r>
          </w:p>
        </w:tc>
        <w:tc>
          <w:tcPr>
            <w:tcW w:w="0" w:type="auto"/>
            <w:tcBorders>
              <w:top w:val="single" w:color="auto" w:sz="4" w:space="0"/>
              <w:left w:val="nil"/>
              <w:bottom w:val="single" w:color="auto" w:sz="4" w:space="0"/>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Item</w:t>
            </w:r>
          </w:p>
        </w:tc>
        <w:tc>
          <w:tcPr>
            <w:tcW w:w="0" w:type="auto"/>
            <w:tcBorders>
              <w:top w:val="single" w:color="auto" w:sz="4" w:space="0"/>
              <w:left w:val="nil"/>
              <w:bottom w:val="single" w:color="auto" w:sz="4" w:space="0"/>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18"/>
                <w:szCs w:val="18"/>
              </w:rPr>
            </w:pPr>
            <w:r>
              <w:rPr>
                <w:rFonts w:hint="default" w:ascii="Times New Roman Bold" w:hAnsi="Times New Roman Bold" w:eastAsia="DejaVu Sans" w:cs="Times New Roman Bold"/>
                <w:b/>
                <w:bCs w:val="0"/>
                <w:color w:val="000000"/>
                <w:kern w:val="0"/>
                <w:sz w:val="18"/>
                <w:szCs w:val="18"/>
                <w:lang w:val="en-US" w:eastAsia="zh-CN" w:bidi="ar"/>
              </w:rPr>
              <w:t>Location</w:t>
            </w:r>
          </w:p>
        </w:tc>
      </w:tr>
      <w:tr>
        <w:tblPrEx>
          <w:shd w:val="clear" w:color="auto" w:fill="auto"/>
        </w:tblPrEx>
        <w:trPr>
          <w:cantSplit/>
          <w:trHeight w:val="90" w:hRule="atLeast"/>
          <w:jc w:val="center"/>
        </w:trPr>
        <w:tc>
          <w:tcPr>
            <w:tcW w:w="0" w:type="auto"/>
            <w:tcBorders>
              <w:top w:val="single" w:color="auto" w:sz="4" w:space="0"/>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TITLE</w:t>
            </w:r>
          </w:p>
        </w:tc>
        <w:tc>
          <w:tcPr>
            <w:tcW w:w="0" w:type="auto"/>
            <w:tcBorders>
              <w:top w:val="single" w:color="auto" w:sz="4" w:space="0"/>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p>
        </w:tc>
        <w:tc>
          <w:tcPr>
            <w:tcW w:w="0" w:type="auto"/>
            <w:tcBorders>
              <w:top w:val="single" w:color="auto" w:sz="4" w:space="0"/>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p>
        </w:tc>
        <w:tc>
          <w:tcPr>
            <w:tcW w:w="0" w:type="auto"/>
            <w:tcBorders>
              <w:top w:val="single" w:color="auto" w:sz="4" w:space="0"/>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p>
        </w:tc>
      </w:tr>
      <w:tr>
        <w:tblPrEx>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Title</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 xml:space="preserve">Identify the report as a systematic review. </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val="en-US" w:eastAsia="zh-CN" w:bidi="ar"/>
              </w:rPr>
              <w:t>1</w:t>
            </w: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ABSTRACT</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p>
        </w:tc>
      </w:tr>
      <w:tr>
        <w:tblPrEx>
          <w:shd w:val="clear" w:color="auto" w:fill="auto"/>
        </w:tblPrEx>
        <w:trPr>
          <w:cantSplit/>
          <w:trHeight w:val="90" w:hRule="atLeas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Abstract</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See the PRISMA 2020 for Abstracts checklist</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2</w:t>
            </w:r>
          </w:p>
        </w:tc>
      </w:tr>
      <w:tr>
        <w:tblPrEx>
          <w:shd w:val="clear" w:color="auto" w:fill="auto"/>
        </w:tblPrEx>
        <w:trPr>
          <w:cantSplit/>
          <w:trHeight w:val="90" w:hRule="atLeas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INTRODUCTION</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p>
        </w:tc>
      </w:tr>
      <w:tr>
        <w:tblPrEx>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Rationale</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3</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 xml:space="preserve">Describe the rationale for the review in the context of existing knowledge. </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val="en-US" w:eastAsia="zh-CN" w:bidi="ar"/>
              </w:rPr>
              <w:t>3</w:t>
            </w: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Objectives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4</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Provide an explicit statement of the objective(s) or question(s) the review addresses.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4</w:t>
            </w:r>
          </w:p>
        </w:tc>
      </w:tr>
      <w:tr>
        <w:tblPrEx>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METHODS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Eligibility criteria</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5</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Specify the inclusion and exclusion criteria for the review and how studies were grouped for the syntheses.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Information sources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6</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Specify all databases, registers, websites, organisations, reference lists and other sources searched or consulted to identify studies. Specify the date when each source was last searched or consulted.</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Search strategy</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7</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Present the full search strategies for all databases, registers and websites, including any filters and limits used.</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5</w:t>
            </w:r>
          </w:p>
        </w:tc>
      </w:tr>
      <w:tr>
        <w:tblPrEx>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Selection process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8</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Data collection process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9</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Data items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10a</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6</w:t>
            </w: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10b</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List and define all other variables for which data were sought (e.g. participant and intervention characteristics, funding sources). Describe any assumptions made about any missing or unclear information.</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6</w:t>
            </w:r>
          </w:p>
        </w:tc>
      </w:tr>
      <w:tr>
        <w:tblPrEx>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Study risk of bias assessment</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11</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7</w:t>
            </w: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Effect measures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12</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Specify for each outcome the effect measure(s) (e.g. risk ratio, mean difference) used in the synthesis or presentation of results.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7</w:t>
            </w:r>
          </w:p>
        </w:tc>
      </w:tr>
      <w:tr>
        <w:tblPrEx>
          <w:shd w:val="clear" w:color="auto" w:fill="auto"/>
        </w:tblPrEx>
        <w:trPr>
          <w:cantSplit/>
          <w:jc w:val="center"/>
        </w:trPr>
        <w:tc>
          <w:tcPr>
            <w:tcW w:w="0" w:type="auto"/>
            <w:vMerge w:val="restart"/>
            <w:tcBorders>
              <w:top w:val="nil"/>
              <w:left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Synthesis methods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13a</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the processes used to decide which studies were eligible for each synthesis (e.g. tabulating the study intervention characteristics and comparing against the planned groups for each synthesis (item 5)).</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vMerge w:val="continue"/>
            <w:tcBorders>
              <w:left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13b</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any methods required to prepare the data for presentation or synthesis, such as handling of missing summary statistics, or data conversions.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7</w:t>
            </w:r>
          </w:p>
        </w:tc>
      </w:tr>
      <w:tr>
        <w:tblPrEx>
          <w:shd w:val="clear" w:color="auto" w:fill="auto"/>
        </w:tblPrEx>
        <w:trPr>
          <w:cantSplit/>
          <w:jc w:val="center"/>
        </w:trPr>
        <w:tc>
          <w:tcPr>
            <w:tcW w:w="0" w:type="auto"/>
            <w:vMerge w:val="continue"/>
            <w:tcBorders>
              <w:left w:val="nil"/>
              <w:right w:val="nil"/>
            </w:tcBorders>
            <w:shd w:val="clear" w:color="auto" w:fill="FFFFFF"/>
            <w:tcMar>
              <w:left w:w="0" w:type="dxa"/>
              <w:right w:w="0" w:type="dxa"/>
            </w:tcMar>
            <w:vAlign w:val="top"/>
          </w:tcPr>
          <w:p>
            <w:pPr>
              <w:keepNext w:val="0"/>
              <w:keepLines w:val="0"/>
              <w:widowControl/>
              <w:suppressLineNumbers w:val="0"/>
              <w:spacing w:before="0" w:beforeAutospacing="0" w:afterAutospacing="0"/>
              <w:ind w:left="0" w:right="0"/>
              <w:rPr>
                <w:rFonts w:hint="default" w:ascii="Times New Roman" w:hAnsi="Times New Roman" w:cs="Times New Roman"/>
                <w:color w:val="000000"/>
                <w:sz w:val="20"/>
                <w:szCs w:val="20"/>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13c</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any methods used to tabulate or visually display results of individual studies and syntheses.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7</w:t>
            </w:r>
          </w:p>
        </w:tc>
      </w:tr>
      <w:tr>
        <w:tblPrEx>
          <w:shd w:val="clear" w:color="auto" w:fill="auto"/>
        </w:tblPrEx>
        <w:trPr>
          <w:cantSplit/>
          <w:jc w:val="center"/>
        </w:trPr>
        <w:tc>
          <w:tcPr>
            <w:tcW w:w="0" w:type="auto"/>
            <w:vMerge w:val="continue"/>
            <w:tcBorders>
              <w:left w:val="nil"/>
              <w:right w:val="nil"/>
            </w:tcBorders>
            <w:shd w:val="clear" w:color="auto" w:fill="CCCCCC"/>
            <w:tcMar>
              <w:left w:w="0" w:type="dxa"/>
              <w:right w:w="0" w:type="dxa"/>
            </w:tcMar>
            <w:vAlign w:val="top"/>
          </w:tcPr>
          <w:p>
            <w:pPr>
              <w:keepNext w:val="0"/>
              <w:keepLines w:val="0"/>
              <w:widowControl/>
              <w:suppressLineNumbers w:val="0"/>
              <w:spacing w:before="0" w:beforeAutospacing="0" w:afterAutospacing="0"/>
              <w:ind w:left="0" w:right="0"/>
              <w:rPr>
                <w:rFonts w:hint="default" w:ascii="Times New Roman" w:hAnsi="Times New Roman" w:cs="Times New Roman"/>
                <w:color w:val="000000"/>
                <w:sz w:val="20"/>
                <w:szCs w:val="20"/>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13d</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7</w:t>
            </w:r>
          </w:p>
        </w:tc>
      </w:tr>
      <w:tr>
        <w:tblPrEx>
          <w:shd w:val="clear" w:color="auto" w:fill="auto"/>
        </w:tblPrEx>
        <w:trPr>
          <w:cantSplit/>
          <w:jc w:val="center"/>
        </w:trPr>
        <w:tc>
          <w:tcPr>
            <w:tcW w:w="0" w:type="auto"/>
            <w:vMerge w:val="continue"/>
            <w:tcBorders>
              <w:left w:val="nil"/>
              <w:right w:val="nil"/>
            </w:tcBorders>
            <w:shd w:val="clear" w:color="auto" w:fill="FFFFFF"/>
            <w:tcMar>
              <w:left w:w="0" w:type="dxa"/>
              <w:right w:w="0" w:type="dxa"/>
            </w:tcMar>
            <w:vAlign w:val="top"/>
          </w:tcPr>
          <w:p>
            <w:pPr>
              <w:keepNext w:val="0"/>
              <w:keepLines w:val="0"/>
              <w:widowControl/>
              <w:suppressLineNumbers w:val="0"/>
              <w:spacing w:before="0" w:beforeAutospacing="0" w:afterAutospacing="0"/>
              <w:ind w:left="0" w:right="0"/>
              <w:rPr>
                <w:rFonts w:hint="default" w:ascii="Times New Roman" w:hAnsi="Times New Roman" w:cs="Times New Roman"/>
                <w:color w:val="000000"/>
                <w:sz w:val="20"/>
                <w:szCs w:val="20"/>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13e</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any methods used to explore possible causes of heterogeneity among study results (e.g. subgroup analysis, meta-regression).</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7</w:t>
            </w:r>
          </w:p>
        </w:tc>
      </w:tr>
      <w:tr>
        <w:tblPrEx>
          <w:shd w:val="clear" w:color="auto" w:fill="auto"/>
        </w:tblPrEx>
        <w:trPr>
          <w:cantSplit/>
          <w:jc w:val="center"/>
        </w:trPr>
        <w:tc>
          <w:tcPr>
            <w:tcW w:w="0" w:type="auto"/>
            <w:vMerge w:val="continue"/>
            <w:tcBorders>
              <w:left w:val="nil"/>
              <w:bottom w:val="nil"/>
              <w:right w:val="nil"/>
            </w:tcBorders>
            <w:shd w:val="clear" w:color="auto" w:fill="CCCCCC"/>
            <w:tcMar>
              <w:left w:w="0" w:type="dxa"/>
              <w:right w:w="0" w:type="dxa"/>
            </w:tcMar>
            <w:vAlign w:val="top"/>
          </w:tcPr>
          <w:p>
            <w:pPr>
              <w:keepNext w:val="0"/>
              <w:keepLines w:val="0"/>
              <w:widowControl/>
              <w:suppressLineNumbers w:val="0"/>
              <w:spacing w:before="0" w:beforeAutospacing="0" w:afterAutospacing="0"/>
              <w:ind w:left="0" w:right="0"/>
              <w:rPr>
                <w:rFonts w:hint="default" w:ascii="Times New Roman" w:hAnsi="Times New Roman" w:cs="Times New Roman"/>
                <w:color w:val="000000"/>
                <w:sz w:val="20"/>
                <w:szCs w:val="20"/>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13f</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any sensitivity analyses conducted to assess robustness of the synthesized results.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7</w:t>
            </w:r>
          </w:p>
        </w:tc>
      </w:tr>
      <w:tr>
        <w:tblPrEx>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Reporting bias assessment</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14</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any methods used to assess risk of bias due to missing results in a synthesis (arising from reporting biases).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7</w:t>
            </w: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Certainty assessment</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15</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any methods used to assess certainty (or confidence) in the body of evidence for an outcome.</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RESULTS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Study selection</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16a</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the results of the search and selection process, from the number of records identified in the search to the number of studies included in the review, ideally using a flow diagram.</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8</w:t>
            </w:r>
          </w:p>
        </w:tc>
      </w:tr>
      <w:tr>
        <w:tblPrEx>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16b</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Cite studies that might appear to meet the inclusion criteria, but which were excluded, and explain why they were excluded.</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8</w:t>
            </w: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Study characteristics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17</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Cite each included study and present its characteristics.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Risk of bias in studies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18</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Present assessments of risk of bias for each included study.</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Results of individual studies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19</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For all outcomes, present, for each study: (a) summary statistics for each group (where appropriate) and (b) an effect estimate and its precision (e.g. confidence/credible interval), ideally using structured tables or plots.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9</w:t>
            </w:r>
          </w:p>
        </w:tc>
      </w:tr>
      <w:tr>
        <w:tblPrEx>
          <w:shd w:val="clear" w:color="auto" w:fill="auto"/>
        </w:tblPrEx>
        <w:trPr>
          <w:cantSplit/>
          <w:jc w:val="center"/>
        </w:trPr>
        <w:tc>
          <w:tcPr>
            <w:tcW w:w="0" w:type="auto"/>
            <w:vMerge w:val="restart"/>
            <w:tcBorders>
              <w:top w:val="nil"/>
              <w:left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Results of syntheses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20a</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For each synthesis, briefly summarise the characteristics and risk of bias among contributing studies.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vMerge w:val="continue"/>
            <w:tcBorders>
              <w:left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20b</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9</w:t>
            </w:r>
          </w:p>
        </w:tc>
      </w:tr>
      <w:tr>
        <w:tblPrEx>
          <w:shd w:val="clear" w:color="auto" w:fill="auto"/>
        </w:tblPrEx>
        <w:trPr>
          <w:cantSplit/>
          <w:jc w:val="center"/>
        </w:trPr>
        <w:tc>
          <w:tcPr>
            <w:tcW w:w="0" w:type="auto"/>
            <w:vMerge w:val="continue"/>
            <w:tcBorders>
              <w:left w:val="nil"/>
              <w:right w:val="nil"/>
            </w:tcBorders>
            <w:shd w:val="clear" w:color="auto" w:fill="FFFFFF"/>
            <w:tcMar>
              <w:left w:w="0" w:type="dxa"/>
              <w:right w:w="0" w:type="dxa"/>
            </w:tcMar>
            <w:vAlign w:val="top"/>
          </w:tcPr>
          <w:p>
            <w:pPr>
              <w:keepNext w:val="0"/>
              <w:keepLines w:val="0"/>
              <w:widowControl/>
              <w:suppressLineNumbers w:val="0"/>
              <w:spacing w:before="0" w:beforeAutospacing="0" w:afterAutospacing="0"/>
              <w:ind w:left="0" w:right="0"/>
              <w:rPr>
                <w:rFonts w:hint="default" w:ascii="Times New Roman" w:hAnsi="Times New Roman" w:cs="Times New Roman"/>
                <w:color w:val="000000"/>
                <w:sz w:val="20"/>
                <w:szCs w:val="20"/>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20c</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Present results of all investigations of possible causes of heterogeneity among study results.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11</w:t>
            </w:r>
          </w:p>
        </w:tc>
      </w:tr>
      <w:tr>
        <w:tblPrEx>
          <w:shd w:val="clear" w:color="auto" w:fill="auto"/>
        </w:tblPrEx>
        <w:trPr>
          <w:cantSplit/>
          <w:jc w:val="center"/>
        </w:trPr>
        <w:tc>
          <w:tcPr>
            <w:tcW w:w="0" w:type="auto"/>
            <w:vMerge w:val="continue"/>
            <w:tcBorders>
              <w:left w:val="nil"/>
              <w:bottom w:val="nil"/>
              <w:right w:val="nil"/>
            </w:tcBorders>
            <w:shd w:val="clear" w:color="auto" w:fill="CCCCCC"/>
            <w:tcMar>
              <w:left w:w="0" w:type="dxa"/>
              <w:right w:w="0" w:type="dxa"/>
            </w:tcMar>
            <w:vAlign w:val="top"/>
          </w:tcPr>
          <w:p>
            <w:pPr>
              <w:keepNext w:val="0"/>
              <w:keepLines w:val="0"/>
              <w:widowControl/>
              <w:suppressLineNumbers w:val="0"/>
              <w:spacing w:before="0" w:beforeAutospacing="0" w:afterAutospacing="0"/>
              <w:ind w:left="0" w:right="0"/>
              <w:rPr>
                <w:rFonts w:hint="default" w:ascii="Times New Roman" w:hAnsi="Times New Roman" w:cs="Times New Roman"/>
                <w:color w:val="000000"/>
                <w:sz w:val="20"/>
                <w:szCs w:val="20"/>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20d</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Present results of all sensitivity analyses conducted to assess the robustness of the synthesized results.</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12</w:t>
            </w:r>
          </w:p>
        </w:tc>
      </w:tr>
      <w:tr>
        <w:tblPrEx>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Reporting biases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21</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Present assessments of risk of bias due to missing results (arising from reporting biases) for each synthesis assessed.</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12</w:t>
            </w: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Certainty of evidence</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22</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Present assessments of certainty (or confidence) in the body of evidence for each outcome assessed.</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tcBorders>
              <w:top w:val="nil"/>
              <w:left w:val="nil"/>
              <w:bottom w:val="nil"/>
              <w:right w:val="nil"/>
            </w:tcBorders>
            <w:shd w:val="clear" w:color="auto" w:fill="auto"/>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DISCUSSION</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p>
        </w:tc>
      </w:tr>
      <w:tr>
        <w:tblPrEx>
          <w:shd w:val="clear" w:color="auto" w:fill="auto"/>
        </w:tblPrEx>
        <w:trPr>
          <w:cantSplit/>
          <w:jc w:val="center"/>
        </w:trPr>
        <w:tc>
          <w:tcPr>
            <w:tcW w:w="0" w:type="auto"/>
            <w:vMerge w:val="restart"/>
            <w:tcBorders>
              <w:top w:val="nil"/>
              <w:left w:val="nil"/>
              <w:right w:val="nil"/>
            </w:tcBorders>
            <w:shd w:val="clear" w:color="auto" w:fill="auto"/>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Discussion</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23a</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Provide a general interpretation of the results in the context of other evidence.</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13</w:t>
            </w:r>
          </w:p>
        </w:tc>
      </w:tr>
      <w:tr>
        <w:tblPrEx>
          <w:shd w:val="clear" w:color="auto" w:fill="auto"/>
        </w:tblPrEx>
        <w:trPr>
          <w:cantSplit/>
          <w:jc w:val="center"/>
        </w:trPr>
        <w:tc>
          <w:tcPr>
            <w:tcW w:w="0" w:type="auto"/>
            <w:vMerge w:val="continue"/>
            <w:tcBorders>
              <w:left w:val="nil"/>
              <w:right w:val="nil"/>
            </w:tcBorders>
            <w:shd w:val="clear" w:color="auto" w:fill="auto"/>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23b</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Discuss any limitations of the evidence included in the review.</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16</w:t>
            </w:r>
          </w:p>
        </w:tc>
      </w:tr>
      <w:tr>
        <w:tblPrEx>
          <w:shd w:val="clear" w:color="auto" w:fill="auto"/>
        </w:tblPrEx>
        <w:trPr>
          <w:cantSplit/>
          <w:jc w:val="center"/>
        </w:trPr>
        <w:tc>
          <w:tcPr>
            <w:tcW w:w="0" w:type="auto"/>
            <w:vMerge w:val="continue"/>
            <w:tcBorders>
              <w:left w:val="nil"/>
              <w:right w:val="nil"/>
            </w:tcBorders>
            <w:shd w:val="clear" w:color="auto" w:fill="auto"/>
            <w:tcMar>
              <w:left w:w="0" w:type="dxa"/>
              <w:right w:w="0" w:type="dxa"/>
            </w:tcMar>
            <w:vAlign w:val="top"/>
          </w:tcPr>
          <w:p>
            <w:pPr>
              <w:keepNext w:val="0"/>
              <w:keepLines w:val="0"/>
              <w:widowControl/>
              <w:suppressLineNumbers w:val="0"/>
              <w:spacing w:before="0" w:beforeAutospacing="0" w:afterAutospacing="0"/>
              <w:ind w:left="0" w:right="0"/>
              <w:rPr>
                <w:rFonts w:hint="default" w:ascii="Times New Roman" w:hAnsi="Times New Roman" w:cs="Times New Roman"/>
                <w:color w:val="000000"/>
                <w:sz w:val="20"/>
                <w:szCs w:val="20"/>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23c</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Discuss any limitations of the review processes used.</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16</w:t>
            </w:r>
          </w:p>
        </w:tc>
      </w:tr>
      <w:tr>
        <w:tblPrEx>
          <w:shd w:val="clear" w:color="auto" w:fill="auto"/>
        </w:tblPrEx>
        <w:trPr>
          <w:cantSplit/>
          <w:jc w:val="center"/>
        </w:trPr>
        <w:tc>
          <w:tcPr>
            <w:tcW w:w="0" w:type="auto"/>
            <w:vMerge w:val="continue"/>
            <w:tcBorders>
              <w:left w:val="nil"/>
              <w:bottom w:val="nil"/>
              <w:right w:val="nil"/>
            </w:tcBorders>
            <w:shd w:val="clear" w:color="auto" w:fill="auto"/>
            <w:tcMar>
              <w:left w:w="0" w:type="dxa"/>
              <w:right w:w="0" w:type="dxa"/>
            </w:tcMar>
            <w:vAlign w:val="top"/>
          </w:tcPr>
          <w:p>
            <w:pPr>
              <w:keepNext w:val="0"/>
              <w:keepLines w:val="0"/>
              <w:widowControl/>
              <w:suppressLineNumbers w:val="0"/>
              <w:spacing w:before="0" w:beforeAutospacing="0" w:afterAutospacing="0"/>
              <w:ind w:left="0" w:right="0"/>
              <w:rPr>
                <w:rFonts w:hint="default" w:ascii="Times New Roman" w:hAnsi="Times New Roman" w:cs="Times New Roman"/>
                <w:color w:val="000000"/>
                <w:sz w:val="20"/>
                <w:szCs w:val="20"/>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23d</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Discuss implications of the results for practice, policy, and future research.</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16</w:t>
            </w: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OTHER INFORMATION</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vMerge w:val="restart"/>
            <w:tcBorders>
              <w:top w:val="nil"/>
              <w:left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Registration and protocol</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24a</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 xml:space="preserve">Provide registration information for the review, including register name and registration number, or state that the review was not registered. </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4</w:t>
            </w:r>
          </w:p>
        </w:tc>
      </w:tr>
      <w:tr>
        <w:tblPrEx>
          <w:shd w:val="clear" w:color="auto" w:fill="auto"/>
        </w:tblPrEx>
        <w:trPr>
          <w:cantSplit/>
          <w:jc w:val="center"/>
        </w:trPr>
        <w:tc>
          <w:tcPr>
            <w:tcW w:w="0" w:type="auto"/>
            <w:vMerge w:val="continue"/>
            <w:tcBorders>
              <w:left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24b</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Indicate where the review protocol can be accessed, or state that a protocol was not prepared.</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4</w:t>
            </w:r>
          </w:p>
        </w:tc>
      </w:tr>
      <w:tr>
        <w:tblPrEx>
          <w:shd w:val="clear" w:color="auto" w:fill="auto"/>
        </w:tblPrEx>
        <w:trPr>
          <w:cantSplit/>
          <w:jc w:val="center"/>
        </w:trPr>
        <w:tc>
          <w:tcPr>
            <w:tcW w:w="0" w:type="auto"/>
            <w:vMerge w:val="continue"/>
            <w:tcBorders>
              <w:left w:val="nil"/>
              <w:bottom w:val="nil"/>
              <w:right w:val="nil"/>
            </w:tcBorders>
            <w:shd w:val="clear" w:color="auto" w:fill="FFFFFF"/>
            <w:tcMar>
              <w:left w:w="0" w:type="dxa"/>
              <w:right w:w="0" w:type="dxa"/>
            </w:tcMar>
            <w:vAlign w:val="top"/>
          </w:tcPr>
          <w:p>
            <w:pPr>
              <w:keepNext w:val="0"/>
              <w:keepLines w:val="0"/>
              <w:widowControl/>
              <w:suppressLineNumbers w:val="0"/>
              <w:spacing w:before="0" w:beforeAutospacing="0" w:afterAutospacing="0"/>
              <w:ind w:left="0" w:right="0"/>
              <w:rPr>
                <w:rFonts w:hint="default" w:ascii="Times New Roman" w:hAnsi="Times New Roman" w:cs="Times New Roman"/>
                <w:color w:val="000000"/>
                <w:sz w:val="20"/>
                <w:szCs w:val="20"/>
              </w:rPr>
            </w:pP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24c</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and explain any amendments to information provided at registration or in the protocol.</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4</w:t>
            </w:r>
          </w:p>
        </w:tc>
      </w:tr>
      <w:tr>
        <w:tblPrEx>
          <w:shd w:val="clear" w:color="auto" w:fill="auto"/>
        </w:tblPrEx>
        <w:trPr>
          <w:cantSplit/>
          <w:jc w:val="center"/>
        </w:trPr>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Support</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25</w:t>
            </w:r>
          </w:p>
        </w:tc>
        <w:tc>
          <w:tcPr>
            <w:tcW w:w="0" w:type="auto"/>
            <w:tcBorders>
              <w:top w:val="nil"/>
              <w:left w:val="nil"/>
              <w:bottom w:val="nil"/>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Describe sources of financial or non-financial support for the review, and the role of the funders or sponsors in the review.</w:t>
            </w:r>
          </w:p>
        </w:tc>
        <w:tc>
          <w:tcPr>
            <w:tcW w:w="0" w:type="auto"/>
            <w:tcBorders>
              <w:top w:val="nil"/>
              <w:left w:val="nil"/>
              <w:bottom w:val="nil"/>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18</w:t>
            </w:r>
          </w:p>
        </w:tc>
      </w:tr>
      <w:tr>
        <w:tblPrEx>
          <w:shd w:val="clear" w:color="auto" w:fill="auto"/>
        </w:tblPrEx>
        <w:trPr>
          <w:cantSplit/>
          <w:jc w:val="center"/>
        </w:trPr>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Competing interests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26</w:t>
            </w:r>
          </w:p>
        </w:tc>
        <w:tc>
          <w:tcPr>
            <w:tcW w:w="0" w:type="auto"/>
            <w:tcBorders>
              <w:top w:val="nil"/>
              <w:left w:val="nil"/>
              <w:bottom w:val="nil"/>
              <w:right w:val="nil"/>
            </w:tcBorders>
            <w:shd w:val="clear" w:color="auto" w:fill="FFFFFF"/>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Declare any competing interests of review authors.</w:t>
            </w:r>
          </w:p>
        </w:tc>
        <w:tc>
          <w:tcPr>
            <w:tcW w:w="0" w:type="auto"/>
            <w:tcBorders>
              <w:top w:val="nil"/>
              <w:left w:val="nil"/>
              <w:bottom w:val="nil"/>
              <w:right w:val="nil"/>
            </w:tcBorders>
            <w:shd w:val="clear" w:color="auto" w:fill="FFFFFF"/>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DejaVu Sans" w:cs="Times New Roman Regular"/>
                <w:color w:val="000000"/>
                <w:kern w:val="0"/>
                <w:sz w:val="18"/>
                <w:szCs w:val="18"/>
                <w:lang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jc w:val="center"/>
        </w:trPr>
        <w:tc>
          <w:tcPr>
            <w:tcW w:w="0" w:type="auto"/>
            <w:tcBorders>
              <w:top w:val="nil"/>
              <w:left w:val="nil"/>
              <w:bottom w:val="single" w:color="auto" w:sz="4" w:space="0"/>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center"/>
              <w:rPr>
                <w:rFonts w:hint="default" w:ascii="Times New Roman Bold" w:hAnsi="Times New Roman Bold" w:eastAsia="Cambria" w:cs="Times New Roman Bold"/>
                <w:b/>
                <w:bCs w:val="0"/>
                <w:color w:val="000000"/>
                <w:sz w:val="24"/>
                <w:szCs w:val="24"/>
              </w:rPr>
            </w:pPr>
            <w:r>
              <w:rPr>
                <w:rFonts w:hint="default" w:ascii="Times New Roman Bold" w:hAnsi="Times New Roman Bold" w:eastAsia="DejaVu Sans" w:cs="Times New Roman Bold"/>
                <w:b/>
                <w:bCs w:val="0"/>
                <w:color w:val="000000"/>
                <w:kern w:val="0"/>
                <w:sz w:val="18"/>
                <w:szCs w:val="18"/>
                <w:lang w:val="en-US" w:eastAsia="zh-CN" w:bidi="ar"/>
              </w:rPr>
              <w:t>Availability of data, code and other materials</w:t>
            </w:r>
          </w:p>
        </w:tc>
        <w:tc>
          <w:tcPr>
            <w:tcW w:w="0" w:type="auto"/>
            <w:tcBorders>
              <w:top w:val="nil"/>
              <w:left w:val="nil"/>
              <w:bottom w:val="single" w:color="auto" w:sz="4" w:space="0"/>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27</w:t>
            </w:r>
          </w:p>
        </w:tc>
        <w:tc>
          <w:tcPr>
            <w:tcW w:w="0" w:type="auto"/>
            <w:tcBorders>
              <w:top w:val="nil"/>
              <w:left w:val="nil"/>
              <w:bottom w:val="single" w:color="auto" w:sz="4" w:space="0"/>
              <w:right w:val="nil"/>
            </w:tcBorders>
            <w:shd w:val="clear" w:color="auto" w:fill="CCCCCC"/>
            <w:tcMar>
              <w:left w:w="0" w:type="dxa"/>
              <w:right w:w="0" w:type="dxa"/>
            </w:tcMar>
            <w:vAlign w:val="top"/>
          </w:tcPr>
          <w:p>
            <w:pPr>
              <w:keepNext w:val="0"/>
              <w:keepLines w:val="0"/>
              <w:widowControl/>
              <w:suppressLineNumbers w:val="0"/>
              <w:spacing w:before="100" w:beforeAutospacing="0" w:after="100" w:afterAutospacing="0"/>
              <w:ind w:left="100" w:right="100" w:firstLine="0"/>
              <w:jc w:val="left"/>
              <w:rPr>
                <w:rFonts w:hint="default" w:ascii="Times New Roman Regular" w:hAnsi="Times New Roman Regular" w:eastAsia="Cambria" w:cs="Times New Roman Regular"/>
                <w:color w:val="000000"/>
                <w:sz w:val="24"/>
                <w:szCs w:val="24"/>
              </w:rPr>
            </w:pPr>
            <w:r>
              <w:rPr>
                <w:rFonts w:hint="default" w:ascii="Times New Roman Regular" w:hAnsi="Times New Roman Regular" w:eastAsia="DejaVu Sans" w:cs="Times New Roman Regular"/>
                <w:color w:val="000000"/>
                <w:kern w:val="0"/>
                <w:sz w:val="18"/>
                <w:szCs w:val="18"/>
                <w:lang w:val="en-US" w:eastAsia="zh-CN" w:bidi="ar"/>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nil"/>
              <w:left w:val="nil"/>
              <w:bottom w:val="single" w:color="auto" w:sz="4" w:space="0"/>
              <w:right w:val="nil"/>
            </w:tcBorders>
            <w:shd w:val="clear" w:color="auto" w:fill="CCCCCC"/>
            <w:tcMar>
              <w:left w:w="0" w:type="dxa"/>
              <w:right w:w="0" w:type="dxa"/>
            </w:tcMar>
            <w:vAlign w:val="center"/>
          </w:tcPr>
          <w:p>
            <w:pPr>
              <w:keepNext w:val="0"/>
              <w:keepLines w:val="0"/>
              <w:widowControl/>
              <w:suppressLineNumbers w:val="0"/>
              <w:spacing w:before="100" w:beforeAutospacing="0" w:after="100" w:afterAutospacing="0"/>
              <w:ind w:left="100" w:right="100" w:firstLine="0"/>
              <w:jc w:val="center"/>
              <w:rPr>
                <w:rFonts w:hint="default" w:ascii="Times New Roman Regular" w:hAnsi="Times New Roman Regular" w:eastAsia="Cambria" w:cs="Times New Roman Regular"/>
                <w:color w:val="000000"/>
                <w:sz w:val="18"/>
                <w:szCs w:val="18"/>
              </w:rPr>
            </w:pPr>
            <w:r>
              <w:rPr>
                <w:rFonts w:hint="default" w:ascii="Times New Roman Regular" w:hAnsi="Times New Roman Regular" w:eastAsia="Cambria" w:cs="Times New Roman Regular"/>
                <w:color w:val="000000"/>
                <w:sz w:val="18"/>
                <w:szCs w:val="18"/>
              </w:rPr>
              <w:t>18</w:t>
            </w:r>
          </w:p>
        </w:tc>
      </w:tr>
    </w:tbl>
    <w:p>
      <w:pPr>
        <w:spacing w:after="0" w:line="240" w:lineRule="auto"/>
        <w:rPr>
          <w:rFonts w:hint="eastAsia" w:ascii="Times New Roman Bold" w:hAnsi="Times New Roman Bold" w:eastAsia="Times New Roman" w:cs="Times New Roman Bold"/>
          <w:b/>
          <w:color w:val="auto"/>
          <w:sz w:val="24"/>
          <w:szCs w:val="24"/>
          <w:lang w:val="en-US" w:eastAsia="zh-Hans"/>
        </w:rPr>
      </w:pPr>
      <w:r>
        <w:rPr>
          <w:rFonts w:hint="default" w:ascii="Times New Roman Bold Italic" w:hAnsi="Times New Roman Bold Italic" w:cs="Times New Roman Bold Italic"/>
          <w:b/>
          <w:bCs/>
          <w:i/>
          <w:iCs/>
          <w:color w:val="auto"/>
        </w:rPr>
        <w:t>From:</w:t>
      </w:r>
      <w:r>
        <w:rPr>
          <w:rFonts w:hint="default" w:ascii="Times New Roman Bold Italic" w:hAnsi="Times New Roman Bold Italic" w:cs="Times New Roman Bold Italic"/>
          <w:b/>
          <w:bCs/>
          <w:color w:val="auto"/>
        </w:rPr>
        <w:t xml:space="preserve"> </w:t>
      </w:r>
      <w:r>
        <w:rPr>
          <w:rFonts w:hint="default" w:ascii="Times New Roman Regular" w:hAnsi="Times New Roman Regular" w:cs="Times New Roman Regular"/>
          <w:color w:val="auto"/>
        </w:rPr>
        <w:t>Page MJ, McKenzie JE, Bossuyt PM, Boutron I, Hoffmann TC, Mulrow CD, et al. The PRISMA 2020 statement: an updated guideline for reporting systematic reviews. MetaArXiv. 2020, September 14. DOI: 10.31222/osf.io/v7gm2.</w:t>
      </w: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pacing w:after="0" w:line="240" w:lineRule="auto"/>
        <w:rPr>
          <w:rFonts w:ascii="Arial" w:hAnsi="Arial"/>
          <w:sz w:val="20"/>
        </w:rPr>
      </w:pPr>
    </w:p>
    <w:p>
      <w:pPr>
        <w:shd w:val="clear" w:color="auto" w:fill="FFFFFF"/>
        <w:spacing w:after="0" w:line="240" w:lineRule="auto"/>
        <w:jc w:val="both"/>
        <w:rPr>
          <w:rFonts w:ascii="Times New Roman Bold" w:hAnsi="Times New Roman Bold" w:eastAsia="Times New Roman" w:cs="Times New Roman Bold"/>
          <w:b/>
          <w:color w:val="000000"/>
          <w:sz w:val="24"/>
          <w:szCs w:val="24"/>
          <w:lang w:val="en-US" w:eastAsia="zh-Hans"/>
        </w:rPr>
      </w:pPr>
      <w:r>
        <w:rPr>
          <w:rFonts w:ascii="Times New Roman Bold" w:hAnsi="Times New Roman Bold" w:eastAsia="Times New Roman" w:cs="Times New Roman Bold"/>
          <w:b/>
          <w:color w:val="000000"/>
          <w:sz w:val="24"/>
          <w:szCs w:val="24"/>
          <w:lang w:val="en-US" w:eastAsia="zh-Hans"/>
        </w:rPr>
        <w:t>Supplementary</w:t>
      </w:r>
      <w:r>
        <w:rPr>
          <w:rFonts w:ascii="Times New Roman Bold" w:hAnsi="Times New Roman Bold" w:eastAsia="Times New Roman" w:cs="Times New Roman Bold"/>
          <w:b/>
          <w:color w:val="000000"/>
          <w:sz w:val="24"/>
          <w:szCs w:val="24"/>
          <w:lang w:eastAsia="zh-Hans"/>
        </w:rPr>
        <w:t xml:space="preserve"> Table.2 </w:t>
      </w:r>
      <w:r>
        <w:rPr>
          <w:rFonts w:ascii="Times New Roman Bold" w:hAnsi="Times New Roman Bold" w:eastAsia="Times New Roman" w:cs="Times New Roman Bold"/>
          <w:b/>
          <w:color w:val="000000"/>
          <w:sz w:val="24"/>
          <w:szCs w:val="24"/>
          <w:lang w:val="en-US" w:eastAsia="zh-CN"/>
        </w:rPr>
        <w:t>Search Strategies</w:t>
      </w:r>
    </w:p>
    <w:tbl>
      <w:tblPr>
        <w:tblStyle w:val="6"/>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70"/>
        <w:gridCol w:w="8512"/>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c>
          <w:tcPr>
            <w:tcW w:w="2170" w:type="dxa"/>
            <w:tcBorders>
              <w:bottom w:val="single" w:color="000000"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Bold" w:hAnsi="Times New Roman Bold" w:cs="Times New Roman Bold"/>
                <w:b/>
                <w:bCs/>
                <w:kern w:val="2"/>
                <w:sz w:val="21"/>
                <w:szCs w:val="21"/>
                <w:lang w:eastAsia="zh-CN" w:bidi="ar"/>
              </w:rPr>
            </w:pPr>
            <w:r>
              <w:rPr>
                <w:rFonts w:hint="default" w:ascii="Times New Roman Bold" w:hAnsi="Times New Roman Bold" w:cs="Times New Roman Bold"/>
                <w:b/>
                <w:bCs/>
                <w:kern w:val="2"/>
                <w:sz w:val="21"/>
                <w:szCs w:val="21"/>
                <w:lang w:eastAsia="zh-CN" w:bidi="ar"/>
              </w:rPr>
              <w:t>Databases</w:t>
            </w:r>
          </w:p>
        </w:tc>
        <w:tc>
          <w:tcPr>
            <w:tcW w:w="8512" w:type="dxa"/>
            <w:tcBorders>
              <w:bottom w:val="single" w:color="000000"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Bold" w:hAnsi="Times New Roman Bold" w:cs="Times New Roman Bold"/>
                <w:b/>
                <w:bCs/>
                <w:kern w:val="2"/>
                <w:sz w:val="21"/>
                <w:szCs w:val="21"/>
                <w:lang w:eastAsia="zh-CN" w:bidi="ar"/>
              </w:rPr>
            </w:pPr>
            <w:r>
              <w:rPr>
                <w:rFonts w:hint="default" w:ascii="Times New Roman Bold" w:hAnsi="Times New Roman Bold" w:cs="Times New Roman Bold"/>
                <w:b/>
                <w:bCs/>
                <w:kern w:val="2"/>
                <w:sz w:val="21"/>
                <w:szCs w:val="21"/>
                <w:lang w:eastAsia="zh-CN" w:bidi="ar"/>
              </w:rPr>
              <w:t>Search Strategies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c>
          <w:tcPr>
            <w:tcW w:w="2170" w:type="dxa"/>
            <w:tcBorders>
              <w:top w:val="single" w:color="000000" w:sz="4" w:space="0"/>
              <w:bottom w:val="single" w:color="000000"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Pubmed</w:t>
            </w:r>
          </w:p>
          <w:p>
            <w:pPr>
              <w:keepNext w:val="0"/>
              <w:keepLines w:val="0"/>
              <w:widowControl w:val="0"/>
              <w:suppressLineNumbers w:val="0"/>
              <w:spacing w:before="0" w:beforeAutospacing="0" w:after="0" w:afterAutospacing="0" w:line="240" w:lineRule="auto"/>
              <w:ind w:left="0" w:right="0"/>
              <w:jc w:val="center"/>
              <w:rPr>
                <w:rFonts w:hint="default" w:ascii="Times New Roman Regular" w:hAnsi="Times New Roman Regular" w:cs="Times New Roman Regular"/>
                <w:color w:val="auto"/>
                <w:kern w:val="2"/>
                <w:sz w:val="21"/>
                <w:szCs w:val="21"/>
                <w:lang w:eastAsia="zh-CN" w:bidi="ar"/>
              </w:rPr>
            </w:pPr>
            <w:r>
              <w:rPr>
                <w:rFonts w:hint="default" w:ascii="Times New Roman Regular" w:hAnsi="Times New Roman Regular" w:cs="Times New Roman Regular"/>
                <w:color w:val="auto"/>
                <w:kern w:val="2"/>
                <w:sz w:val="21"/>
                <w:szCs w:val="21"/>
                <w:lang w:eastAsia="zh-CN" w:bidi="ar"/>
              </w:rPr>
              <w:t>(n=764)</w:t>
            </w:r>
          </w:p>
        </w:tc>
        <w:tc>
          <w:tcPr>
            <w:tcW w:w="8512" w:type="dxa"/>
            <w:tcBorders>
              <w:top w:val="single" w:color="000000" w:sz="4" w:space="0"/>
              <w:bottom w:val="single" w:color="000000" w:sz="4" w:space="0"/>
            </w:tcBorders>
            <w:noWrap w:val="0"/>
            <w:vAlign w:val="top"/>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(((hepatitis e[MeSH Terms]) OR (hepatitis e virus[MeSH Terms])) OR (HEV[Title/Abstract])) AND</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(((((severe[Text Word]) OR (critical[Text Word])) OR (liver failure[Text Word])) OR (hepatic failure[Text Word])) OR (liver injury[Text Word]))</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b/>
                <w:bCs/>
                <w:color w:val="auto"/>
                <w:kern w:val="2"/>
                <w:sz w:val="21"/>
                <w:szCs w:val="21"/>
                <w:lang w:val="en-US" w:eastAsia="zh-CN" w:bidi="ar"/>
              </w:rPr>
            </w:pPr>
            <w:r>
              <w:rPr>
                <w:rFonts w:hint="default" w:ascii="Times New Roman Bold" w:hAnsi="Times New Roman Bold" w:cs="Times New Roman Bold"/>
                <w:b/>
                <w:bCs/>
                <w:color w:val="auto"/>
                <w:kern w:val="2"/>
                <w:sz w:val="21"/>
                <w:szCs w:val="21"/>
                <w:lang w:val="en-US" w:eastAsia="zh-CN" w:bidi="ar"/>
              </w:rPr>
              <w:t>Filters applied:</w:t>
            </w:r>
            <w:r>
              <w:rPr>
                <w:rFonts w:hint="default" w:ascii="Times New Roman Bold" w:hAnsi="Times New Roman Bold" w:cs="Times New Roman Bold"/>
                <w:b/>
                <w:color w:val="auto"/>
                <w:kern w:val="2"/>
                <w:sz w:val="21"/>
                <w:szCs w:val="21"/>
                <w:lang w:val="en-US" w:eastAsia="zh-CN" w:bidi="ar"/>
              </w:rPr>
              <w:t xml:space="preserve"> </w:t>
            </w:r>
            <w:r>
              <w:rPr>
                <w:rFonts w:hint="default" w:ascii="Times New Roman Regular" w:hAnsi="Times New Roman Regular" w:cs="Times New Roman Regular"/>
                <w:color w:val="auto"/>
                <w:kern w:val="2"/>
                <w:sz w:val="21"/>
                <w:szCs w:val="21"/>
                <w:lang w:val="en-US" w:eastAsia="zh-CN" w:bidi="ar"/>
              </w:rPr>
              <w:t>Humans;Chinese;English.</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c>
          <w:tcPr>
            <w:tcW w:w="2170" w:type="dxa"/>
            <w:tcBorders>
              <w:top w:val="single" w:color="000000" w:sz="4" w:space="0"/>
              <w:bottom w:val="single" w:color="000000"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Cochrane Library</w:t>
            </w:r>
          </w:p>
          <w:p>
            <w:pPr>
              <w:keepNext w:val="0"/>
              <w:keepLines w:val="0"/>
              <w:widowControl w:val="0"/>
              <w:suppressLineNumbers w:val="0"/>
              <w:spacing w:before="0" w:beforeAutospacing="0" w:after="0" w:afterAutospacing="0" w:line="240" w:lineRule="auto"/>
              <w:ind w:left="0" w:right="0"/>
              <w:jc w:val="center"/>
              <w:rPr>
                <w:rFonts w:hint="default" w:ascii="Times New Roman Regular" w:hAnsi="Times New Roman Regular" w:cs="Times New Roman Regular"/>
                <w:color w:val="auto"/>
                <w:kern w:val="2"/>
                <w:sz w:val="21"/>
                <w:szCs w:val="21"/>
                <w:lang w:eastAsia="zh-CN" w:bidi="ar"/>
              </w:rPr>
            </w:pPr>
            <w:r>
              <w:rPr>
                <w:rFonts w:hint="default" w:ascii="Times New Roman Regular" w:hAnsi="Times New Roman Regular" w:cs="Times New Roman Regular"/>
                <w:color w:val="auto"/>
                <w:kern w:val="2"/>
                <w:sz w:val="21"/>
                <w:szCs w:val="21"/>
                <w:lang w:eastAsia="zh-CN" w:bidi="ar"/>
              </w:rPr>
              <w:t>(n=1211)</w:t>
            </w:r>
          </w:p>
        </w:tc>
        <w:tc>
          <w:tcPr>
            <w:tcW w:w="8512" w:type="dxa"/>
            <w:tcBorders>
              <w:top w:val="single" w:color="000000" w:sz="4" w:space="0"/>
              <w:bottom w:val="single" w:color="000000" w:sz="4" w:space="0"/>
            </w:tcBorders>
            <w:noWrap w:val="0"/>
            <w:vAlign w:val="top"/>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#1</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MeSH descriptor: [Hepatitis E] this term only</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#2</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hepatitis e</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#3</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hepatitis e virus</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#4</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HEV</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#5</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#1 OR #2 OR #3 OR #4</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#6</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severe</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#7</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critical</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#8</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liver failure</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#9</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liver injury</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#10</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hepatic failure</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#11</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hepatic injury</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#12</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#6 OR #7 OR #8 OR #9 OR #10 OR #11</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#13</w:t>
            </w:r>
            <w:r>
              <w:rPr>
                <w:rFonts w:hint="default" w:ascii="Times New Roman Regular" w:hAnsi="Times New Roman Regular" w:cs="Times New Roman Regular"/>
                <w:color w:val="auto"/>
                <w:kern w:val="2"/>
                <w:sz w:val="21"/>
                <w:szCs w:val="21"/>
                <w:lang w:val="en-US" w:eastAsia="zh-CN" w:bidi="ar"/>
              </w:rPr>
              <w:tab/>
            </w:r>
            <w:r>
              <w:rPr>
                <w:rFonts w:hint="default" w:ascii="Times New Roman Regular" w:hAnsi="Times New Roman Regular" w:cs="Times New Roman Regular"/>
                <w:color w:val="auto"/>
                <w:kern w:val="2"/>
                <w:sz w:val="21"/>
                <w:szCs w:val="21"/>
                <w:lang w:val="en-US" w:eastAsia="zh-CN" w:bidi="ar"/>
              </w:rPr>
              <w:t>#5 AND #12</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b/>
                <w:bCs/>
                <w:color w:val="auto"/>
                <w:kern w:val="2"/>
                <w:sz w:val="21"/>
                <w:szCs w:val="21"/>
                <w:lang w:eastAsia="zh-CN" w:bidi="ar"/>
              </w:rPr>
            </w:pPr>
            <w:r>
              <w:rPr>
                <w:rFonts w:hint="default" w:ascii="Times New Roman Bold" w:hAnsi="Times New Roman Bold" w:cs="Times New Roman Bold"/>
                <w:b/>
                <w:bCs/>
                <w:color w:val="auto"/>
                <w:kern w:val="2"/>
                <w:sz w:val="21"/>
                <w:szCs w:val="21"/>
                <w:lang w:val="en-US" w:eastAsia="zh-CN" w:bidi="ar"/>
              </w:rPr>
              <w:t>Filter applied:</w:t>
            </w:r>
            <w:r>
              <w:rPr>
                <w:rFonts w:hint="default" w:ascii="Times New Roman Bold" w:hAnsi="Times New Roman Bold" w:cs="Times New Roman Bold"/>
                <w:b/>
                <w:bCs/>
                <w:color w:val="auto"/>
                <w:kern w:val="2"/>
                <w:sz w:val="21"/>
                <w:szCs w:val="21"/>
                <w:lang w:eastAsia="zh-CN" w:bidi="ar"/>
              </w:rPr>
              <w:t xml:space="preserve"> </w:t>
            </w:r>
            <w:r>
              <w:rPr>
                <w:rFonts w:hint="default" w:ascii="Times New Roman Regular" w:hAnsi="Times New Roman Regular" w:cs="Times New Roman Regular"/>
                <w:color w:val="auto"/>
                <w:kern w:val="2"/>
                <w:sz w:val="21"/>
                <w:szCs w:val="21"/>
                <w:lang w:val="en-US" w:eastAsia="zh-CN" w:bidi="ar"/>
              </w:rPr>
              <w:t>Trails</w:t>
            </w:r>
            <w:r>
              <w:rPr>
                <w:rFonts w:hint="default" w:ascii="Times New Roman Regular" w:hAnsi="Times New Roman Regular" w:cs="Times New Roman Regular"/>
                <w:color w:val="auto"/>
                <w:kern w:val="2"/>
                <w:sz w:val="21"/>
                <w:szCs w:val="21"/>
                <w:lang w:eastAsia="zh-CN" w:bidi="ar"/>
              </w:rPr>
              <w:t>;</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c>
          <w:tcPr>
            <w:tcW w:w="2170" w:type="dxa"/>
            <w:tcBorders>
              <w:top w:val="single" w:color="000000" w:sz="4" w:space="0"/>
              <w:bottom w:val="single" w:color="000000"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Medline</w:t>
            </w:r>
          </w:p>
          <w:p>
            <w:pPr>
              <w:keepNext w:val="0"/>
              <w:keepLines w:val="0"/>
              <w:widowControl w:val="0"/>
              <w:suppressLineNumbers w:val="0"/>
              <w:spacing w:before="0" w:beforeAutospacing="0" w:after="0" w:afterAutospacing="0" w:line="240" w:lineRule="auto"/>
              <w:ind w:left="0" w:right="0"/>
              <w:jc w:val="center"/>
              <w:rPr>
                <w:rFonts w:hint="default" w:ascii="Times New Roman Regular" w:hAnsi="Times New Roman Regular" w:cs="Times New Roman Regular"/>
                <w:color w:val="auto"/>
                <w:kern w:val="2"/>
                <w:sz w:val="21"/>
                <w:szCs w:val="21"/>
                <w:lang w:eastAsia="zh-CN" w:bidi="ar"/>
              </w:rPr>
            </w:pPr>
            <w:r>
              <w:rPr>
                <w:rFonts w:hint="default" w:ascii="Times New Roman Regular" w:hAnsi="Times New Roman Regular" w:cs="Times New Roman Regular"/>
                <w:color w:val="auto"/>
                <w:kern w:val="2"/>
                <w:sz w:val="21"/>
                <w:szCs w:val="21"/>
                <w:lang w:eastAsia="zh-CN" w:bidi="ar"/>
              </w:rPr>
              <w:t>(n=945)</w:t>
            </w:r>
          </w:p>
        </w:tc>
        <w:tc>
          <w:tcPr>
            <w:tcW w:w="8512" w:type="dxa"/>
            <w:tcBorders>
              <w:top w:val="single" w:color="000000" w:sz="4" w:space="0"/>
              <w:bottom w:val="single" w:color="000000" w:sz="4" w:space="0"/>
            </w:tcBorders>
            <w:noWrap w:val="0"/>
            <w:vAlign w:val="top"/>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 xml:space="preserve">SU=(HEV OR hepatitis e) </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AND</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TX=(severe OR critical OR liver injury OR liver failure OR hepatic injury OR hepatic failure)</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NOT</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SU=(animal)</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b/>
                <w:bCs/>
                <w:color w:val="auto"/>
                <w:kern w:val="2"/>
                <w:sz w:val="21"/>
                <w:szCs w:val="21"/>
                <w:lang w:val="en-US" w:eastAsia="zh-CN" w:bidi="ar"/>
              </w:rPr>
            </w:pPr>
            <w:r>
              <w:rPr>
                <w:rFonts w:hint="default" w:ascii="Times New Roman Bold" w:hAnsi="Times New Roman Bold" w:cs="Times New Roman Bold"/>
                <w:b/>
                <w:bCs/>
                <w:color w:val="auto"/>
                <w:kern w:val="2"/>
                <w:sz w:val="21"/>
                <w:szCs w:val="21"/>
                <w:lang w:val="en-US" w:eastAsia="zh-CN" w:bidi="ar"/>
              </w:rPr>
              <w:t>Filter</w:t>
            </w:r>
            <w:r>
              <w:rPr>
                <w:rFonts w:hint="default" w:ascii="Times New Roman Bold" w:hAnsi="Times New Roman Bold" w:cs="Times New Roman Bold"/>
                <w:b/>
                <w:bCs/>
                <w:color w:val="auto"/>
                <w:kern w:val="2"/>
                <w:sz w:val="21"/>
                <w:szCs w:val="21"/>
                <w:lang w:eastAsia="zh-CN" w:bidi="ar"/>
              </w:rPr>
              <w:t>s</w:t>
            </w:r>
            <w:r>
              <w:rPr>
                <w:rFonts w:hint="default" w:ascii="Times New Roman Bold" w:hAnsi="Times New Roman Bold" w:cs="Times New Roman Bold"/>
                <w:b/>
                <w:bCs/>
                <w:color w:val="auto"/>
                <w:kern w:val="2"/>
                <w:sz w:val="21"/>
                <w:szCs w:val="21"/>
                <w:lang w:val="en-US" w:eastAsia="zh-CN" w:bidi="ar"/>
              </w:rPr>
              <w:t xml:space="preserve"> applied:</w:t>
            </w:r>
            <w:r>
              <w:rPr>
                <w:rFonts w:hint="default" w:ascii="Times New Roman Bold" w:hAnsi="Times New Roman Bold" w:cs="Times New Roman Bold"/>
                <w:b/>
                <w:bCs/>
                <w:color w:val="auto"/>
                <w:kern w:val="2"/>
                <w:sz w:val="21"/>
                <w:szCs w:val="21"/>
                <w:lang w:eastAsia="zh-CN" w:bidi="ar"/>
              </w:rPr>
              <w:t xml:space="preserve"> </w:t>
            </w:r>
            <w:r>
              <w:rPr>
                <w:rFonts w:hint="default" w:ascii="Times New Roman Regular" w:hAnsi="Times New Roman Regular" w:cs="Times New Roman Regular"/>
                <w:color w:val="auto"/>
                <w:kern w:val="2"/>
                <w:sz w:val="21"/>
                <w:szCs w:val="21"/>
                <w:lang w:val="en-US" w:eastAsia="zh-CN" w:bidi="ar"/>
              </w:rPr>
              <w:t>English;Chinese;</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c>
          <w:tcPr>
            <w:tcW w:w="2170" w:type="dxa"/>
            <w:tcBorders>
              <w:top w:val="single" w:color="000000" w:sz="4" w:space="0"/>
              <w:bottom w:val="single" w:color="000000"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Embase</w:t>
            </w:r>
          </w:p>
          <w:p>
            <w:pPr>
              <w:keepNext w:val="0"/>
              <w:keepLines w:val="0"/>
              <w:widowControl w:val="0"/>
              <w:suppressLineNumbers w:val="0"/>
              <w:spacing w:before="0" w:beforeAutospacing="0" w:after="0" w:afterAutospacing="0" w:line="240" w:lineRule="auto"/>
              <w:ind w:left="0" w:right="0"/>
              <w:jc w:val="center"/>
              <w:rPr>
                <w:rFonts w:hint="default" w:ascii="Times New Roman Regular" w:hAnsi="Times New Roman Regular" w:cs="Times New Roman Regular"/>
                <w:color w:val="auto"/>
                <w:kern w:val="2"/>
                <w:sz w:val="21"/>
                <w:szCs w:val="21"/>
                <w:lang w:eastAsia="zh-CN" w:bidi="ar"/>
              </w:rPr>
            </w:pPr>
            <w:r>
              <w:rPr>
                <w:rFonts w:hint="default" w:ascii="Times New Roman Regular" w:hAnsi="Times New Roman Regular" w:cs="Times New Roman Regular"/>
                <w:color w:val="auto"/>
                <w:kern w:val="2"/>
                <w:sz w:val="21"/>
                <w:szCs w:val="21"/>
                <w:lang w:eastAsia="zh-CN" w:bidi="ar"/>
              </w:rPr>
              <w:t>(n=1068)</w:t>
            </w:r>
          </w:p>
        </w:tc>
        <w:tc>
          <w:tcPr>
            <w:tcW w:w="8512" w:type="dxa"/>
            <w:tcBorders>
              <w:top w:val="single" w:color="000000" w:sz="4" w:space="0"/>
              <w:bottom w:val="single" w:color="000000" w:sz="4" w:space="0"/>
            </w:tcBorders>
            <w:noWrap w:val="0"/>
            <w:vAlign w:val="top"/>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#1 'hepatitis e virus'/exp OR 'hepatitis e virus'</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#2 hev:ti,ab</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#3 #1 OR #2</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#4 'liver failure'/exp OR 'liver failure'</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#5 'hepatic failure'/exp OR 'hepatic failure'</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#6 'liver injury'/exp OR 'liver injury'</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#7 #5 OR #6</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#8 #3 AND #7</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lang w:val="en-US" w:eastAsia="zh-CN" w:bidi="ar"/>
              </w:rPr>
            </w:pPr>
            <w:r>
              <w:rPr>
                <w:rFonts w:hint="default" w:ascii="Times New Roman Bold" w:hAnsi="Times New Roman Bold" w:cs="Times New Roman Bold"/>
                <w:b/>
                <w:bCs/>
                <w:color w:val="auto"/>
                <w:kern w:val="2"/>
                <w:sz w:val="21"/>
                <w:szCs w:val="21"/>
                <w:lang w:val="en-US" w:eastAsia="zh-CN" w:bidi="ar"/>
              </w:rPr>
              <w:t>Filter</w:t>
            </w:r>
            <w:r>
              <w:rPr>
                <w:rFonts w:hint="default" w:ascii="Times New Roman Bold" w:hAnsi="Times New Roman Bold" w:cs="Times New Roman Bold"/>
                <w:b/>
                <w:bCs/>
                <w:color w:val="auto"/>
                <w:kern w:val="2"/>
                <w:sz w:val="21"/>
                <w:szCs w:val="21"/>
                <w:lang w:eastAsia="zh-CN" w:bidi="ar"/>
              </w:rPr>
              <w:t>s</w:t>
            </w:r>
            <w:r>
              <w:rPr>
                <w:rFonts w:hint="default" w:ascii="Times New Roman Bold" w:hAnsi="Times New Roman Bold" w:cs="Times New Roman Bold"/>
                <w:b/>
                <w:bCs/>
                <w:color w:val="auto"/>
                <w:kern w:val="2"/>
                <w:sz w:val="21"/>
                <w:szCs w:val="21"/>
                <w:lang w:val="en-US" w:eastAsia="zh-CN" w:bidi="ar"/>
              </w:rPr>
              <w:t xml:space="preserve"> applied</w:t>
            </w:r>
            <w:r>
              <w:rPr>
                <w:rFonts w:hint="default" w:ascii="Times New Roman Bold" w:hAnsi="Times New Roman Bold" w:cs="Times New Roman Bold"/>
                <w:b/>
                <w:color w:val="auto"/>
                <w:kern w:val="2"/>
                <w:sz w:val="21"/>
                <w:szCs w:val="21"/>
                <w:lang w:val="en-US" w:eastAsia="zh-CN" w:bidi="ar"/>
              </w:rPr>
              <w:t>:</w:t>
            </w:r>
            <w:r>
              <w:rPr>
                <w:rFonts w:hint="default" w:ascii="Times New Roman Bold" w:hAnsi="Times New Roman Bold" w:cs="Times New Roman Bold"/>
                <w:b/>
                <w:color w:val="auto"/>
                <w:kern w:val="2"/>
                <w:sz w:val="21"/>
                <w:szCs w:val="21"/>
                <w:lang w:eastAsia="zh-CN" w:bidi="ar"/>
              </w:rPr>
              <w:t xml:space="preserve"> </w:t>
            </w:r>
            <w:r>
              <w:rPr>
                <w:rFonts w:hint="default" w:ascii="Times New Roman Regular" w:hAnsi="Times New Roman Regular" w:cs="Times New Roman Regular"/>
                <w:color w:val="auto"/>
                <w:kern w:val="2"/>
                <w:sz w:val="21"/>
                <w:szCs w:val="21"/>
                <w:lang w:val="en-US" w:eastAsia="zh-CN" w:bidi="ar"/>
              </w:rPr>
              <w:t>Chinese;English</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38" w:hRule="atLeast"/>
        </w:trPr>
        <w:tc>
          <w:tcPr>
            <w:tcW w:w="2170" w:type="dxa"/>
            <w:tcBorders>
              <w:top w:val="single" w:color="000000" w:sz="4" w:space="0"/>
            </w:tcBorders>
            <w:noWrap w:val="0"/>
            <w:vAlign w:val="center"/>
          </w:tcPr>
          <w:p>
            <w:pPr>
              <w:keepNext w:val="0"/>
              <w:keepLines w:val="0"/>
              <w:widowControl/>
              <w:suppressLineNumbers w:val="0"/>
              <w:spacing w:before="100" w:beforeAutospacing="1" w:afterAutospacing="0" w:line="240" w:lineRule="auto"/>
              <w:ind w:left="0" w:right="0"/>
              <w:jc w:val="center"/>
              <w:rPr>
                <w:rFonts w:hint="default" w:ascii="Times New Roman Regular" w:hAnsi="Times New Roman Regular" w:cs="Times New Roman Regular"/>
                <w:color w:val="auto"/>
                <w:kern w:val="2"/>
                <w:sz w:val="21"/>
                <w:szCs w:val="21"/>
                <w:lang w:val="en-US" w:eastAsia="zh-CN" w:bidi="ar"/>
              </w:rPr>
            </w:pPr>
            <w:r>
              <w:rPr>
                <w:rFonts w:hint="default" w:ascii="Times New Roman Regular" w:hAnsi="Times New Roman Regular" w:cs="Times New Roman Regular"/>
                <w:color w:val="auto"/>
                <w:kern w:val="2"/>
                <w:sz w:val="21"/>
                <w:szCs w:val="21"/>
                <w:lang w:val="en-US" w:eastAsia="zh-CN" w:bidi="ar"/>
              </w:rPr>
              <w:t>Web of Science</w:t>
            </w:r>
          </w:p>
          <w:p>
            <w:pPr>
              <w:keepNext w:val="0"/>
              <w:keepLines w:val="0"/>
              <w:widowControl/>
              <w:suppressLineNumbers w:val="0"/>
              <w:spacing w:before="100" w:beforeAutospacing="1" w:afterAutospacing="0" w:line="240" w:lineRule="auto"/>
              <w:ind w:left="0" w:right="0"/>
              <w:jc w:val="center"/>
              <w:rPr>
                <w:rFonts w:hint="default" w:ascii="Times New Roman Regular" w:hAnsi="Times New Roman Regular" w:cs="Times New Roman Regular"/>
                <w:color w:val="auto"/>
                <w:kern w:val="2"/>
                <w:sz w:val="21"/>
                <w:szCs w:val="21"/>
                <w:lang w:eastAsia="zh-CN" w:bidi="ar"/>
              </w:rPr>
            </w:pPr>
            <w:r>
              <w:rPr>
                <w:rFonts w:hint="default" w:ascii="Times New Roman Regular" w:hAnsi="Times New Roman Regular" w:cs="Times New Roman Regular"/>
                <w:color w:val="auto"/>
                <w:kern w:val="2"/>
                <w:sz w:val="21"/>
                <w:szCs w:val="21"/>
                <w:lang w:eastAsia="zh-CN" w:bidi="ar"/>
              </w:rPr>
              <w:t>(n=960)</w:t>
            </w:r>
          </w:p>
        </w:tc>
        <w:tc>
          <w:tcPr>
            <w:tcW w:w="8512" w:type="dxa"/>
            <w:tcBorders>
              <w:top w:val="single" w:color="000000" w:sz="4" w:space="0"/>
            </w:tcBorders>
            <w:noWrap w:val="0"/>
            <w:vAlign w:val="top"/>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#1 (TS=(hepatitis E)) OR TS=(HEV)</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#2 (((((TS=(severe)) OR TS=(critical)) OR TS=(liver failure)) OR TS=(liver injury)) OR TS=(hepatic failure)) OR TS=(hepatic injury)</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#3 #1 AND #2</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color w:val="auto"/>
                <w:kern w:val="2"/>
                <w:sz w:val="21"/>
                <w:szCs w:val="21"/>
              </w:rPr>
            </w:pPr>
            <w:r>
              <w:rPr>
                <w:rFonts w:hint="default" w:ascii="Times New Roman Regular" w:hAnsi="Times New Roman Regular" w:cs="Times New Roman Regular"/>
                <w:color w:val="auto"/>
                <w:kern w:val="2"/>
                <w:sz w:val="21"/>
                <w:szCs w:val="21"/>
                <w:lang w:val="en-US" w:eastAsia="zh-CN" w:bidi="ar"/>
              </w:rPr>
              <w:t>#4 (#3) NOT (TS=animal)</w:t>
            </w:r>
          </w:p>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cs="Times New Roman Regular"/>
                <w:b/>
                <w:bCs/>
                <w:color w:val="auto"/>
                <w:kern w:val="2"/>
                <w:sz w:val="21"/>
                <w:szCs w:val="21"/>
                <w:lang w:val="en-US" w:eastAsia="zh-CN" w:bidi="ar"/>
              </w:rPr>
            </w:pPr>
            <w:r>
              <w:rPr>
                <w:rFonts w:hint="default" w:ascii="Times New Roman Bold" w:hAnsi="Times New Roman Bold" w:cs="Times New Roman Bold"/>
                <w:b/>
                <w:bCs/>
                <w:color w:val="auto"/>
                <w:kern w:val="2"/>
                <w:sz w:val="21"/>
                <w:szCs w:val="21"/>
                <w:lang w:val="en-US" w:eastAsia="zh-CN" w:bidi="ar"/>
              </w:rPr>
              <w:t>Filter</w:t>
            </w:r>
            <w:r>
              <w:rPr>
                <w:rFonts w:hint="default" w:ascii="Times New Roman Bold" w:hAnsi="Times New Roman Bold" w:cs="Times New Roman Bold"/>
                <w:b/>
                <w:bCs/>
                <w:color w:val="auto"/>
                <w:kern w:val="2"/>
                <w:sz w:val="21"/>
                <w:szCs w:val="21"/>
                <w:lang w:eastAsia="zh-CN" w:bidi="ar"/>
              </w:rPr>
              <w:t>s</w:t>
            </w:r>
            <w:r>
              <w:rPr>
                <w:rFonts w:hint="default" w:ascii="Times New Roman Bold" w:hAnsi="Times New Roman Bold" w:cs="Times New Roman Bold"/>
                <w:b/>
                <w:bCs/>
                <w:color w:val="auto"/>
                <w:kern w:val="2"/>
                <w:sz w:val="21"/>
                <w:szCs w:val="21"/>
                <w:lang w:val="en-US" w:eastAsia="zh-CN" w:bidi="ar"/>
              </w:rPr>
              <w:t xml:space="preserve"> applied</w:t>
            </w:r>
            <w:r>
              <w:rPr>
                <w:rFonts w:hint="default" w:ascii="Times New Roman Bold" w:hAnsi="Times New Roman Bold" w:cs="Times New Roman Bold"/>
                <w:b/>
                <w:color w:val="auto"/>
                <w:kern w:val="2"/>
                <w:sz w:val="21"/>
                <w:szCs w:val="21"/>
                <w:lang w:val="en-US" w:eastAsia="zh-CN" w:bidi="ar"/>
              </w:rPr>
              <w:t>:</w:t>
            </w:r>
            <w:r>
              <w:rPr>
                <w:rFonts w:hint="default" w:ascii="Times New Roman Bold" w:hAnsi="Times New Roman Bold" w:cs="Times New Roman Bold"/>
                <w:b/>
                <w:color w:val="auto"/>
                <w:kern w:val="2"/>
                <w:sz w:val="21"/>
                <w:szCs w:val="21"/>
                <w:lang w:eastAsia="zh-CN" w:bidi="ar"/>
              </w:rPr>
              <w:t xml:space="preserve"> </w:t>
            </w:r>
            <w:r>
              <w:rPr>
                <w:rFonts w:hint="default" w:ascii="Times New Roman Regular" w:hAnsi="Times New Roman Regular" w:cs="Times New Roman Regular"/>
                <w:color w:val="auto"/>
                <w:kern w:val="2"/>
                <w:sz w:val="21"/>
                <w:szCs w:val="21"/>
                <w:lang w:val="en-US" w:eastAsia="zh-CN" w:bidi="ar"/>
              </w:rPr>
              <w:t>English;Chinese;Article.</w:t>
            </w:r>
          </w:p>
        </w:tc>
      </w:tr>
    </w:tbl>
    <w:p>
      <w:pPr>
        <w:shd w:val="clear" w:color="auto" w:fill="FFFFFF"/>
        <w:spacing w:after="0" w:line="240" w:lineRule="auto"/>
        <w:rPr>
          <w:rFonts w:hint="default" w:ascii="Times New Roman Bold" w:hAnsi="Times New Roman Bold" w:eastAsia="Times New Roman" w:cs="Times New Roman Bold"/>
          <w:b/>
          <w:bCs/>
          <w:iCs/>
          <w:color w:val="000000"/>
          <w:sz w:val="20"/>
          <w:szCs w:val="24"/>
          <w:lang w:eastAsia="zh-CN"/>
        </w:rPr>
      </w:pPr>
      <w:r>
        <w:rPr>
          <w:rFonts w:hint="default" w:ascii="Times New Roman Bold" w:hAnsi="Times New Roman Bold" w:eastAsia="Times New Roman" w:cs="Times New Roman Bold"/>
          <w:b/>
          <w:bCs/>
          <w:iCs/>
          <w:color w:val="auto"/>
          <w:sz w:val="20"/>
          <w:szCs w:val="24"/>
          <w:lang w:val="en-US" w:eastAsia="zh-CN"/>
        </w:rPr>
        <w:t>Run date：2</w:t>
      </w:r>
      <w:r>
        <w:rPr>
          <w:rFonts w:hint="default" w:ascii="Times New Roman Bold" w:hAnsi="Times New Roman Bold" w:eastAsia="Times New Roman" w:cs="Times New Roman Bold"/>
          <w:b/>
          <w:bCs/>
          <w:iCs/>
          <w:color w:val="auto"/>
          <w:sz w:val="20"/>
          <w:szCs w:val="24"/>
          <w:lang w:eastAsia="zh-CN"/>
        </w:rPr>
        <w:t>5</w:t>
      </w:r>
      <w:r>
        <w:rPr>
          <w:rFonts w:hint="default" w:ascii="Times New Roman Bold" w:hAnsi="Times New Roman Bold" w:eastAsia="Times New Roman" w:cs="Times New Roman Bold"/>
          <w:b/>
          <w:bCs/>
          <w:iCs/>
          <w:color w:val="auto"/>
          <w:sz w:val="20"/>
          <w:szCs w:val="24"/>
          <w:lang w:val="en-US" w:eastAsia="zh-CN"/>
        </w:rPr>
        <w:t>/</w:t>
      </w:r>
      <w:r>
        <w:rPr>
          <w:rFonts w:hint="default" w:ascii="Times New Roman Bold" w:hAnsi="Times New Roman Bold" w:eastAsia="Times New Roman" w:cs="Times New Roman Bold"/>
          <w:b/>
          <w:bCs/>
          <w:iCs/>
          <w:color w:val="auto"/>
          <w:sz w:val="20"/>
          <w:szCs w:val="24"/>
          <w:lang w:eastAsia="zh-CN"/>
        </w:rPr>
        <w:t>02</w:t>
      </w:r>
      <w:r>
        <w:rPr>
          <w:rFonts w:hint="default" w:ascii="Times New Roman Bold" w:hAnsi="Times New Roman Bold" w:eastAsia="Times New Roman" w:cs="Times New Roman Bold"/>
          <w:b/>
          <w:bCs/>
          <w:iCs/>
          <w:color w:val="auto"/>
          <w:sz w:val="20"/>
          <w:szCs w:val="24"/>
          <w:lang w:val="en-US" w:eastAsia="zh-CN"/>
        </w:rPr>
        <w:t>/202</w:t>
      </w:r>
      <w:r>
        <w:rPr>
          <w:rFonts w:hint="default" w:ascii="Times New Roman Bold" w:hAnsi="Times New Roman Bold" w:eastAsia="Times New Roman" w:cs="Times New Roman Bold"/>
          <w:b/>
          <w:bCs/>
          <w:iCs/>
          <w:color w:val="auto"/>
          <w:sz w:val="20"/>
          <w:szCs w:val="24"/>
          <w:lang w:eastAsia="zh-CN"/>
        </w:rPr>
        <w:t>3</w:t>
      </w: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widowControl w:val="0"/>
        <w:spacing w:after="0" w:line="240" w:lineRule="auto"/>
        <w:jc w:val="both"/>
        <w:rPr>
          <w:rFonts w:ascii="Calibri" w:hAnsi="Calibri"/>
          <w:kern w:val="2"/>
          <w:sz w:val="21"/>
          <w:szCs w:val="21"/>
          <w:lang w:val="en-US" w:eastAsia="zh-CN" w:bidi="ar"/>
        </w:rPr>
      </w:pPr>
    </w:p>
    <w:p>
      <w:pPr>
        <w:shd w:val="clear" w:color="auto" w:fill="FFFFFF"/>
        <w:spacing w:after="0" w:line="240" w:lineRule="auto"/>
        <w:rPr>
          <w:rFonts w:ascii="Times New Roman Bold" w:hAnsi="Times New Roman Bold" w:eastAsia="Times New Roman" w:cs="Times New Roman Bold"/>
          <w:b/>
          <w:color w:val="000000"/>
          <w:sz w:val="24"/>
          <w:szCs w:val="24"/>
          <w:lang w:eastAsia="zh-Hans"/>
        </w:rPr>
      </w:pPr>
      <w:r>
        <w:rPr>
          <w:rFonts w:ascii="Times New Roman Bold" w:hAnsi="Times New Roman Bold" w:eastAsia="Times New Roman" w:cs="Times New Roman Bold"/>
          <w:b/>
          <w:color w:val="000000"/>
          <w:sz w:val="24"/>
          <w:szCs w:val="24"/>
          <w:lang w:val="en-US" w:eastAsia="zh-Hans"/>
        </w:rPr>
        <w:t>Supplementary</w:t>
      </w:r>
      <w:r>
        <w:rPr>
          <w:rFonts w:ascii="Times New Roman Bold" w:hAnsi="Times New Roman Bold" w:eastAsia="Times New Roman" w:cs="Times New Roman Bold"/>
          <w:b/>
          <w:color w:val="000000"/>
          <w:sz w:val="24"/>
          <w:szCs w:val="24"/>
          <w:lang w:eastAsia="zh-Hans"/>
        </w:rPr>
        <w:t xml:space="preserve"> Table.3 Quality Assessment</w:t>
      </w:r>
    </w:p>
    <w:p>
      <w:pPr>
        <w:pStyle w:val="11"/>
        <w:numPr>
          <w:numId w:val="0"/>
        </w:numPr>
        <w:spacing w:line="240" w:lineRule="auto"/>
        <w:jc w:val="both"/>
        <w:rPr>
          <w:rFonts w:ascii="Times New Roman Bold" w:hAnsi="Times New Roman Bold" w:cs="Times New Roman Bold"/>
          <w:b/>
          <w:sz w:val="24"/>
          <w:szCs w:val="24"/>
        </w:rPr>
      </w:pPr>
      <w:r>
        <w:rPr>
          <w:rFonts w:hint="eastAsia" w:ascii="Times New Roman Bold" w:hAnsi="Times New Roman Bold" w:cs="Times New Roman Bold"/>
          <w:b/>
          <w:sz w:val="24"/>
          <w:szCs w:val="24"/>
          <w:lang w:val="en-US" w:eastAsia="zh-Hans"/>
        </w:rPr>
        <w:t>a.</w:t>
      </w:r>
      <w:r>
        <w:rPr>
          <w:rFonts w:ascii="Times New Roman Bold" w:hAnsi="Times New Roman Bold" w:cs="Times New Roman Bold"/>
          <w:b/>
          <w:sz w:val="24"/>
          <w:szCs w:val="24"/>
        </w:rPr>
        <w:t>Instrument for assessment of the quality of the studies</w:t>
      </w:r>
    </w:p>
    <w:p>
      <w:pPr>
        <w:spacing w:line="240" w:lineRule="auto"/>
        <w:jc w:val="center"/>
        <w:rPr>
          <w:rFonts w:ascii="Times New Roman Bold" w:hAnsi="Times New Roman Bold" w:eastAsia="Calibri" w:cs="Times New Roman Bold"/>
          <w:b/>
          <w:kern w:val="2"/>
          <w:sz w:val="32"/>
          <w:szCs w:val="32"/>
          <w:lang w:val="en-US" w:eastAsia="zh-CN"/>
        </w:rPr>
      </w:pPr>
      <w:r>
        <w:rPr>
          <w:rFonts w:ascii="Times New Roman Bold" w:hAnsi="Times New Roman Bold" w:eastAsia="Calibri" w:cs="Times New Roman Bold"/>
          <w:b/>
          <w:kern w:val="2"/>
          <w:sz w:val="32"/>
          <w:szCs w:val="32"/>
          <w:lang w:val="en-US" w:eastAsia="zh-CN"/>
        </w:rPr>
        <w:t>JBI Critical Appraisal Checklist</w:t>
      </w:r>
      <w:r>
        <w:rPr>
          <w:rFonts w:ascii="Times New Roman Bold" w:hAnsi="Times New Roman Bold" w:eastAsia="Calibri" w:cs="Times New Roman Bold"/>
          <w:b/>
          <w:kern w:val="2"/>
          <w:sz w:val="32"/>
          <w:szCs w:val="32"/>
          <w:lang w:eastAsia="zh-CN"/>
        </w:rPr>
        <w:t xml:space="preserve"> </w:t>
      </w:r>
      <w:r>
        <w:rPr>
          <w:rFonts w:ascii="Times New Roman Bold" w:hAnsi="Times New Roman Bold" w:eastAsia="Calibri" w:cs="Times New Roman Bold"/>
          <w:b/>
          <w:kern w:val="2"/>
          <w:sz w:val="32"/>
          <w:szCs w:val="32"/>
          <w:lang w:val="en-US" w:eastAsia="zh-CN"/>
        </w:rPr>
        <w:t xml:space="preserve">for Studies </w:t>
      </w:r>
    </w:p>
    <w:p>
      <w:pPr>
        <w:spacing w:line="240" w:lineRule="auto"/>
        <w:jc w:val="center"/>
        <w:rPr>
          <w:rFonts w:ascii="Times New Roman Bold" w:hAnsi="Times New Roman Bold" w:eastAsia="Calibri" w:cs="Times New Roman Bold"/>
          <w:b/>
          <w:kern w:val="2"/>
          <w:sz w:val="32"/>
          <w:szCs w:val="32"/>
          <w:lang w:val="en-US" w:eastAsia="zh-CN"/>
        </w:rPr>
      </w:pPr>
      <w:r>
        <w:rPr>
          <w:rFonts w:ascii="Times New Roman Bold" w:hAnsi="Times New Roman Bold" w:eastAsia="Calibri" w:cs="Times New Roman Bold"/>
          <w:b/>
          <w:kern w:val="2"/>
          <w:sz w:val="32"/>
          <w:szCs w:val="32"/>
          <w:lang w:val="en-US" w:eastAsia="zh-CN"/>
        </w:rPr>
        <w:t>Reporting Prevalence Data</w:t>
      </w:r>
    </w:p>
    <w:p>
      <w:pPr>
        <w:spacing w:line="240" w:lineRule="auto"/>
        <w:rPr>
          <w:rFonts w:ascii="Times New Roman Bold" w:hAnsi="Times New Roman Bold" w:eastAsia="Calibri" w:cs="Times New Roman Bold"/>
          <w:b/>
          <w:kern w:val="2"/>
          <w:sz w:val="24"/>
          <w:szCs w:val="24"/>
          <w:lang w:val="en-US" w:eastAsia="zh-CN"/>
        </w:rPr>
      </w:pPr>
      <w:r>
        <w:rPr>
          <w:rFonts w:ascii="Times New Roman Bold" w:hAnsi="Times New Roman Bold" w:eastAsia="Calibri" w:cs="Times New Roman Bold"/>
          <w:b/>
          <w:kern w:val="2"/>
          <w:sz w:val="24"/>
          <w:szCs w:val="24"/>
          <w:lang w:val="en-US" w:eastAsia="zh-CN"/>
        </w:rPr>
        <w:t>Reviewer</w:t>
      </w:r>
      <w:r>
        <w:rPr>
          <w:rFonts w:ascii="Times New Roman Bold" w:hAnsi="Times New Roman Bold" w:eastAsia="Calibri" w:cs="Times New Roman Bold"/>
          <w:b/>
          <w:kern w:val="2"/>
          <w:sz w:val="24"/>
          <w:szCs w:val="24"/>
          <w:lang w:eastAsia="zh-CN"/>
        </w:rPr>
        <w:t xml:space="preserve">:_____________     </w:t>
      </w:r>
      <w:r>
        <w:rPr>
          <w:rFonts w:ascii="Times New Roman Bold" w:hAnsi="Times New Roman Bold" w:eastAsia="Calibri" w:cs="Times New Roman Bold"/>
          <w:b/>
          <w:kern w:val="2"/>
          <w:sz w:val="24"/>
          <w:szCs w:val="24"/>
          <w:lang w:val="en-US" w:eastAsia="zh-CN"/>
        </w:rPr>
        <w:t>Date</w:t>
      </w:r>
      <w:r>
        <w:rPr>
          <w:rFonts w:ascii="Times New Roman Bold" w:hAnsi="Times New Roman Bold" w:eastAsia="Calibri" w:cs="Times New Roman Bold"/>
          <w:b/>
          <w:kern w:val="2"/>
          <w:sz w:val="24"/>
          <w:szCs w:val="24"/>
          <w:lang w:eastAsia="zh-CN"/>
        </w:rPr>
        <w:t>:____________</w:t>
      </w:r>
      <w:r>
        <w:rPr>
          <w:rFonts w:ascii="Times New Roman Bold" w:hAnsi="Times New Roman Bold" w:eastAsia="Calibri" w:cs="Times New Roman Bold"/>
          <w:b/>
          <w:kern w:val="2"/>
          <w:sz w:val="24"/>
          <w:szCs w:val="24"/>
          <w:lang w:val="en-US" w:eastAsia="zh-CN"/>
        </w:rPr>
        <w:tab/>
      </w:r>
      <w:r>
        <w:rPr>
          <w:rFonts w:ascii="Times New Roman Bold" w:hAnsi="Times New Roman Bold" w:eastAsia="Calibri" w:cs="Times New Roman Bold"/>
          <w:b/>
          <w:kern w:val="2"/>
          <w:sz w:val="24"/>
          <w:szCs w:val="24"/>
          <w:lang w:val="en-US" w:eastAsia="zh-CN"/>
        </w:rPr>
        <w:tab/>
      </w:r>
      <w:r>
        <w:rPr>
          <w:rFonts w:ascii="Times New Roman Bold" w:hAnsi="Times New Roman Bold" w:eastAsia="Calibri" w:cs="Times New Roman Bold"/>
          <w:b/>
          <w:kern w:val="2"/>
          <w:sz w:val="24"/>
          <w:szCs w:val="24"/>
          <w:lang w:val="en-US" w:eastAsia="zh-CN"/>
        </w:rPr>
        <w:tab/>
      </w:r>
    </w:p>
    <w:p>
      <w:pPr>
        <w:spacing w:line="240" w:lineRule="auto"/>
        <w:rPr>
          <w:rFonts w:ascii="Times New Roman Bold" w:hAnsi="Times New Roman Bold" w:eastAsia="Calibri" w:cs="Times New Roman Bold"/>
          <w:b/>
          <w:kern w:val="2"/>
          <w:sz w:val="24"/>
          <w:szCs w:val="24"/>
          <w:lang w:val="en-US" w:eastAsia="zh-CN"/>
        </w:rPr>
      </w:pPr>
      <w:r>
        <w:rPr>
          <w:rFonts w:ascii="Times New Roman Bold" w:hAnsi="Times New Roman Bold" w:eastAsia="Calibri" w:cs="Times New Roman Bold"/>
          <w:b/>
          <w:kern w:val="2"/>
          <w:sz w:val="24"/>
          <w:szCs w:val="24"/>
          <w:lang w:val="en-US" w:eastAsia="zh-CN"/>
        </w:rPr>
        <w:t>Author</w:t>
      </w:r>
      <w:r>
        <w:rPr>
          <w:rFonts w:ascii="Times New Roman Bold" w:hAnsi="Times New Roman Bold" w:eastAsia="Calibri" w:cs="Times New Roman Bold"/>
          <w:b/>
          <w:kern w:val="2"/>
          <w:sz w:val="24"/>
          <w:szCs w:val="24"/>
          <w:lang w:eastAsia="zh-CN"/>
        </w:rPr>
        <w:t xml:space="preserve">  :_____________     </w:t>
      </w:r>
      <w:r>
        <w:rPr>
          <w:rFonts w:ascii="Times New Roman Bold" w:hAnsi="Times New Roman Bold" w:eastAsia="Calibri" w:cs="Times New Roman Bold"/>
          <w:b/>
          <w:kern w:val="2"/>
          <w:sz w:val="24"/>
          <w:szCs w:val="24"/>
          <w:lang w:val="en-US" w:eastAsia="zh-CN"/>
        </w:rPr>
        <w:t>Year</w:t>
      </w:r>
      <w:r>
        <w:rPr>
          <w:rFonts w:ascii="Times New Roman Bold" w:hAnsi="Times New Roman Bold" w:eastAsia="Calibri" w:cs="Times New Roman Bold"/>
          <w:b/>
          <w:kern w:val="2"/>
          <w:sz w:val="24"/>
          <w:szCs w:val="24"/>
          <w:lang w:eastAsia="zh-CN"/>
        </w:rPr>
        <w:t xml:space="preserve">:____________      </w:t>
      </w:r>
      <w:r>
        <w:rPr>
          <w:rFonts w:ascii="Times New Roman Bold" w:hAnsi="Times New Roman Bold" w:eastAsia="Calibri" w:cs="Times New Roman Bold"/>
          <w:b/>
          <w:kern w:val="2"/>
          <w:sz w:val="24"/>
          <w:szCs w:val="24"/>
          <w:lang w:val="en-US" w:eastAsia="zh-CN"/>
        </w:rPr>
        <w:t>Record Number</w:t>
      </w:r>
      <w:r>
        <w:rPr>
          <w:rFonts w:ascii="Times New Roman Bold" w:hAnsi="Times New Roman Bold" w:eastAsia="Calibri" w:cs="Times New Roman Bold"/>
          <w:b/>
          <w:kern w:val="2"/>
          <w:sz w:val="24"/>
          <w:szCs w:val="24"/>
          <w:lang w:eastAsia="zh-CN"/>
        </w:rPr>
        <w:t>:_______</w:t>
      </w:r>
      <w:r>
        <w:rPr>
          <w:rFonts w:ascii="Times New Roman Bold" w:hAnsi="Times New Roman Bold" w:eastAsia="Calibri" w:cs="Times New Roman Bold"/>
          <w:b/>
          <w:kern w:val="2"/>
          <w:sz w:val="24"/>
          <w:szCs w:val="24"/>
          <w:lang w:val="en-US" w:eastAsia="zh-CN"/>
        </w:rPr>
        <w:tab/>
      </w:r>
    </w:p>
    <w:tbl>
      <w:tblPr>
        <w:tblStyle w:val="6"/>
        <w:tblW w:w="4999" w:type="pct"/>
        <w:tblInd w:w="0" w:type="dxa"/>
        <w:tblLayout w:type="fixed"/>
        <w:tblCellMar>
          <w:top w:w="0" w:type="dxa"/>
          <w:left w:w="108" w:type="dxa"/>
          <w:bottom w:w="0" w:type="dxa"/>
          <w:right w:w="108" w:type="dxa"/>
        </w:tblCellMar>
      </w:tblPr>
      <w:tblGrid>
        <w:gridCol w:w="7203"/>
        <w:gridCol w:w="638"/>
        <w:gridCol w:w="505"/>
        <w:gridCol w:w="1033"/>
        <w:gridCol w:w="1301"/>
      </w:tblGrid>
      <w:tr>
        <w:tc>
          <w:tcPr>
            <w:tcW w:w="3372" w:type="pct"/>
            <w:tcBorders>
              <w:top w:val="single" w:color="auto" w:sz="4" w:space="0"/>
              <w:bottom w:val="single" w:color="auto"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Bold" w:hAnsi="Times New Roman Bold" w:eastAsia="Calibri" w:cs="Times New Roman Bold"/>
                <w:b/>
                <w:bCs/>
                <w:szCs w:val="28"/>
              </w:rPr>
            </w:pPr>
            <w:r>
              <w:rPr>
                <w:rFonts w:hint="default" w:ascii="Times New Roman Bold" w:hAnsi="Times New Roman Bold" w:eastAsia="Calibri" w:cs="Times New Roman Bold"/>
                <w:b/>
                <w:bCs/>
                <w:szCs w:val="28"/>
              </w:rPr>
              <w:t>Items</w:t>
            </w:r>
          </w:p>
        </w:tc>
        <w:tc>
          <w:tcPr>
            <w:tcW w:w="298" w:type="pct"/>
            <w:tcBorders>
              <w:top w:val="single" w:color="auto" w:sz="4" w:space="0"/>
              <w:bottom w:val="single" w:color="auto"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Bold" w:hAnsi="Times New Roman Bold" w:eastAsia="Calibri" w:cs="Times New Roman Bold"/>
                <w:b/>
                <w:bCs/>
                <w:szCs w:val="28"/>
              </w:rPr>
            </w:pPr>
            <w:r>
              <w:rPr>
                <w:rFonts w:hint="default" w:ascii="Times New Roman Bold" w:hAnsi="Times New Roman Bold" w:eastAsia="Calibri" w:cs="Times New Roman Bold"/>
                <w:b/>
                <w:bCs/>
                <w:szCs w:val="28"/>
              </w:rPr>
              <w:t>Yes</w:t>
            </w:r>
          </w:p>
        </w:tc>
        <w:tc>
          <w:tcPr>
            <w:tcW w:w="236" w:type="pct"/>
            <w:tcBorders>
              <w:top w:val="single" w:color="auto" w:sz="4" w:space="0"/>
              <w:bottom w:val="single" w:color="auto"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Bold" w:hAnsi="Times New Roman Bold" w:eastAsia="Calibri" w:cs="Times New Roman Bold"/>
                <w:b/>
                <w:bCs/>
                <w:szCs w:val="28"/>
              </w:rPr>
            </w:pPr>
            <w:r>
              <w:rPr>
                <w:rFonts w:hint="default" w:ascii="Times New Roman Bold" w:hAnsi="Times New Roman Bold" w:eastAsia="Calibri" w:cs="Times New Roman Bold"/>
                <w:b/>
                <w:bCs/>
                <w:szCs w:val="28"/>
              </w:rPr>
              <w:t>No</w:t>
            </w:r>
          </w:p>
        </w:tc>
        <w:tc>
          <w:tcPr>
            <w:tcW w:w="483" w:type="pct"/>
            <w:tcBorders>
              <w:top w:val="single" w:color="auto" w:sz="4" w:space="0"/>
              <w:bottom w:val="single" w:color="auto"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Bold" w:hAnsi="Times New Roman Bold" w:eastAsia="Calibri" w:cs="Times New Roman Bold"/>
                <w:b/>
                <w:bCs/>
                <w:szCs w:val="28"/>
              </w:rPr>
            </w:pPr>
            <w:r>
              <w:rPr>
                <w:rFonts w:hint="default" w:ascii="Times New Roman Bold" w:hAnsi="Times New Roman Bold" w:eastAsia="Calibri" w:cs="Times New Roman Bold"/>
                <w:b/>
                <w:bCs/>
                <w:szCs w:val="28"/>
              </w:rPr>
              <w:t>Unclear</w:t>
            </w:r>
          </w:p>
        </w:tc>
        <w:tc>
          <w:tcPr>
            <w:tcW w:w="609" w:type="pct"/>
            <w:tcBorders>
              <w:top w:val="single" w:color="auto" w:sz="4" w:space="0"/>
              <w:bottom w:val="single" w:color="auto" w:sz="4" w:space="0"/>
            </w:tcBorders>
            <w:noWrap w:val="0"/>
            <w:vAlign w:val="center"/>
          </w:tcPr>
          <w:p>
            <w:pPr>
              <w:keepNext w:val="0"/>
              <w:keepLines w:val="0"/>
              <w:widowControl w:val="0"/>
              <w:suppressLineNumbers w:val="0"/>
              <w:spacing w:before="0" w:beforeAutospacing="0" w:after="0" w:afterAutospacing="0" w:line="240" w:lineRule="auto"/>
              <w:ind w:left="0" w:right="0"/>
              <w:jc w:val="center"/>
              <w:rPr>
                <w:rFonts w:hint="default" w:ascii="Times New Roman Bold" w:hAnsi="Times New Roman Bold" w:eastAsia="Calibri" w:cs="Times New Roman Bold"/>
                <w:b/>
                <w:bCs/>
                <w:szCs w:val="28"/>
              </w:rPr>
            </w:pPr>
            <w:r>
              <w:rPr>
                <w:rFonts w:hint="default" w:ascii="Times New Roman Bold" w:hAnsi="Times New Roman Bold" w:eastAsia="Calibri" w:cs="Times New Roman Bold"/>
                <w:b/>
                <w:bCs/>
                <w:szCs w:val="28"/>
              </w:rPr>
              <w:t>Not applicable</w:t>
            </w:r>
          </w:p>
        </w:tc>
      </w:tr>
      <w:tr>
        <w:tc>
          <w:tcPr>
            <w:tcW w:w="3372" w:type="pct"/>
            <w:tcBorders>
              <w:top w:val="single" w:color="auto" w:sz="4" w:space="0"/>
            </w:tcBorders>
            <w:noWrap w:val="0"/>
            <w:vAlign w:val="center"/>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1.Was the sample frame appropriate to address the target population?</w:t>
            </w:r>
          </w:p>
        </w:tc>
        <w:tc>
          <w:tcPr>
            <w:tcW w:w="298" w:type="pct"/>
            <w:tcBorders>
              <w:top w:val="single" w:color="auto"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236" w:type="pct"/>
            <w:tcBorders>
              <w:top w:val="single" w:color="auto"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483" w:type="pct"/>
            <w:tcBorders>
              <w:top w:val="single" w:color="auto"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609" w:type="pct"/>
            <w:tcBorders>
              <w:top w:val="single" w:color="auto"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r>
      <w:tr>
        <w:tc>
          <w:tcPr>
            <w:tcW w:w="3372" w:type="pct"/>
            <w:noWrap w:val="0"/>
            <w:vAlign w:val="center"/>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2.Were study participants sampled in an appropriate way?</w:t>
            </w:r>
          </w:p>
        </w:tc>
        <w:tc>
          <w:tcPr>
            <w:tcW w:w="298"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236"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483"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609"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r>
      <w:tr>
        <w:tc>
          <w:tcPr>
            <w:tcW w:w="3372" w:type="pct"/>
            <w:noWrap w:val="0"/>
            <w:vAlign w:val="center"/>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3.Was the sample size adequate?</w:t>
            </w:r>
          </w:p>
        </w:tc>
        <w:tc>
          <w:tcPr>
            <w:tcW w:w="298"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236"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483"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609"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r>
      <w:tr>
        <w:tc>
          <w:tcPr>
            <w:tcW w:w="3372" w:type="pct"/>
            <w:noWrap w:val="0"/>
            <w:vAlign w:val="center"/>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4.Were the study subjects and the setting described in detail?</w:t>
            </w:r>
          </w:p>
        </w:tc>
        <w:tc>
          <w:tcPr>
            <w:tcW w:w="298"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236"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483"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609"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r>
      <w:tr>
        <w:tc>
          <w:tcPr>
            <w:tcW w:w="3372" w:type="pct"/>
            <w:noWrap w:val="0"/>
            <w:vAlign w:val="center"/>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5.Was the data analysis conducted with sufficient coverage of the identified sample?</w:t>
            </w:r>
          </w:p>
        </w:tc>
        <w:tc>
          <w:tcPr>
            <w:tcW w:w="298"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236"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483"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609"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r>
      <w:tr>
        <w:tc>
          <w:tcPr>
            <w:tcW w:w="3372" w:type="pct"/>
            <w:noWrap w:val="0"/>
            <w:vAlign w:val="center"/>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6.Were valid methods used for the identification of the condition?</w:t>
            </w:r>
          </w:p>
        </w:tc>
        <w:tc>
          <w:tcPr>
            <w:tcW w:w="298"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236"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483"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609"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r>
      <w:tr>
        <w:tc>
          <w:tcPr>
            <w:tcW w:w="3372" w:type="pct"/>
            <w:noWrap w:val="0"/>
            <w:vAlign w:val="center"/>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7.Was the condition measured in a standard, reliable way for all participants?</w:t>
            </w:r>
          </w:p>
        </w:tc>
        <w:tc>
          <w:tcPr>
            <w:tcW w:w="298"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236"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483"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609"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r>
      <w:tr>
        <w:tc>
          <w:tcPr>
            <w:tcW w:w="3372" w:type="pct"/>
            <w:noWrap w:val="0"/>
            <w:vAlign w:val="center"/>
          </w:tcPr>
          <w:p>
            <w:pPr>
              <w:keepNext w:val="0"/>
              <w:keepLines w:val="0"/>
              <w:widowControl w:val="0"/>
              <w:suppressLineNumbers w:val="0"/>
              <w:spacing w:before="0" w:beforeAutospacing="0" w:after="0" w:afterAutospacing="0" w:line="240" w:lineRule="auto"/>
              <w:ind w:left="0" w:right="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8.Was there appropriate statistical analysis?</w:t>
            </w:r>
          </w:p>
        </w:tc>
        <w:tc>
          <w:tcPr>
            <w:tcW w:w="298"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236"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483"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609" w:type="pct"/>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r>
      <w:tr>
        <w:tc>
          <w:tcPr>
            <w:tcW w:w="3372" w:type="pct"/>
            <w:tcBorders>
              <w:bottom w:val="single" w:color="auto" w:sz="4" w:space="0"/>
            </w:tcBorders>
            <w:noWrap w:val="0"/>
            <w:vAlign w:val="center"/>
          </w:tcPr>
          <w:p>
            <w:pPr>
              <w:keepNext w:val="0"/>
              <w:keepLines w:val="0"/>
              <w:widowControl w:val="0"/>
              <w:numPr>
                <w:ilvl w:val="0"/>
                <w:numId w:val="1"/>
              </w:numPr>
              <w:suppressLineNumbers w:val="0"/>
              <w:spacing w:before="0" w:beforeAutospacing="0" w:after="0" w:afterAutospacing="0" w:line="240" w:lineRule="auto"/>
              <w:ind w:left="0" w:right="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 xml:space="preserve">Was the response rate adequate? </w:t>
            </w:r>
          </w:p>
          <w:p>
            <w:pPr>
              <w:keepNext w:val="0"/>
              <w:keepLines w:val="0"/>
              <w:widowControl w:val="0"/>
              <w:numPr>
                <w:ilvl w:val="0"/>
                <w:numId w:val="0"/>
              </w:numPr>
              <w:suppressLineNumbers w:val="0"/>
              <w:spacing w:before="0" w:beforeAutospacing="0" w:after="0" w:afterAutospacing="0" w:line="240" w:lineRule="auto"/>
              <w:ind w:left="0" w:right="0" w:rightChars="0" w:firstLine="330" w:firstLineChars="150"/>
              <w:jc w:val="both"/>
              <w:rPr>
                <w:rFonts w:hint="default" w:ascii="Times New Roman Regular" w:hAnsi="Times New Roman Regular" w:eastAsia="Calibri" w:cs="Times New Roman Regular"/>
                <w:szCs w:val="28"/>
              </w:rPr>
            </w:pPr>
            <w:r>
              <w:rPr>
                <w:rFonts w:hint="default" w:ascii="Times New Roman Regular" w:hAnsi="Times New Roman Regular" w:eastAsia="Calibri" w:cs="Times New Roman Regular"/>
                <w:szCs w:val="28"/>
              </w:rPr>
              <w:t>(and if not, was the low response rate managed appropriately?)</w:t>
            </w:r>
          </w:p>
        </w:tc>
        <w:tc>
          <w:tcPr>
            <w:tcW w:w="298" w:type="pct"/>
            <w:tcBorders>
              <w:bottom w:val="single" w:color="auto"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236" w:type="pct"/>
            <w:tcBorders>
              <w:bottom w:val="single" w:color="auto"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483" w:type="pct"/>
            <w:tcBorders>
              <w:bottom w:val="single" w:color="auto"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c>
          <w:tcPr>
            <w:tcW w:w="609" w:type="pct"/>
            <w:tcBorders>
              <w:bottom w:val="single" w:color="auto"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Calibri" w:hAnsi="Calibri" w:eastAsia="Calibri"/>
                <w:sz w:val="40"/>
                <w:szCs w:val="40"/>
                <w:lang w:val="en-AU" w:eastAsia="zh-CN"/>
              </w:rPr>
            </w:pPr>
            <w:r>
              <w:rPr>
                <w:rFonts w:hint="default" w:ascii="Calibri" w:hAnsi="Calibri" w:eastAsia="Calibri"/>
                <w:sz w:val="40"/>
                <w:szCs w:val="40"/>
                <w:lang w:val="en-AU"/>
              </w:rPr>
              <w:t>□</w:t>
            </w:r>
          </w:p>
        </w:tc>
      </w:tr>
    </w:tbl>
    <w:p>
      <w:pPr>
        <w:widowControl w:val="0"/>
        <w:spacing w:after="0" w:line="240" w:lineRule="auto"/>
        <w:jc w:val="both"/>
        <w:rPr>
          <w:rFonts w:ascii="Times New Roman Bold" w:hAnsi="Times New Roman Bold" w:eastAsia="Calibri" w:cs="Times New Roman Bold"/>
          <w:b/>
          <w:kern w:val="2"/>
          <w:sz w:val="24"/>
          <w:szCs w:val="24"/>
          <w:lang w:val="en-US" w:eastAsia="zh-CN"/>
        </w:rPr>
      </w:pPr>
      <w:r>
        <w:rPr>
          <w:rFonts w:ascii="Times New Roman Bold" w:hAnsi="Times New Roman Bold" w:eastAsia="Calibri" w:cs="Times New Roman Bold"/>
          <w:b/>
          <w:kern w:val="2"/>
          <w:sz w:val="24"/>
          <w:szCs w:val="24"/>
          <w:lang w:val="en-US" w:eastAsia="zh-CN"/>
        </w:rPr>
        <w:t xml:space="preserve">Overall appraisal: </w:t>
      </w:r>
      <w:r>
        <w:rPr>
          <w:rFonts w:ascii="Times New Roman Bold" w:hAnsi="Times New Roman Bold" w:eastAsia="Calibri" w:cs="Times New Roman Bold"/>
          <w:b/>
          <w:kern w:val="2"/>
          <w:sz w:val="24"/>
          <w:szCs w:val="24"/>
          <w:lang w:val="en-US" w:eastAsia="zh-CN"/>
        </w:rPr>
        <w:tab/>
      </w:r>
      <w:r>
        <w:rPr>
          <w:rFonts w:ascii="Times New Roman Bold" w:hAnsi="Times New Roman Bold" w:eastAsia="Calibri" w:cs="Times New Roman Bold"/>
          <w:b/>
          <w:kern w:val="2"/>
          <w:sz w:val="24"/>
          <w:szCs w:val="24"/>
          <w:lang w:val="en-US" w:eastAsia="zh-CN"/>
        </w:rPr>
        <w:t>Include</w:t>
      </w:r>
      <w:r>
        <w:rPr>
          <w:rFonts w:ascii="Times New Roman Bold" w:hAnsi="Times New Roman Bold" w:eastAsia="Calibri" w:cs="Times New Roman Bold"/>
          <w:b/>
          <w:kern w:val="2"/>
          <w:sz w:val="24"/>
          <w:szCs w:val="24"/>
          <w:lang w:val="en-US" w:eastAsia="zh-CN"/>
        </w:rPr>
        <w:tab/>
      </w:r>
      <w:r>
        <w:rPr>
          <w:rFonts w:ascii="Times New Roman Bold" w:hAnsi="Times New Roman Bold" w:eastAsia="Calibri" w:cs="Times New Roman Bold"/>
          <w:b/>
          <w:kern w:val="2"/>
          <w:sz w:val="24"/>
          <w:szCs w:val="24"/>
          <w:lang w:val="en-AU" w:eastAsia="zh-CN"/>
        </w:rPr>
        <w:sym w:font="Wingdings 2" w:char="00A3"/>
      </w:r>
      <w:r>
        <w:rPr>
          <w:rFonts w:ascii="Times New Roman Bold" w:hAnsi="Times New Roman Bold" w:eastAsia="Calibri" w:cs="Times New Roman Bold"/>
          <w:b/>
          <w:kern w:val="2"/>
          <w:sz w:val="24"/>
          <w:szCs w:val="24"/>
          <w:lang w:val="en-US" w:eastAsia="zh-CN"/>
        </w:rPr>
        <w:tab/>
      </w:r>
      <w:r>
        <w:rPr>
          <w:rFonts w:ascii="Times New Roman Bold" w:hAnsi="Times New Roman Bold" w:eastAsia="Calibri" w:cs="Times New Roman Bold"/>
          <w:b/>
          <w:kern w:val="2"/>
          <w:sz w:val="24"/>
          <w:szCs w:val="24"/>
          <w:lang w:eastAsia="zh-CN"/>
        </w:rPr>
        <w:t xml:space="preserve">   </w:t>
      </w:r>
      <w:r>
        <w:rPr>
          <w:rFonts w:ascii="Times New Roman Bold" w:hAnsi="Times New Roman Bold" w:eastAsia="Calibri" w:cs="Times New Roman Bold"/>
          <w:b/>
          <w:kern w:val="2"/>
          <w:sz w:val="24"/>
          <w:szCs w:val="24"/>
          <w:lang w:val="en-US" w:eastAsia="zh-CN"/>
        </w:rPr>
        <w:t>Exclude</w:t>
      </w:r>
      <w:r>
        <w:rPr>
          <w:rFonts w:ascii="Times New Roman Bold" w:hAnsi="Times New Roman Bold" w:eastAsia="Calibri" w:cs="Times New Roman Bold"/>
          <w:b/>
          <w:kern w:val="2"/>
          <w:sz w:val="24"/>
          <w:szCs w:val="24"/>
          <w:lang w:val="en-AU" w:eastAsia="zh-CN"/>
        </w:rPr>
        <w:sym w:font="Wingdings 2" w:char="00A3"/>
      </w:r>
      <w:r>
        <w:rPr>
          <w:rFonts w:ascii="Wingdings 2" w:hAnsi="Wingdings 2" w:eastAsia="Wingdings 2" w:cs="Wingdings 2"/>
          <w:sz w:val="40"/>
          <w:szCs w:val="40"/>
          <w:lang w:eastAsia="zh-CN" w:bidi="ar"/>
        </w:rPr>
        <w:t></w:t>
      </w:r>
      <w:r>
        <w:rPr>
          <w:rFonts w:ascii="Times New Roman Bold" w:hAnsi="Times New Roman Bold" w:eastAsia="Calibri" w:cs="Times New Roman Bold"/>
          <w:b/>
          <w:kern w:val="2"/>
          <w:sz w:val="24"/>
          <w:szCs w:val="24"/>
          <w:lang w:val="en-US" w:eastAsia="zh-CN"/>
        </w:rPr>
        <w:t>Seek further info</w:t>
      </w:r>
      <w:r>
        <w:rPr>
          <w:rFonts w:ascii="Times New Roman Bold" w:hAnsi="Times New Roman Bold" w:eastAsia="Calibri" w:cs="Times New Roman Bold"/>
          <w:b/>
          <w:kern w:val="2"/>
          <w:sz w:val="24"/>
          <w:szCs w:val="24"/>
          <w:lang w:eastAsia="zh-CN"/>
        </w:rPr>
        <w:t>rmation</w:t>
      </w:r>
      <w:r>
        <w:rPr>
          <w:rFonts w:ascii="Times New Roman Bold" w:hAnsi="Times New Roman Bold" w:eastAsia="Calibri" w:cs="Times New Roman Bold"/>
          <w:b/>
          <w:kern w:val="2"/>
          <w:sz w:val="24"/>
          <w:szCs w:val="24"/>
          <w:lang w:val="en-AU" w:eastAsia="zh-CN"/>
        </w:rPr>
        <w:sym w:font="Wingdings 2" w:char="00A3"/>
      </w:r>
    </w:p>
    <w:p>
      <w:pPr>
        <w:spacing w:line="240" w:lineRule="auto"/>
        <w:rPr>
          <w:rFonts w:ascii="Times New Roman Bold" w:hAnsi="Times New Roman Bold" w:eastAsia="Calibri" w:cs="Times New Roman Bold"/>
          <w:b/>
          <w:kern w:val="2"/>
          <w:sz w:val="24"/>
          <w:szCs w:val="24"/>
          <w:lang w:val="en-US" w:eastAsia="zh-CN"/>
        </w:rPr>
      </w:pPr>
      <w:r>
        <w:rPr>
          <w:rFonts w:ascii="Times New Roman Bold" w:hAnsi="Times New Roman Bold" w:eastAsia="Calibri" w:cs="Times New Roman Bold"/>
          <w:b/>
          <w:kern w:val="2"/>
          <w:sz w:val="24"/>
          <w:szCs w:val="24"/>
          <w:lang w:val="en-US" w:eastAsia="zh-CN"/>
        </w:rPr>
        <w:t>Comments (Including reason for exclusion)</w:t>
      </w:r>
    </w:p>
    <w:p>
      <w:pPr>
        <w:spacing w:line="240" w:lineRule="auto"/>
        <w:rPr>
          <w:rFonts w:ascii="Times New Roman Regular" w:hAnsi="Times New Roman Regular" w:eastAsia="Times New Roman Regular" w:cs="Times New Roman Regular"/>
          <w:bCs/>
          <w:sz w:val="20"/>
          <w:szCs w:val="20"/>
          <w:lang w:val="en-US" w:eastAsia="zh-CN" w:bidi="ar"/>
        </w:rPr>
        <w:sectPr>
          <w:footerReference r:id="rId5" w:type="default"/>
          <w:pgSz w:w="11906" w:h="16838"/>
          <w:pgMar w:top="864" w:right="720" w:bottom="864" w:left="720" w:header="706" w:footer="706" w:gutter="0"/>
          <w:pgNumType w:fmt="decimal"/>
          <w:cols w:space="720" w:num="1"/>
          <w:docGrid w:linePitch="360" w:charSpace="0"/>
        </w:sectPr>
      </w:pPr>
      <w:r>
        <w:rPr>
          <w:rFonts w:ascii="Times New Roman Bold" w:hAnsi="Times New Roman Bold" w:eastAsia="Calibri" w:cs="Times New Roman Bold"/>
          <w:b/>
          <w:kern w:val="2"/>
          <w:sz w:val="24"/>
          <w:szCs w:val="24"/>
          <w:lang w:val="en-US" w:eastAsia="zh-CN"/>
        </w:rPr>
        <w:t>_____________________</w:t>
      </w:r>
      <w:r>
        <w:rPr>
          <w:rFonts w:ascii="Times New Roman Bold" w:hAnsi="Times New Roman Bold" w:eastAsia="Calibri" w:cs="Times New Roman Bold"/>
          <w:b/>
          <w:kern w:val="2"/>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w:t>
      </w:r>
    </w:p>
    <w:p>
      <w:pPr>
        <w:pStyle w:val="11"/>
        <w:spacing w:before="200" w:after="200" w:line="240" w:lineRule="auto"/>
        <w:ind w:left="0"/>
        <w:rPr>
          <w:rFonts w:ascii="Times New Roman Bold" w:hAnsi="Times New Roman Bold" w:cs="Times New Roman Bold"/>
          <w:b/>
          <w:sz w:val="24"/>
        </w:rPr>
      </w:pPr>
      <w:r>
        <w:rPr>
          <w:rFonts w:hint="eastAsia" w:ascii="Times New Roman Bold" w:hAnsi="Times New Roman Bold" w:eastAsia="宋体" w:cs="Times New Roman Bold"/>
          <w:b/>
          <w:sz w:val="24"/>
          <w:lang w:val="en-US" w:eastAsia="zh-Hans"/>
        </w:rPr>
        <w:t>b</w:t>
      </w:r>
      <w:r>
        <w:rPr>
          <w:rFonts w:hint="eastAsia" w:ascii="Times New Roman Bold" w:hAnsi="Times New Roman Bold" w:eastAsia="宋体" w:cs="Times New Roman Bold"/>
          <w:b/>
          <w:sz w:val="24"/>
          <w:lang w:eastAsia="zh-Hans"/>
        </w:rPr>
        <w:t>.Results</w:t>
      </w:r>
      <w:r>
        <w:rPr>
          <w:rFonts w:ascii="Times New Roman Bold" w:hAnsi="Times New Roman Bold" w:eastAsia="宋体" w:cs="Times New Roman Bold"/>
          <w:b/>
          <w:sz w:val="24"/>
          <w:lang w:eastAsia="zh-Hans"/>
        </w:rPr>
        <w:t xml:space="preserve"> </w:t>
      </w:r>
      <w:r>
        <w:rPr>
          <w:rFonts w:hint="eastAsia" w:ascii="Times New Roman Bold" w:hAnsi="Times New Roman Bold" w:eastAsia="宋体" w:cs="Times New Roman Bold"/>
          <w:b/>
          <w:sz w:val="24"/>
          <w:lang w:eastAsia="zh-Hans"/>
        </w:rPr>
        <w:t>of</w:t>
      </w:r>
      <w:r>
        <w:rPr>
          <w:rFonts w:ascii="Times New Roman Bold" w:hAnsi="Times New Roman Bold" w:eastAsia="宋体" w:cs="Times New Roman Bold"/>
          <w:b/>
          <w:sz w:val="24"/>
          <w:lang w:eastAsia="zh-Hans"/>
        </w:rPr>
        <w:t xml:space="preserve"> </w:t>
      </w:r>
      <w:r>
        <w:rPr>
          <w:rFonts w:hint="eastAsia" w:ascii="Times New Roman Bold" w:hAnsi="Times New Roman Bold" w:eastAsia="宋体" w:cs="Times New Roman Bold"/>
          <w:b/>
          <w:sz w:val="24"/>
          <w:lang w:eastAsia="zh-Hans"/>
        </w:rPr>
        <w:t>the</w:t>
      </w:r>
      <w:r>
        <w:rPr>
          <w:rFonts w:ascii="Times New Roman Bold" w:hAnsi="Times New Roman Bold" w:eastAsia="宋体" w:cs="Times New Roman Bold"/>
          <w:b/>
          <w:sz w:val="24"/>
          <w:lang w:eastAsia="zh-Hans"/>
        </w:rPr>
        <w:t xml:space="preserve"> </w:t>
      </w:r>
      <w:r>
        <w:rPr>
          <w:rFonts w:hint="eastAsia" w:ascii="Times New Roman Bold" w:hAnsi="Times New Roman Bold" w:eastAsia="宋体" w:cs="Times New Roman Bold"/>
          <w:b/>
          <w:sz w:val="24"/>
          <w:lang w:eastAsia="zh-Hans"/>
        </w:rPr>
        <w:t>quality</w:t>
      </w:r>
      <w:r>
        <w:rPr>
          <w:rFonts w:ascii="Times New Roman Bold" w:hAnsi="Times New Roman Bold" w:eastAsia="宋体" w:cs="Times New Roman Bold"/>
          <w:b/>
          <w:sz w:val="24"/>
          <w:lang w:eastAsia="zh-Hans"/>
        </w:rPr>
        <w:t xml:space="preserve"> </w:t>
      </w:r>
      <w:r>
        <w:rPr>
          <w:rFonts w:hint="eastAsia" w:ascii="Times New Roman Bold" w:hAnsi="Times New Roman Bold" w:eastAsia="宋体" w:cs="Times New Roman Bold"/>
          <w:b/>
          <w:sz w:val="24"/>
          <w:lang w:eastAsia="zh-Hans"/>
        </w:rPr>
        <w:t>a</w:t>
      </w:r>
      <w:r>
        <w:rPr>
          <w:rFonts w:ascii="Times New Roman Bold" w:hAnsi="Times New Roman Bold" w:cs="Times New Roman Bold"/>
          <w:b/>
          <w:sz w:val="24"/>
        </w:rPr>
        <w:t xml:space="preserve">ssessment of </w:t>
      </w:r>
      <w:r>
        <w:rPr>
          <w:rFonts w:hint="eastAsia" w:ascii="Times New Roman Bold" w:hAnsi="Times New Roman Bold" w:cs="Times New Roman Bold"/>
          <w:b/>
          <w:sz w:val="24"/>
          <w:lang w:eastAsia="zh-Hans"/>
        </w:rPr>
        <w:t>eligible</w:t>
      </w:r>
      <w:r>
        <w:rPr>
          <w:rFonts w:ascii="Times New Roman Bold" w:hAnsi="Times New Roman Bold" w:cs="Times New Roman Bold"/>
          <w:b/>
          <w:sz w:val="24"/>
          <w:lang w:eastAsia="zh-Hans"/>
        </w:rPr>
        <w:t xml:space="preserve"> </w:t>
      </w:r>
      <w:r>
        <w:rPr>
          <w:rFonts w:ascii="Times New Roman Bold" w:hAnsi="Times New Roman Bold" w:cs="Times New Roman Bold"/>
          <w:b/>
          <w:sz w:val="24"/>
        </w:rPr>
        <w:t>studies</w:t>
      </w:r>
    </w:p>
    <w:tbl>
      <w:tblPr>
        <w:tblStyle w:val="6"/>
        <w:tblW w:w="4999" w:type="pct"/>
        <w:tblInd w:w="0" w:type="dxa"/>
        <w:tblBorders>
          <w:top w:val="single" w:color="auto" w:sz="4" w:space="0"/>
          <w:left w:val="none" w:color="auto" w:sz="6" w:space="0"/>
          <w:bottom w:val="single" w:color="auto" w:sz="4" w:space="0"/>
          <w:right w:val="none" w:color="auto" w:sz="6"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284"/>
        <w:gridCol w:w="1146"/>
        <w:gridCol w:w="1146"/>
        <w:gridCol w:w="1146"/>
        <w:gridCol w:w="1146"/>
        <w:gridCol w:w="1146"/>
        <w:gridCol w:w="1146"/>
        <w:gridCol w:w="1146"/>
        <w:gridCol w:w="1146"/>
        <w:gridCol w:w="1157"/>
        <w:gridCol w:w="2714"/>
      </w:tblGrid>
      <w:tr>
        <w:tblPrEx>
          <w:tblBorders>
            <w:top w:val="single" w:color="auto" w:sz="4" w:space="0"/>
            <w:left w:val="none" w:color="auto" w:sz="6" w:space="0"/>
            <w:bottom w:val="single" w:color="auto" w:sz="4" w:space="0"/>
            <w:right w:val="none" w:color="auto" w:sz="6" w:space="0"/>
            <w:insideH w:val="single" w:color="auto" w:sz="4" w:space="0"/>
            <w:insideV w:val="single" w:color="auto" w:sz="4" w:space="0"/>
          </w:tblBorders>
          <w:shd w:val="clear" w:color="auto" w:fill="auto"/>
        </w:tblPrEx>
        <w:trPr>
          <w:trHeight w:val="243" w:hRule="atLeast"/>
        </w:trPr>
        <w:tc>
          <w:tcPr>
            <w:tcW w:w="745" w:type="pct"/>
            <w:vMerge w:val="restart"/>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Author</w:t>
            </w:r>
          </w:p>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Year</w:t>
            </w:r>
          </w:p>
        </w:tc>
        <w:tc>
          <w:tcPr>
            <w:tcW w:w="3369" w:type="pct"/>
            <w:gridSpan w:val="9"/>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Individual Items</w:t>
            </w:r>
          </w:p>
        </w:tc>
        <w:tc>
          <w:tcPr>
            <w:tcW w:w="885" w:type="pct"/>
            <w:vMerge w:val="restart"/>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 xml:space="preserve"> Overall </w:t>
            </w:r>
          </w:p>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score</w:t>
            </w:r>
          </w:p>
        </w:tc>
      </w:tr>
      <w:tr>
        <w:tblPrEx>
          <w:tblBorders>
            <w:top w:val="single" w:color="auto" w:sz="4" w:space="0"/>
            <w:left w:val="none" w:color="auto" w:sz="6" w:space="0"/>
            <w:bottom w:val="single" w:color="auto" w:sz="4" w:space="0"/>
            <w:right w:val="none" w:color="auto" w:sz="6" w:space="0"/>
            <w:insideH w:val="single" w:color="auto" w:sz="4" w:space="0"/>
            <w:insideV w:val="single" w:color="auto" w:sz="4" w:space="0"/>
          </w:tblBorders>
          <w:shd w:val="clear" w:color="auto" w:fill="auto"/>
        </w:tblPrEx>
        <w:trPr>
          <w:trHeight w:val="377" w:hRule="atLeast"/>
        </w:trPr>
        <w:tc>
          <w:tcPr>
            <w:tcW w:w="745" w:type="pct"/>
            <w:vMerge w:val="continue"/>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Autospacing="0"/>
              <w:ind w:left="0" w:right="0"/>
              <w:rPr>
                <w:rFonts w:hint="default" w:ascii="Times New Roman" w:hAnsi="Times New Roman" w:cs="Times New Roman"/>
                <w:color w:val="auto"/>
                <w:sz w:val="20"/>
                <w:szCs w:val="20"/>
              </w:rPr>
            </w:pPr>
          </w:p>
        </w:tc>
        <w:tc>
          <w:tcPr>
            <w:tcW w:w="374" w:type="pct"/>
            <w:tcBorders>
              <w:top w:val="single" w:color="auto" w:sz="4" w:space="0"/>
              <w:left w:val="nil"/>
              <w:bottom w:val="single" w:color="000000"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Item 1</w:t>
            </w:r>
          </w:p>
        </w:tc>
        <w:tc>
          <w:tcPr>
            <w:tcW w:w="374" w:type="pct"/>
            <w:tcBorders>
              <w:top w:val="single" w:color="auto" w:sz="4" w:space="0"/>
              <w:left w:val="nil"/>
              <w:bottom w:val="single" w:color="000000"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Item 2</w:t>
            </w:r>
          </w:p>
        </w:tc>
        <w:tc>
          <w:tcPr>
            <w:tcW w:w="374" w:type="pct"/>
            <w:tcBorders>
              <w:top w:val="single" w:color="auto" w:sz="4" w:space="0"/>
              <w:left w:val="nil"/>
              <w:bottom w:val="single" w:color="000000"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Item 3</w:t>
            </w:r>
          </w:p>
        </w:tc>
        <w:tc>
          <w:tcPr>
            <w:tcW w:w="374" w:type="pct"/>
            <w:tcBorders>
              <w:top w:val="single" w:color="auto" w:sz="4" w:space="0"/>
              <w:left w:val="nil"/>
              <w:bottom w:val="single" w:color="000000"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Item 4</w:t>
            </w:r>
          </w:p>
        </w:tc>
        <w:tc>
          <w:tcPr>
            <w:tcW w:w="374" w:type="pct"/>
            <w:tcBorders>
              <w:top w:val="single" w:color="auto" w:sz="4" w:space="0"/>
              <w:left w:val="nil"/>
              <w:bottom w:val="single" w:color="000000"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Item 5</w:t>
            </w:r>
          </w:p>
        </w:tc>
        <w:tc>
          <w:tcPr>
            <w:tcW w:w="374" w:type="pct"/>
            <w:tcBorders>
              <w:top w:val="single" w:color="auto" w:sz="4" w:space="0"/>
              <w:left w:val="nil"/>
              <w:bottom w:val="single" w:color="000000"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Item 6</w:t>
            </w:r>
          </w:p>
        </w:tc>
        <w:tc>
          <w:tcPr>
            <w:tcW w:w="374" w:type="pct"/>
            <w:tcBorders>
              <w:top w:val="single" w:color="auto" w:sz="4" w:space="0"/>
              <w:left w:val="nil"/>
              <w:bottom w:val="single" w:color="000000"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Item 7</w:t>
            </w:r>
          </w:p>
        </w:tc>
        <w:tc>
          <w:tcPr>
            <w:tcW w:w="374" w:type="pct"/>
            <w:tcBorders>
              <w:top w:val="single" w:color="auto" w:sz="4" w:space="0"/>
              <w:left w:val="nil"/>
              <w:bottom w:val="single" w:color="000000"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Item 8</w:t>
            </w:r>
          </w:p>
        </w:tc>
        <w:tc>
          <w:tcPr>
            <w:tcW w:w="376" w:type="pct"/>
            <w:tcBorders>
              <w:top w:val="single" w:color="auto" w:sz="4" w:space="0"/>
              <w:left w:val="nil"/>
              <w:bottom w:val="single" w:color="000000" w:sz="4" w:space="0"/>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Bold" w:hAnsi="Times New Roman Bold" w:eastAsia="等线" w:cs="Times New Roman Bold"/>
                <w:b/>
                <w:bCs/>
                <w:color w:val="auto"/>
                <w:kern w:val="2"/>
                <w:sz w:val="21"/>
                <w:szCs w:val="21"/>
              </w:rPr>
            </w:pPr>
            <w:r>
              <w:rPr>
                <w:rFonts w:hint="default" w:ascii="Times New Roman Bold" w:hAnsi="Times New Roman Bold" w:eastAsia="等线" w:cs="Times New Roman Bold"/>
                <w:b/>
                <w:bCs/>
                <w:color w:val="auto"/>
                <w:kern w:val="2"/>
                <w:sz w:val="21"/>
                <w:szCs w:val="21"/>
                <w:lang w:val="en-US" w:eastAsia="zh-CN" w:bidi="ar"/>
              </w:rPr>
              <w:t>Item 9</w:t>
            </w:r>
          </w:p>
        </w:tc>
        <w:tc>
          <w:tcPr>
            <w:tcW w:w="885" w:type="pct"/>
            <w:vMerge w:val="continue"/>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Autospacing="0"/>
              <w:ind w:left="0" w:right="0"/>
              <w:rPr>
                <w:rFonts w:hint="default" w:ascii="Times New Roman" w:hAnsi="Times New Roman" w:cs="Times New Roman"/>
                <w:color w:val="auto"/>
                <w:sz w:val="20"/>
                <w:szCs w:val="20"/>
              </w:rPr>
            </w:pPr>
          </w:p>
        </w:tc>
      </w:tr>
      <w:tr>
        <w:tblPrEx>
          <w:tblBorders>
            <w:top w:val="single" w:color="auto" w:sz="4" w:space="0"/>
            <w:left w:val="none" w:color="auto" w:sz="6" w:space="0"/>
            <w:bottom w:val="single" w:color="auto" w:sz="4" w:space="0"/>
            <w:right w:val="none" w:color="auto" w:sz="6" w:space="0"/>
            <w:insideH w:val="single" w:color="auto" w:sz="4" w:space="0"/>
            <w:insideV w:val="single" w:color="auto" w:sz="4" w:space="0"/>
          </w:tblBorders>
          <w:shd w:val="clear" w:color="auto" w:fill="auto"/>
        </w:tblPrEx>
        <w:trPr>
          <w:trHeight w:val="371" w:hRule="atLeast"/>
        </w:trPr>
        <w:tc>
          <w:tcPr>
            <w:tcW w:w="745"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r>
              <w:rPr>
                <w:rFonts w:hint="default" w:ascii="Times New Roman" w:hAnsi="Times New Roman" w:eastAsia="等线" w:cs="Times New Roman"/>
                <w:color w:val="auto"/>
                <w:kern w:val="2"/>
                <w:sz w:val="21"/>
                <w:szCs w:val="21"/>
                <w:lang w:val="en-US" w:eastAsia="zh-CN" w:bidi="ar"/>
              </w:rPr>
              <w:t>Karna, 2019</w:t>
            </w:r>
          </w:p>
        </w:tc>
        <w:tc>
          <w:tcPr>
            <w:tcW w:w="374"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p>
        </w:tc>
        <w:tc>
          <w:tcPr>
            <w:tcW w:w="374"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p>
        </w:tc>
        <w:tc>
          <w:tcPr>
            <w:tcW w:w="374"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p>
        </w:tc>
        <w:tc>
          <w:tcPr>
            <w:tcW w:w="374"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p>
        </w:tc>
        <w:tc>
          <w:tcPr>
            <w:tcW w:w="376"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p>
        </w:tc>
        <w:tc>
          <w:tcPr>
            <w:tcW w:w="885" w:type="pct"/>
            <w:tcBorders>
              <w:top w:val="single" w:color="000000"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273" w:lineRule="auto"/>
              <w:ind w:left="0" w:right="0"/>
              <w:jc w:val="center"/>
              <w:rPr>
                <w:rFonts w:hint="default" w:ascii="Times New Roman" w:hAnsi="Times New Roman" w:eastAsia="等线" w:cs="Times New Roman"/>
                <w:color w:val="auto"/>
                <w:kern w:val="2"/>
                <w:sz w:val="21"/>
                <w:szCs w:val="21"/>
              </w:rPr>
            </w:pPr>
            <w:r>
              <w:rPr>
                <w:rFonts w:hint="default" w:ascii="Times New Roman" w:hAnsi="Times New Roman" w:eastAsia="等线" w:cs="Times New Roman"/>
                <w:color w:val="auto"/>
                <w:kern w:val="2"/>
                <w:sz w:val="21"/>
                <w:szCs w:val="21"/>
                <w:lang w:val="en-US" w:eastAsia="zh-CN" w:bidi="ar"/>
              </w:rPr>
              <w:t>4(moderate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90" w:hRule="atLeast"/>
        </w:trPr>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You, 2013</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5(moderate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Begum, 2010</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5(moderate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Wang, 2019</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6(moderate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Salam, 2013</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6(moderate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Asim, 2008</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6(moderate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Alam, 2008</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6(moderate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Borkakoti, 2013</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5(moderate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Mishra, 2016</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4(moderate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Shinde, 2014</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6(moderate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eastAsia="zh-CN" w:bidi="ar"/>
              </w:rPr>
              <w:t>Mu</w:t>
            </w:r>
            <w:r>
              <w:rPr>
                <w:rFonts w:hint="default" w:eastAsia="等线"/>
                <w:color w:val="auto"/>
                <w:kern w:val="2"/>
                <w:sz w:val="21"/>
                <w:szCs w:val="21"/>
                <w:lang w:val="en-US" w:eastAsia="zh-CN" w:bidi="ar"/>
              </w:rPr>
              <w:t>, 202</w:t>
            </w:r>
            <w:r>
              <w:rPr>
                <w:rFonts w:hint="default" w:eastAsia="等线"/>
                <w:color w:val="auto"/>
                <w:kern w:val="2"/>
                <w:sz w:val="21"/>
                <w:szCs w:val="21"/>
                <w:lang w:eastAsia="zh-CN" w:bidi="ar"/>
              </w:rPr>
              <w:t>0</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6(moderate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Mahtab,2009</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5(moderate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Das, 2016</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5(moderate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Memon, 2021</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rPr>
            </w:pPr>
            <w:r>
              <w:rPr>
                <w:rFonts w:hint="default" w:eastAsia="等线"/>
                <w:color w:val="auto"/>
                <w:kern w:val="2"/>
                <w:sz w:val="21"/>
                <w:szCs w:val="21"/>
                <w:lang w:val="en-US" w:eastAsia="zh-CN" w:bidi="ar"/>
              </w:rPr>
              <w:t>7(high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right="0"/>
              <w:jc w:val="center"/>
              <w:rPr>
                <w:rFonts w:hint="default" w:eastAsia="等线"/>
                <w:color w:val="auto"/>
                <w:kern w:val="2"/>
                <w:sz w:val="21"/>
                <w:szCs w:val="21"/>
                <w:lang w:eastAsia="zh-CN" w:bidi="ar"/>
              </w:rPr>
            </w:pPr>
            <w:r>
              <w:rPr>
                <w:rFonts w:hint="default" w:eastAsia="等线"/>
                <w:color w:val="auto"/>
                <w:kern w:val="2"/>
                <w:sz w:val="21"/>
                <w:szCs w:val="21"/>
                <w:lang w:eastAsia="zh-CN" w:bidi="ar"/>
              </w:rPr>
              <w:t>Kar, 2009</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eastAsia="等线"/>
                <w:color w:val="auto"/>
                <w:kern w:val="2"/>
                <w:sz w:val="21"/>
                <w:szCs w:val="21"/>
                <w:lang w:val="en-US" w:eastAsia="zh-CN" w:bidi="ar"/>
              </w:rPr>
              <w:t>7(high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zh-CN" w:bidi="ar-SA"/>
              </w:rPr>
            </w:pPr>
            <w:r>
              <w:rPr>
                <w:rFonts w:hint="default" w:eastAsia="等线"/>
                <w:color w:val="auto"/>
                <w:kern w:val="2"/>
                <w:sz w:val="21"/>
                <w:szCs w:val="21"/>
                <w:lang w:val="en-US" w:eastAsia="zh-CN" w:bidi="ar"/>
              </w:rPr>
              <w:t>Bhatia,2013</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eastAsia="等线"/>
                <w:color w:val="auto"/>
                <w:kern w:val="2"/>
                <w:sz w:val="21"/>
                <w:szCs w:val="21"/>
                <w:lang w:val="en-US" w:eastAsia="zh-CN" w:bidi="ar"/>
              </w:rPr>
              <w:t>6(moderate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eastAsia="等线"/>
                <w:color w:val="auto"/>
                <w:kern w:val="2"/>
                <w:sz w:val="21"/>
                <w:szCs w:val="21"/>
                <w:lang w:eastAsia="zh-CN" w:bidi="ar"/>
              </w:rPr>
            </w:pPr>
            <w:r>
              <w:rPr>
                <w:rFonts w:hint="default" w:eastAsia="等线"/>
                <w:color w:val="auto"/>
                <w:kern w:val="2"/>
                <w:sz w:val="21"/>
                <w:szCs w:val="21"/>
                <w:lang w:eastAsia="zh-CN" w:bidi="ar"/>
              </w:rPr>
              <w:t>Majumdar,2013</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eastAsia="等线"/>
                <w:color w:val="auto"/>
                <w:kern w:val="2"/>
                <w:sz w:val="21"/>
                <w:szCs w:val="21"/>
                <w:lang w:val="en-US" w:eastAsia="zh-CN" w:bidi="ar"/>
              </w:rPr>
              <w:t>4(moderate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eastAsia="等线"/>
                <w:color w:val="auto"/>
                <w:kern w:val="2"/>
                <w:sz w:val="21"/>
                <w:szCs w:val="21"/>
                <w:lang w:eastAsia="zh-CN" w:bidi="ar"/>
              </w:rPr>
              <w:t>Xiang</w:t>
            </w:r>
            <w:r>
              <w:rPr>
                <w:rFonts w:hint="default" w:eastAsia="等线"/>
                <w:color w:val="auto"/>
                <w:kern w:val="2"/>
                <w:sz w:val="21"/>
                <w:szCs w:val="21"/>
                <w:lang w:val="en-US" w:eastAsia="zh-CN" w:bidi="ar"/>
              </w:rPr>
              <w:t>, 20</w:t>
            </w:r>
            <w:r>
              <w:rPr>
                <w:rFonts w:hint="default" w:eastAsia="等线"/>
                <w:color w:val="auto"/>
                <w:kern w:val="2"/>
                <w:sz w:val="21"/>
                <w:szCs w:val="21"/>
                <w:lang w:eastAsia="zh-CN" w:bidi="ar"/>
              </w:rPr>
              <w:t>22</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eastAsia="等线"/>
                <w:color w:val="auto"/>
                <w:kern w:val="2"/>
                <w:sz w:val="21"/>
                <w:szCs w:val="21"/>
                <w:lang w:val="en-US" w:eastAsia="zh-CN" w:bidi="ar"/>
              </w:rPr>
              <w:t>7(high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zh-CN" w:bidi="ar-SA"/>
              </w:rPr>
            </w:pPr>
            <w:r>
              <w:rPr>
                <w:rFonts w:hint="default" w:eastAsia="等线"/>
                <w:color w:val="auto"/>
                <w:kern w:val="2"/>
                <w:sz w:val="21"/>
                <w:szCs w:val="21"/>
                <w:lang w:eastAsia="zh-CN" w:bidi="ar"/>
              </w:rPr>
              <w:t>Liu</w:t>
            </w:r>
            <w:r>
              <w:rPr>
                <w:rFonts w:hint="default" w:eastAsia="等线"/>
                <w:color w:val="auto"/>
                <w:kern w:val="2"/>
                <w:sz w:val="21"/>
                <w:szCs w:val="21"/>
                <w:lang w:val="en-US" w:eastAsia="zh-CN" w:bidi="ar"/>
              </w:rPr>
              <w:t>, 20</w:t>
            </w:r>
            <w:r>
              <w:rPr>
                <w:rFonts w:hint="default" w:eastAsia="等线"/>
                <w:color w:val="auto"/>
                <w:kern w:val="2"/>
                <w:sz w:val="21"/>
                <w:szCs w:val="21"/>
                <w:lang w:eastAsia="zh-CN" w:bidi="ar"/>
              </w:rPr>
              <w:t>08</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885" w:type="pct"/>
            <w:tcBorders>
              <w:top w:val="nil"/>
              <w:left w:val="nil"/>
              <w:bottom w:val="nil"/>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eastAsia="等线"/>
                <w:color w:val="auto"/>
                <w:kern w:val="2"/>
                <w:sz w:val="21"/>
                <w:szCs w:val="21"/>
                <w:lang w:val="en-US" w:eastAsia="zh-CN" w:bidi="ar"/>
              </w:rPr>
              <w:t>4(moderate quality)</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c>
          <w:tcPr>
            <w:tcW w:w="745"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zh-CN" w:bidi="ar-SA"/>
              </w:rPr>
            </w:pPr>
            <w:r>
              <w:rPr>
                <w:rFonts w:hint="default" w:eastAsia="等线"/>
                <w:color w:val="auto"/>
                <w:kern w:val="2"/>
                <w:sz w:val="21"/>
                <w:szCs w:val="21"/>
                <w:lang w:val="en-US" w:eastAsia="zh-CN" w:bidi="ar"/>
              </w:rPr>
              <w:t>Wu, 20</w:t>
            </w:r>
            <w:r>
              <w:rPr>
                <w:rFonts w:hint="default" w:eastAsia="等线"/>
                <w:color w:val="auto"/>
                <w:kern w:val="2"/>
                <w:sz w:val="21"/>
                <w:szCs w:val="21"/>
                <w:lang w:eastAsia="zh-CN" w:bidi="ar"/>
              </w:rPr>
              <w:t>22</w:t>
            </w:r>
          </w:p>
        </w:tc>
        <w:tc>
          <w:tcPr>
            <w:tcW w:w="374"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GB" w:eastAsia="en-US" w:bidi="ar-SA"/>
              </w:rPr>
            </w:pPr>
          </w:p>
        </w:tc>
        <w:tc>
          <w:tcPr>
            <w:tcW w:w="374"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374"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4"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ascii="Segoe UI Symbol" w:hAnsi="Segoe UI Symbol" w:eastAsia="Segoe UI Symbol" w:cs="Segoe UI Symbol"/>
                <w:color w:val="auto"/>
                <w:kern w:val="2"/>
                <w:sz w:val="21"/>
                <w:szCs w:val="21"/>
                <w:lang w:val="en-US" w:eastAsia="zh-CN" w:bidi="ar"/>
              </w:rPr>
              <w:t>★</w:t>
            </w:r>
          </w:p>
        </w:tc>
        <w:tc>
          <w:tcPr>
            <w:tcW w:w="376"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p>
        </w:tc>
        <w:tc>
          <w:tcPr>
            <w:tcW w:w="885" w:type="pct"/>
            <w:tcBorders>
              <w:top w:val="nil"/>
              <w:left w:val="nil"/>
              <w:bottom w:val="single" w:color="auto" w:sz="4" w:space="0"/>
              <w:right w:val="nil"/>
            </w:tcBorders>
            <w:shd w:val="clear" w:color="auto" w:fill="auto"/>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default" w:ascii="Times New Roman" w:hAnsi="Times New Roman" w:eastAsia="等线" w:cs="Times New Roman"/>
                <w:color w:val="auto"/>
                <w:kern w:val="2"/>
                <w:sz w:val="21"/>
                <w:szCs w:val="21"/>
                <w:lang w:val="en-US" w:eastAsia="zh-CN" w:bidi="ar-SA"/>
              </w:rPr>
            </w:pPr>
            <w:r>
              <w:rPr>
                <w:rFonts w:hint="default" w:eastAsia="等线"/>
                <w:color w:val="auto"/>
                <w:kern w:val="2"/>
                <w:sz w:val="21"/>
                <w:szCs w:val="21"/>
                <w:lang w:eastAsia="zh-CN" w:bidi="ar"/>
              </w:rPr>
              <w:t>5</w:t>
            </w:r>
            <w:r>
              <w:rPr>
                <w:rFonts w:hint="default" w:eastAsia="等线"/>
                <w:color w:val="auto"/>
                <w:kern w:val="2"/>
                <w:sz w:val="21"/>
                <w:szCs w:val="21"/>
                <w:lang w:val="en-US" w:eastAsia="zh-CN" w:bidi="ar"/>
              </w:rPr>
              <w:t>(moderate quality)</w:t>
            </w:r>
          </w:p>
        </w:tc>
      </w:tr>
    </w:tbl>
    <w:p>
      <w:pPr>
        <w:rPr>
          <w:rFonts w:hint="default"/>
        </w:rPr>
      </w:pPr>
    </w:p>
    <w:p>
      <w:pPr>
        <w:rPr>
          <w:rFonts w:hint="default"/>
        </w:rPr>
      </w:pP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r>
        <w:rPr>
          <w:rFonts w:ascii="Times New Roman Bold" w:hAnsi="Times New Roman Bold" w:eastAsia="Times New Roman" w:cs="Times New Roman Bold"/>
          <w:b/>
          <w:color w:val="000000"/>
          <w:sz w:val="24"/>
          <w:szCs w:val="24"/>
          <w:lang w:val="en-US" w:eastAsia="zh-Hans"/>
        </w:rPr>
        <w:t>Supplementary</w:t>
      </w:r>
      <w:r>
        <w:rPr>
          <w:rFonts w:ascii="Times New Roman Bold" w:hAnsi="Times New Roman Bold" w:eastAsia="Times New Roman" w:cs="Times New Roman Bold"/>
          <w:b/>
          <w:color w:val="000000"/>
          <w:sz w:val="24"/>
          <w:szCs w:val="24"/>
          <w:lang w:eastAsia="zh-Hans"/>
        </w:rPr>
        <w:t xml:space="preserve"> Table.</w:t>
      </w:r>
      <w:r>
        <w:rPr>
          <w:rFonts w:hint="default" w:ascii="Times New Roman Bold" w:hAnsi="Times New Roman Bold" w:eastAsia="Times New Roman" w:cs="Times New Roman Bold"/>
          <w:b/>
          <w:color w:val="000000"/>
          <w:sz w:val="24"/>
          <w:szCs w:val="24"/>
          <w:lang w:eastAsia="zh-Hans"/>
        </w:rPr>
        <w:t>4</w:t>
      </w:r>
      <w:r>
        <w:rPr>
          <w:rFonts w:ascii="Times New Roman Bold" w:hAnsi="Times New Roman Bold" w:eastAsia="Times New Roman" w:cs="Times New Roman Bold"/>
          <w:b/>
          <w:color w:val="000000"/>
          <w:sz w:val="24"/>
          <w:szCs w:val="24"/>
          <w:lang w:eastAsia="zh-Hans"/>
        </w:rPr>
        <w:t xml:space="preserve"> </w:t>
      </w:r>
      <w:r>
        <w:rPr>
          <w:rFonts w:hint="default" w:ascii="Times New Roman Bold" w:hAnsi="Times New Roman Bold" w:eastAsia="Times New Roman" w:cs="Times New Roman Bold"/>
          <w:b/>
          <w:bCs w:val="0"/>
          <w:color w:val="000000"/>
          <w:kern w:val="0"/>
          <w:sz w:val="24"/>
          <w:szCs w:val="24"/>
          <w:shd w:val="clear" w:fill="FFFFFF"/>
          <w:lang w:val="en-US" w:eastAsia="zh-CN" w:bidi="ar"/>
        </w:rPr>
        <w:t>Characteristic of included studies</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35"/>
        <w:gridCol w:w="1433"/>
        <w:gridCol w:w="1910"/>
        <w:gridCol w:w="705"/>
        <w:gridCol w:w="864"/>
        <w:gridCol w:w="1726"/>
        <w:gridCol w:w="549"/>
        <w:gridCol w:w="574"/>
        <w:gridCol w:w="1297"/>
        <w:gridCol w:w="586"/>
        <w:gridCol w:w="546"/>
        <w:gridCol w:w="552"/>
        <w:gridCol w:w="561"/>
        <w:gridCol w:w="586"/>
        <w:gridCol w:w="586"/>
        <w:gridCol w:w="561"/>
        <w:gridCol w:w="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6" w:hRule="atLeast"/>
        </w:trPr>
        <w:tc>
          <w:tcPr>
            <w:tcW w:w="566" w:type="pct"/>
            <w:vMerge w:val="restar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sz w:val="22"/>
                <w:szCs w:val="22"/>
                <w:u w:val="none"/>
              </w:rPr>
            </w:pPr>
            <w:r>
              <w:rPr>
                <w:rFonts w:hint="default" w:ascii="Times New Roman Bold" w:hAnsi="Times New Roman Bold" w:eastAsia="宋体" w:cs="Times New Roman Bold"/>
                <w:b/>
                <w:bCs/>
                <w:i w:val="0"/>
                <w:iCs w:val="0"/>
                <w:color w:val="000000"/>
                <w:kern w:val="0"/>
                <w:sz w:val="22"/>
                <w:szCs w:val="22"/>
                <w:u w:val="none"/>
                <w:lang w:val="en-US" w:eastAsia="zh-CN" w:bidi="ar"/>
              </w:rPr>
              <w:t>Author, Year</w:t>
            </w:r>
          </w:p>
        </w:tc>
        <w:tc>
          <w:tcPr>
            <w:tcW w:w="467" w:type="pct"/>
            <w:vMerge w:val="restar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sz w:val="22"/>
                <w:szCs w:val="22"/>
                <w:u w:val="none"/>
              </w:rPr>
            </w:pPr>
            <w:r>
              <w:rPr>
                <w:rFonts w:hint="default" w:ascii="Times New Roman Bold" w:hAnsi="Times New Roman Bold" w:eastAsia="宋体" w:cs="Times New Roman Bold"/>
                <w:b/>
                <w:bCs/>
                <w:i w:val="0"/>
                <w:iCs w:val="0"/>
                <w:color w:val="000000"/>
                <w:kern w:val="0"/>
                <w:sz w:val="22"/>
                <w:szCs w:val="22"/>
                <w:u w:val="none"/>
                <w:lang w:val="en-US" w:eastAsia="zh-CN" w:bidi="ar"/>
              </w:rPr>
              <w:t>Study period</w:t>
            </w:r>
          </w:p>
        </w:tc>
        <w:tc>
          <w:tcPr>
            <w:tcW w:w="623" w:type="pct"/>
            <w:vMerge w:val="restar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sz w:val="22"/>
                <w:szCs w:val="22"/>
                <w:u w:val="none"/>
              </w:rPr>
            </w:pPr>
            <w:r>
              <w:rPr>
                <w:rFonts w:hint="default" w:ascii="Times New Roman Bold" w:hAnsi="Times New Roman Bold" w:eastAsia="宋体" w:cs="Times New Roman Bold"/>
                <w:b/>
                <w:bCs/>
                <w:i w:val="0"/>
                <w:iCs w:val="0"/>
                <w:color w:val="000000"/>
                <w:kern w:val="0"/>
                <w:sz w:val="22"/>
                <w:szCs w:val="22"/>
                <w:u w:val="none"/>
                <w:lang w:val="en-US" w:eastAsia="zh-CN" w:bidi="ar"/>
              </w:rPr>
              <w:t>Study design</w:t>
            </w:r>
          </w:p>
        </w:tc>
        <w:tc>
          <w:tcPr>
            <w:tcW w:w="230" w:type="pct"/>
            <w:vMerge w:val="restar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sz w:val="22"/>
                <w:szCs w:val="22"/>
                <w:u w:val="none"/>
              </w:rPr>
            </w:pPr>
            <w:r>
              <w:rPr>
                <w:rFonts w:hint="default" w:ascii="Times New Roman Bold" w:hAnsi="Times New Roman Bold" w:eastAsia="宋体" w:cs="Times New Roman Bold"/>
                <w:b/>
                <w:bCs/>
                <w:i w:val="0"/>
                <w:iCs w:val="0"/>
                <w:color w:val="000000"/>
                <w:kern w:val="0"/>
                <w:sz w:val="22"/>
                <w:szCs w:val="22"/>
                <w:u w:val="none"/>
                <w:lang w:val="en-US" w:eastAsia="zh-CN" w:bidi="ar"/>
              </w:rPr>
              <w:t>Time</w:t>
            </w:r>
          </w:p>
        </w:tc>
        <w:tc>
          <w:tcPr>
            <w:tcW w:w="281" w:type="pct"/>
            <w:vMerge w:val="restar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sz w:val="22"/>
                <w:szCs w:val="22"/>
                <w:u w:val="none"/>
              </w:rPr>
            </w:pPr>
            <w:r>
              <w:rPr>
                <w:rFonts w:hint="default" w:ascii="Times New Roman Bold" w:hAnsi="Times New Roman Bold" w:eastAsia="宋体" w:cs="Times New Roman Bold"/>
                <w:b/>
                <w:bCs/>
                <w:i w:val="0"/>
                <w:iCs w:val="0"/>
                <w:color w:val="000000"/>
                <w:kern w:val="0"/>
                <w:sz w:val="22"/>
                <w:szCs w:val="22"/>
                <w:u w:val="none"/>
                <w:lang w:val="en-US" w:eastAsia="zh-CN" w:bidi="ar"/>
              </w:rPr>
              <w:t>Center</w:t>
            </w:r>
          </w:p>
        </w:tc>
        <w:tc>
          <w:tcPr>
            <w:tcW w:w="563" w:type="pct"/>
            <w:vMerge w:val="restar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sz w:val="22"/>
                <w:szCs w:val="22"/>
                <w:u w:val="none"/>
              </w:rPr>
            </w:pPr>
            <w:r>
              <w:rPr>
                <w:rFonts w:hint="default" w:ascii="Times New Roman Bold" w:hAnsi="Times New Roman Bold" w:eastAsia="宋体" w:cs="Times New Roman Bold"/>
                <w:b/>
                <w:bCs/>
                <w:i w:val="0"/>
                <w:iCs w:val="0"/>
                <w:color w:val="000000"/>
                <w:kern w:val="0"/>
                <w:sz w:val="22"/>
                <w:szCs w:val="22"/>
                <w:u w:val="none"/>
                <w:lang w:val="en-US" w:eastAsia="zh-CN" w:bidi="ar"/>
              </w:rPr>
              <w:t>Age</w:t>
            </w:r>
          </w:p>
        </w:tc>
        <w:tc>
          <w:tcPr>
            <w:tcW w:w="366" w:type="pct"/>
            <w:gridSpan w:val="2"/>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Bold" w:hAnsi="Times New Roman Bold" w:eastAsia="宋体" w:cs="Times New Roman Bold"/>
                <w:b/>
                <w:bCs/>
                <w:i w:val="0"/>
                <w:iCs w:val="0"/>
                <w:color w:val="000000"/>
                <w:sz w:val="22"/>
                <w:szCs w:val="22"/>
                <w:u w:val="none"/>
              </w:rPr>
            </w:pPr>
            <w:r>
              <w:rPr>
                <w:rFonts w:hint="default" w:ascii="Times New Roman Bold" w:hAnsi="Times New Roman Bold" w:eastAsia="宋体" w:cs="Times New Roman Bold"/>
                <w:b/>
                <w:bCs/>
                <w:i w:val="0"/>
                <w:iCs w:val="0"/>
                <w:color w:val="000000"/>
                <w:kern w:val="0"/>
                <w:sz w:val="22"/>
                <w:szCs w:val="22"/>
                <w:u w:val="none"/>
                <w:lang w:val="en-US" w:eastAsia="zh-CN" w:bidi="ar"/>
              </w:rPr>
              <w:t>Gender</w:t>
            </w:r>
          </w:p>
        </w:tc>
        <w:tc>
          <w:tcPr>
            <w:tcW w:w="423" w:type="pct"/>
            <w:vMerge w:val="restar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val="en-US" w:eastAsia="zh-CN" w:bidi="ar"/>
              </w:rPr>
            </w:pPr>
            <w:r>
              <w:rPr>
                <w:rFonts w:hint="default" w:ascii="Times New Roman Bold" w:hAnsi="Times New Roman Bold" w:eastAsia="宋体" w:cs="Times New Roman Bold"/>
                <w:b/>
                <w:bCs/>
                <w:i w:val="0"/>
                <w:iCs w:val="0"/>
                <w:color w:val="000000"/>
                <w:kern w:val="0"/>
                <w:sz w:val="22"/>
                <w:szCs w:val="22"/>
                <w:u w:val="none"/>
                <w:lang w:val="en-US" w:eastAsia="zh-CN" w:bidi="ar"/>
              </w:rPr>
              <w:t>Country</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eastAsia="zh-CN" w:bidi="ar"/>
              </w:rPr>
            </w:pPr>
            <w:r>
              <w:rPr>
                <w:rFonts w:hint="default" w:ascii="Times New Roman Bold" w:hAnsi="Times New Roman Bold" w:eastAsia="宋体" w:cs="Times New Roman Bold"/>
                <w:b/>
                <w:bCs/>
                <w:i w:val="0"/>
                <w:iCs w:val="0"/>
                <w:color w:val="000000"/>
                <w:kern w:val="0"/>
                <w:sz w:val="22"/>
                <w:szCs w:val="22"/>
                <w:u w:val="none"/>
                <w:lang w:eastAsia="zh-CN" w:bidi="ar"/>
              </w:rPr>
              <w:t>(Genotype)</w:t>
            </w:r>
          </w:p>
        </w:tc>
        <w:tc>
          <w:tcPr>
            <w:tcW w:w="732" w:type="pct"/>
            <w:gridSpan w:val="4"/>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sz w:val="22"/>
                <w:szCs w:val="22"/>
                <w:u w:val="none"/>
              </w:rPr>
            </w:pPr>
            <w:r>
              <w:rPr>
                <w:rFonts w:hint="default" w:ascii="Times New Roman Bold" w:hAnsi="Times New Roman Bold" w:eastAsia="宋体" w:cs="Times New Roman Bold"/>
                <w:b/>
                <w:bCs/>
                <w:i w:val="0"/>
                <w:iCs w:val="0"/>
                <w:color w:val="000000"/>
                <w:sz w:val="22"/>
                <w:szCs w:val="22"/>
                <w:u w:val="none"/>
              </w:rPr>
              <w:t>Non-pregnant group</w:t>
            </w:r>
          </w:p>
        </w:tc>
        <w:tc>
          <w:tcPr>
            <w:tcW w:w="744" w:type="pct"/>
            <w:gridSpan w:val="4"/>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auto"/>
                <w:sz w:val="22"/>
                <w:szCs w:val="22"/>
                <w:u w:val="none"/>
              </w:rPr>
            </w:pPr>
            <w:r>
              <w:rPr>
                <w:rFonts w:hint="default" w:ascii="Times New Roman Bold" w:hAnsi="Times New Roman Bold" w:eastAsia="宋体" w:cs="Times New Roman Bold"/>
                <w:b/>
                <w:bCs/>
                <w:i w:val="0"/>
                <w:iCs w:val="0"/>
                <w:color w:val="auto"/>
                <w:sz w:val="22"/>
                <w:szCs w:val="22"/>
                <w:u w:val="none"/>
              </w:rPr>
              <w:t>Pregnant group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4" w:hRule="atLeast"/>
        </w:trPr>
        <w:tc>
          <w:tcPr>
            <w:tcW w:w="566" w:type="pct"/>
            <w:vMerge w:val="continue"/>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val="en-US" w:eastAsia="zh-CN" w:bidi="ar"/>
              </w:rPr>
            </w:pPr>
          </w:p>
        </w:tc>
        <w:tc>
          <w:tcPr>
            <w:tcW w:w="467" w:type="pct"/>
            <w:vMerge w:val="continue"/>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val="en-US" w:eastAsia="zh-CN" w:bidi="ar"/>
              </w:rPr>
            </w:pPr>
          </w:p>
        </w:tc>
        <w:tc>
          <w:tcPr>
            <w:tcW w:w="623" w:type="pct"/>
            <w:vMerge w:val="continue"/>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val="en-US" w:eastAsia="zh-CN" w:bidi="ar"/>
              </w:rPr>
            </w:pPr>
          </w:p>
        </w:tc>
        <w:tc>
          <w:tcPr>
            <w:tcW w:w="230" w:type="pct"/>
            <w:vMerge w:val="continue"/>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val="en-US" w:eastAsia="zh-CN" w:bidi="ar"/>
              </w:rPr>
            </w:pPr>
          </w:p>
        </w:tc>
        <w:tc>
          <w:tcPr>
            <w:tcW w:w="281" w:type="pct"/>
            <w:vMerge w:val="continue"/>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val="en-US" w:eastAsia="zh-CN" w:bidi="ar"/>
              </w:rPr>
            </w:pPr>
          </w:p>
        </w:tc>
        <w:tc>
          <w:tcPr>
            <w:tcW w:w="563" w:type="pct"/>
            <w:vMerge w:val="continue"/>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val="en-US" w:eastAsia="zh-CN" w:bidi="ar"/>
              </w:rPr>
            </w:pPr>
          </w:p>
        </w:tc>
        <w:tc>
          <w:tcPr>
            <w:tcW w:w="179"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2"/>
                <w:sz w:val="22"/>
                <w:szCs w:val="22"/>
                <w:u w:val="none"/>
                <w:lang w:val="en-US" w:eastAsia="zh-CN" w:bidi="ar-SA"/>
              </w:rPr>
            </w:pPr>
            <w:r>
              <w:rPr>
                <w:rFonts w:hint="default" w:ascii="Times New Roman Bold" w:hAnsi="Times New Roman Bold" w:eastAsia="宋体" w:cs="Times New Roman Bold"/>
                <w:b/>
                <w:bCs/>
                <w:i w:val="0"/>
                <w:iCs w:val="0"/>
                <w:color w:val="000000"/>
                <w:kern w:val="0"/>
                <w:sz w:val="22"/>
                <w:szCs w:val="22"/>
                <w:u w:val="none"/>
                <w:lang w:val="en-US" w:eastAsia="zh-CN" w:bidi="ar"/>
              </w:rPr>
              <w:t>M</w:t>
            </w:r>
          </w:p>
        </w:tc>
        <w:tc>
          <w:tcPr>
            <w:tcW w:w="187"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2"/>
                <w:sz w:val="22"/>
                <w:szCs w:val="22"/>
                <w:u w:val="none"/>
                <w:lang w:val="en-US" w:eastAsia="zh-CN" w:bidi="ar-SA"/>
              </w:rPr>
            </w:pPr>
            <w:r>
              <w:rPr>
                <w:rFonts w:hint="default" w:ascii="Times New Roman Bold" w:hAnsi="Times New Roman Bold" w:eastAsia="宋体" w:cs="Times New Roman Bold"/>
                <w:b/>
                <w:bCs/>
                <w:i w:val="0"/>
                <w:iCs w:val="0"/>
                <w:color w:val="000000"/>
                <w:kern w:val="0"/>
                <w:sz w:val="22"/>
                <w:szCs w:val="22"/>
                <w:u w:val="none"/>
                <w:lang w:val="en-US" w:eastAsia="zh-CN" w:bidi="ar"/>
              </w:rPr>
              <w:t>F</w:t>
            </w:r>
          </w:p>
        </w:tc>
        <w:tc>
          <w:tcPr>
            <w:tcW w:w="423" w:type="pct"/>
            <w:vMerge w:val="continue"/>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val="en-US" w:eastAsia="zh-CN" w:bidi="ar"/>
              </w:rPr>
            </w:pPr>
          </w:p>
        </w:tc>
        <w:tc>
          <w:tcPr>
            <w:tcW w:w="19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eastAsia="zh-CN" w:bidi="ar"/>
              </w:rPr>
            </w:pPr>
            <w:r>
              <w:rPr>
                <w:rFonts w:hint="default" w:ascii="Times New Roman Bold" w:hAnsi="Times New Roman Bold" w:eastAsia="宋体" w:cs="Times New Roman Bold"/>
                <w:b/>
                <w:bCs/>
                <w:i w:val="0"/>
                <w:iCs w:val="0"/>
                <w:color w:val="000000"/>
                <w:kern w:val="0"/>
                <w:sz w:val="22"/>
                <w:szCs w:val="22"/>
                <w:u w:val="none"/>
                <w:lang w:eastAsia="zh-CN" w:bidi="ar"/>
              </w:rPr>
              <w:t>A</w:t>
            </w:r>
          </w:p>
        </w:tc>
        <w:tc>
          <w:tcPr>
            <w:tcW w:w="178"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eastAsia="zh-CN" w:bidi="ar"/>
              </w:rPr>
            </w:pPr>
            <w:r>
              <w:rPr>
                <w:rFonts w:hint="default" w:ascii="Times New Roman Bold" w:hAnsi="Times New Roman Bold" w:eastAsia="宋体" w:cs="Times New Roman Bold"/>
                <w:b/>
                <w:bCs/>
                <w:i w:val="0"/>
                <w:iCs w:val="0"/>
                <w:color w:val="000000"/>
                <w:kern w:val="0"/>
                <w:sz w:val="22"/>
                <w:szCs w:val="22"/>
                <w:u w:val="none"/>
                <w:lang w:eastAsia="zh-CN" w:bidi="ar"/>
              </w:rPr>
              <w:t>B</w:t>
            </w:r>
          </w:p>
        </w:tc>
        <w:tc>
          <w:tcPr>
            <w:tcW w:w="180"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eastAsia="zh-CN" w:bidi="ar"/>
              </w:rPr>
            </w:pPr>
            <w:r>
              <w:rPr>
                <w:rFonts w:hint="default" w:ascii="Times New Roman Bold" w:hAnsi="Times New Roman Bold" w:eastAsia="宋体" w:cs="Times New Roman Bold"/>
                <w:b/>
                <w:bCs/>
                <w:i w:val="0"/>
                <w:iCs w:val="0"/>
                <w:color w:val="000000"/>
                <w:kern w:val="0"/>
                <w:sz w:val="22"/>
                <w:szCs w:val="22"/>
                <w:u w:val="none"/>
                <w:lang w:eastAsia="zh-CN" w:bidi="ar"/>
              </w:rPr>
              <w:t>C</w:t>
            </w:r>
          </w:p>
        </w:tc>
        <w:tc>
          <w:tcPr>
            <w:tcW w:w="183"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eastAsia="zh-CN" w:bidi="ar"/>
              </w:rPr>
            </w:pPr>
            <w:r>
              <w:rPr>
                <w:rFonts w:hint="default" w:ascii="Times New Roman Bold" w:hAnsi="Times New Roman Bold" w:eastAsia="宋体" w:cs="Times New Roman Bold"/>
                <w:b/>
                <w:bCs/>
                <w:i w:val="0"/>
                <w:iCs w:val="0"/>
                <w:color w:val="000000"/>
                <w:kern w:val="0"/>
                <w:sz w:val="22"/>
                <w:szCs w:val="22"/>
                <w:u w:val="none"/>
                <w:lang w:eastAsia="zh-CN" w:bidi="ar"/>
              </w:rPr>
              <w:t>D</w:t>
            </w:r>
          </w:p>
        </w:tc>
        <w:tc>
          <w:tcPr>
            <w:tcW w:w="19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auto"/>
                <w:kern w:val="0"/>
                <w:sz w:val="22"/>
                <w:szCs w:val="22"/>
                <w:u w:val="none"/>
                <w:lang w:eastAsia="zh-CN" w:bidi="ar"/>
              </w:rPr>
            </w:pPr>
            <w:r>
              <w:rPr>
                <w:rFonts w:hint="default" w:ascii="Times New Roman Bold" w:hAnsi="Times New Roman Bold" w:eastAsia="宋体" w:cs="Times New Roman Bold"/>
                <w:b/>
                <w:bCs/>
                <w:i w:val="0"/>
                <w:iCs w:val="0"/>
                <w:color w:val="auto"/>
                <w:kern w:val="0"/>
                <w:sz w:val="22"/>
                <w:szCs w:val="22"/>
                <w:u w:val="none"/>
                <w:lang w:eastAsia="zh-CN" w:bidi="ar"/>
              </w:rPr>
              <w:t>A</w:t>
            </w:r>
          </w:p>
        </w:tc>
        <w:tc>
          <w:tcPr>
            <w:tcW w:w="19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eastAsia="zh-CN" w:bidi="ar"/>
              </w:rPr>
            </w:pPr>
            <w:r>
              <w:rPr>
                <w:rFonts w:hint="default" w:ascii="Times New Roman Bold" w:hAnsi="Times New Roman Bold" w:eastAsia="宋体" w:cs="Times New Roman Bold"/>
                <w:b/>
                <w:bCs/>
                <w:i w:val="0"/>
                <w:iCs w:val="0"/>
                <w:color w:val="000000"/>
                <w:kern w:val="0"/>
                <w:sz w:val="22"/>
                <w:szCs w:val="22"/>
                <w:u w:val="none"/>
                <w:lang w:eastAsia="zh-CN" w:bidi="ar"/>
              </w:rPr>
              <w:t>B</w:t>
            </w:r>
          </w:p>
        </w:tc>
        <w:tc>
          <w:tcPr>
            <w:tcW w:w="183"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eastAsia="zh-CN" w:bidi="ar"/>
              </w:rPr>
            </w:pPr>
            <w:r>
              <w:rPr>
                <w:rFonts w:hint="default" w:ascii="Times New Roman Bold" w:hAnsi="Times New Roman Bold" w:eastAsia="宋体" w:cs="Times New Roman Bold"/>
                <w:b/>
                <w:bCs/>
                <w:i w:val="0"/>
                <w:iCs w:val="0"/>
                <w:color w:val="000000"/>
                <w:kern w:val="0"/>
                <w:sz w:val="22"/>
                <w:szCs w:val="22"/>
                <w:u w:val="none"/>
                <w:lang w:eastAsia="zh-CN" w:bidi="ar"/>
              </w:rPr>
              <w:t>C</w:t>
            </w:r>
          </w:p>
        </w:tc>
        <w:tc>
          <w:tcPr>
            <w:tcW w:w="179"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Bold" w:hAnsi="Times New Roman Bold" w:eastAsia="宋体" w:cs="Times New Roman Bold"/>
                <w:b/>
                <w:bCs/>
                <w:i w:val="0"/>
                <w:iCs w:val="0"/>
                <w:color w:val="000000"/>
                <w:kern w:val="0"/>
                <w:sz w:val="22"/>
                <w:szCs w:val="22"/>
                <w:u w:val="none"/>
                <w:lang w:eastAsia="zh-CN" w:bidi="ar"/>
              </w:rPr>
            </w:pPr>
            <w:r>
              <w:rPr>
                <w:rFonts w:hint="default" w:ascii="Times New Roman Bold" w:hAnsi="Times New Roman Bold" w:eastAsia="宋体" w:cs="Times New Roman Bold"/>
                <w:b/>
                <w:bCs/>
                <w:i w:val="0"/>
                <w:iCs w:val="0"/>
                <w:color w:val="000000"/>
                <w:kern w:val="0"/>
                <w:sz w:val="22"/>
                <w:szCs w:val="22"/>
                <w:u w:val="none"/>
                <w:lang w:eastAsia="zh-CN" w:bidi="ar"/>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trPr>
        <w:tc>
          <w:tcPr>
            <w:tcW w:w="566"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Karna, 2020</w:t>
            </w:r>
          </w:p>
        </w:tc>
        <w:tc>
          <w:tcPr>
            <w:tcW w:w="467"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2005</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-2010</w:t>
            </w:r>
          </w:p>
        </w:tc>
        <w:tc>
          <w:tcPr>
            <w:tcW w:w="623"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563"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0</w:t>
            </w:r>
          </w:p>
        </w:tc>
        <w:tc>
          <w:tcPr>
            <w:tcW w:w="187"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213</w:t>
            </w:r>
          </w:p>
        </w:tc>
        <w:tc>
          <w:tcPr>
            <w:tcW w:w="423"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eastAsia="zh-CN" w:bidi="ar"/>
              </w:rPr>
            </w:pPr>
            <w:r>
              <w:rPr>
                <w:rFonts w:hint="default" w:ascii="Times New Roman Regular" w:hAnsi="Times New Roman Regular" w:eastAsia="宋体" w:cs="Times New Roman Regular"/>
                <w:i w:val="0"/>
                <w:iCs w:val="0"/>
                <w:color w:val="000000"/>
                <w:kern w:val="0"/>
                <w:sz w:val="22"/>
                <w:szCs w:val="22"/>
                <w:u w:val="none"/>
                <w:lang w:eastAsia="zh-CN" w:bidi="ar"/>
              </w:rPr>
              <w:t>(GT1)</w:t>
            </w:r>
          </w:p>
        </w:tc>
        <w:tc>
          <w:tcPr>
            <w:tcW w:w="191"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111</w:t>
            </w:r>
          </w:p>
        </w:tc>
        <w:tc>
          <w:tcPr>
            <w:tcW w:w="178"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266</w:t>
            </w:r>
          </w:p>
        </w:tc>
        <w:tc>
          <w:tcPr>
            <w:tcW w:w="180"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181</w:t>
            </w:r>
          </w:p>
        </w:tc>
        <w:tc>
          <w:tcPr>
            <w:tcW w:w="183"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102</w:t>
            </w:r>
          </w:p>
        </w:tc>
        <w:tc>
          <w:tcPr>
            <w:tcW w:w="191"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442</w:t>
            </w:r>
          </w:p>
        </w:tc>
        <w:tc>
          <w:tcPr>
            <w:tcW w:w="183"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139</w:t>
            </w:r>
          </w:p>
        </w:tc>
        <w:tc>
          <w:tcPr>
            <w:tcW w:w="179" w:type="pct"/>
            <w:tcBorders>
              <w:top w:val="single" w:color="auto" w:sz="4"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You, 2013</w:t>
            </w:r>
          </w:p>
        </w:tc>
        <w:tc>
          <w:tcPr>
            <w:tcW w:w="46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2002</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-2011</w:t>
            </w:r>
          </w:p>
        </w:tc>
        <w:tc>
          <w:tcPr>
            <w:tcW w:w="6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56.1 ± 14.3</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66</w:t>
            </w:r>
          </w:p>
        </w:tc>
        <w:tc>
          <w:tcPr>
            <w:tcW w:w="18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4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China</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12</w:t>
            </w:r>
          </w:p>
        </w:tc>
        <w:tc>
          <w:tcPr>
            <w:tcW w:w="178"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114</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80" w:hRule="atLeast"/>
        </w:trPr>
        <w:tc>
          <w:tcPr>
            <w:tcW w:w="566"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Begum, 2010</w:t>
            </w:r>
          </w:p>
        </w:tc>
        <w:tc>
          <w:tcPr>
            <w:tcW w:w="46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2006</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-2007</w:t>
            </w:r>
          </w:p>
        </w:tc>
        <w:tc>
          <w:tcPr>
            <w:tcW w:w="6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r>
              <w:rPr>
                <w:rFonts w:hint="default" w:ascii="Times New Roman Regular" w:hAnsi="Times New Roman Regular" w:eastAsia="宋体" w:cs="Times New Roman Regular"/>
                <w:i w:val="0"/>
                <w:iCs w:val="0"/>
                <w:color w:val="000000"/>
                <w:kern w:val="0"/>
                <w:sz w:val="22"/>
                <w:szCs w:val="22"/>
                <w:u w:val="none"/>
                <w:lang w:eastAsia="zh-CN" w:bidi="ar"/>
              </w:rPr>
              <w:t xml:space="preserve">: </w:t>
            </w:r>
            <w:r>
              <w:rPr>
                <w:rFonts w:hint="default" w:ascii="Times New Roman Regular" w:hAnsi="Times New Roman Regular" w:eastAsia="宋体" w:cs="Times New Roman Regular"/>
                <w:i w:val="0"/>
                <w:iCs w:val="0"/>
                <w:color w:val="000000"/>
                <w:kern w:val="0"/>
                <w:sz w:val="22"/>
                <w:szCs w:val="22"/>
                <w:u w:val="none"/>
                <w:lang w:val="en-US" w:eastAsia="zh-CN" w:bidi="ar"/>
              </w:rPr>
              <w:t>23.7±3.4；</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NP</w:t>
            </w:r>
            <w:r>
              <w:rPr>
                <w:rFonts w:hint="default" w:ascii="Times New Roman Regular" w:hAnsi="Times New Roman Regular" w:eastAsia="宋体" w:cs="Times New Roman Regular"/>
                <w:i w:val="0"/>
                <w:iCs w:val="0"/>
                <w:color w:val="000000"/>
                <w:kern w:val="0"/>
                <w:sz w:val="22"/>
                <w:szCs w:val="22"/>
                <w:u w:val="none"/>
                <w:lang w:eastAsia="zh-CN" w:bidi="ar"/>
              </w:rPr>
              <w:t xml:space="preserve">: </w:t>
            </w:r>
            <w:r>
              <w:rPr>
                <w:rFonts w:hint="default" w:ascii="Times New Roman Regular" w:hAnsi="Times New Roman Regular" w:eastAsia="宋体" w:cs="Times New Roman Regular"/>
                <w:i w:val="0"/>
                <w:iCs w:val="0"/>
                <w:color w:val="000000"/>
                <w:kern w:val="0"/>
                <w:sz w:val="22"/>
                <w:szCs w:val="22"/>
                <w:u w:val="none"/>
                <w:lang w:val="en-US" w:eastAsia="zh-CN" w:bidi="ar"/>
              </w:rPr>
              <w:t>21.7±2.9；</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0</w:t>
            </w:r>
          </w:p>
        </w:tc>
        <w:tc>
          <w:tcPr>
            <w:tcW w:w="18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25</w:t>
            </w:r>
          </w:p>
        </w:tc>
        <w:tc>
          <w:tcPr>
            <w:tcW w:w="4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eastAsia="zh-CN" w:bidi="ar"/>
              </w:rPr>
            </w:pPr>
            <w:r>
              <w:rPr>
                <w:rFonts w:hint="default" w:ascii="Times New Roman Regular" w:hAnsi="Times New Roman Regular" w:eastAsia="宋体" w:cs="Times New Roman Regular"/>
                <w:i w:val="0"/>
                <w:iCs w:val="0"/>
                <w:color w:val="000000"/>
                <w:kern w:val="0"/>
                <w:sz w:val="22"/>
                <w:szCs w:val="22"/>
                <w:u w:val="none"/>
                <w:lang w:eastAsia="zh-CN" w:bidi="ar"/>
              </w:rPr>
              <w:t>(GT1)</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w:t>
            </w:r>
          </w:p>
        </w:tc>
        <w:tc>
          <w:tcPr>
            <w:tcW w:w="178"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31</w:t>
            </w:r>
          </w:p>
        </w:tc>
        <w:tc>
          <w:tcPr>
            <w:tcW w:w="18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15</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39</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Wang, 2019</w:t>
            </w:r>
          </w:p>
        </w:tc>
        <w:tc>
          <w:tcPr>
            <w:tcW w:w="46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2012</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-2018</w:t>
            </w:r>
          </w:p>
        </w:tc>
        <w:tc>
          <w:tcPr>
            <w:tcW w:w="6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eastAsia" w:ascii="Times New Roman Regular" w:hAnsi="Times New Roman Regular" w:cs="Times New Roman Regular"/>
                <w:i w:val="0"/>
                <w:iCs w:val="0"/>
                <w:color w:val="000000"/>
                <w:kern w:val="0"/>
                <w:sz w:val="22"/>
                <w:szCs w:val="22"/>
                <w:u w:val="none"/>
                <w:lang w:val="en-US" w:eastAsia="zh-Hans" w:bidi="ar"/>
              </w:rPr>
              <w:t>nested</w:t>
            </w:r>
            <w:r>
              <w:rPr>
                <w:rFonts w:hint="default" w:ascii="Times New Roman Regular" w:hAnsi="Times New Roman Regular" w:cs="Times New Roman Regular"/>
                <w:i w:val="0"/>
                <w:iCs w:val="0"/>
                <w:color w:val="000000"/>
                <w:kern w:val="0"/>
                <w:sz w:val="22"/>
                <w:szCs w:val="22"/>
                <w:u w:val="none"/>
                <w:lang w:eastAsia="zh-Hans" w:bidi="ar"/>
              </w:rPr>
              <w:t xml:space="preserve"> </w:t>
            </w:r>
            <w:r>
              <w:rPr>
                <w:rFonts w:hint="default" w:ascii="Times New Roman Regular" w:hAnsi="Times New Roman Regular" w:eastAsia="宋体" w:cs="Times New Roman Regular"/>
                <w:i w:val="0"/>
                <w:iCs w:val="0"/>
                <w:color w:val="000000"/>
                <w:kern w:val="0"/>
                <w:sz w:val="22"/>
                <w:szCs w:val="22"/>
                <w:u w:val="none"/>
                <w:lang w:val="en-US" w:eastAsia="zh-CN" w:bidi="ar"/>
              </w:rPr>
              <w:t>case-control</w:t>
            </w:r>
          </w:p>
        </w:tc>
        <w:tc>
          <w:tcPr>
            <w:tcW w:w="23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55.15 ± 9.30</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78</w:t>
            </w:r>
          </w:p>
        </w:tc>
        <w:tc>
          <w:tcPr>
            <w:tcW w:w="18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4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China</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eastAsia="zh-CN" w:bidi="ar"/>
              </w:rPr>
            </w:pPr>
            <w:r>
              <w:rPr>
                <w:rFonts w:hint="default" w:ascii="Times New Roman Regular" w:hAnsi="Times New Roman Regular" w:eastAsia="宋体" w:cs="Times New Roman Regular"/>
                <w:i w:val="0"/>
                <w:iCs w:val="0"/>
                <w:color w:val="000000"/>
                <w:kern w:val="0"/>
                <w:sz w:val="22"/>
                <w:szCs w:val="22"/>
                <w:u w:val="none"/>
                <w:lang w:eastAsia="zh-CN" w:bidi="ar"/>
              </w:rPr>
              <w:t>(GT4)</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35</w:t>
            </w:r>
          </w:p>
        </w:tc>
        <w:tc>
          <w:tcPr>
            <w:tcW w:w="178"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809</w:t>
            </w:r>
          </w:p>
        </w:tc>
        <w:tc>
          <w:tcPr>
            <w:tcW w:w="18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Salam, 2013</w:t>
            </w:r>
          </w:p>
        </w:tc>
        <w:tc>
          <w:tcPr>
            <w:tcW w:w="46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2008</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-2011</w:t>
            </w:r>
          </w:p>
        </w:tc>
        <w:tc>
          <w:tcPr>
            <w:tcW w:w="6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0</w:t>
            </w:r>
          </w:p>
        </w:tc>
        <w:tc>
          <w:tcPr>
            <w:tcW w:w="18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60</w:t>
            </w:r>
          </w:p>
        </w:tc>
        <w:tc>
          <w:tcPr>
            <w:tcW w:w="4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17</w:t>
            </w:r>
          </w:p>
        </w:tc>
        <w:tc>
          <w:tcPr>
            <w:tcW w:w="178"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74</w:t>
            </w:r>
          </w:p>
        </w:tc>
        <w:tc>
          <w:tcPr>
            <w:tcW w:w="18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43</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148</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57</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Asim, 2010</w:t>
            </w:r>
          </w:p>
        </w:tc>
        <w:tc>
          <w:tcPr>
            <w:tcW w:w="46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2001</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-2004</w:t>
            </w:r>
          </w:p>
        </w:tc>
        <w:tc>
          <w:tcPr>
            <w:tcW w:w="6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4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21</w:t>
            </w:r>
          </w:p>
        </w:tc>
        <w:tc>
          <w:tcPr>
            <w:tcW w:w="178"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49</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Alam, 2009</w:t>
            </w:r>
          </w:p>
        </w:tc>
        <w:tc>
          <w:tcPr>
            <w:tcW w:w="46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2003</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-2008</w:t>
            </w:r>
          </w:p>
        </w:tc>
        <w:tc>
          <w:tcPr>
            <w:tcW w:w="6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56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4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Bangladesh</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43</w:t>
            </w:r>
          </w:p>
        </w:tc>
        <w:tc>
          <w:tcPr>
            <w:tcW w:w="178"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67</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28</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80" w:hRule="atLeast"/>
        </w:trPr>
        <w:tc>
          <w:tcPr>
            <w:tcW w:w="566"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Borkakoti, 2013</w:t>
            </w:r>
          </w:p>
        </w:tc>
        <w:tc>
          <w:tcPr>
            <w:tcW w:w="46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2006</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-2011</w:t>
            </w:r>
          </w:p>
        </w:tc>
        <w:tc>
          <w:tcPr>
            <w:tcW w:w="6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CCCCCC"/>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Regular" w:hAnsi="Times New Roman Regular" w:eastAsia="宋体" w:cs="Times New Roman Regular"/>
                <w:i w:val="0"/>
                <w:iCs w:val="0"/>
                <w:color w:val="000000"/>
                <w:kern w:val="0"/>
                <w:sz w:val="22"/>
                <w:szCs w:val="22"/>
                <w:u w:val="none"/>
                <w:lang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P:24.6±3.78</w:t>
            </w:r>
            <w:r>
              <w:rPr>
                <w:rFonts w:hint="default" w:ascii="Times New Roman Regular" w:hAnsi="Times New Roman Regular" w:eastAsia="宋体" w:cs="Times New Roman Regular"/>
                <w:i w:val="0"/>
                <w:iCs w:val="0"/>
                <w:color w:val="000000"/>
                <w:kern w:val="0"/>
                <w:sz w:val="22"/>
                <w:szCs w:val="22"/>
                <w:u w:val="none"/>
                <w:lang w:eastAsia="zh-CN" w:bidi="ar"/>
              </w:rPr>
              <w:t>;</w:t>
            </w:r>
          </w:p>
          <w:p>
            <w:pPr>
              <w:keepNext w:val="0"/>
              <w:keepLines w:val="0"/>
              <w:widowControl/>
              <w:suppressLineNumbers w:val="0"/>
              <w:spacing w:before="0" w:beforeAutospacing="0" w:after="0" w:afterAutospacing="0" w:line="240" w:lineRule="auto"/>
              <w:ind w:left="0" w:right="0"/>
              <w:jc w:val="left"/>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NP:26.5±4.78</w:t>
            </w:r>
            <w:r>
              <w:rPr>
                <w:rFonts w:hint="default" w:ascii="Times New Roman Regular" w:hAnsi="Times New Roman Regular" w:eastAsia="宋体" w:cs="Times New Roman Regular"/>
                <w:i w:val="0"/>
                <w:iCs w:val="0"/>
                <w:color w:val="000000"/>
                <w:kern w:val="0"/>
                <w:sz w:val="22"/>
                <w:szCs w:val="22"/>
                <w:u w:val="none"/>
                <w:lang w:eastAsia="zh-CN" w:bidi="ar"/>
              </w:rPr>
              <w:t>;</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M:26.75±15.39</w:t>
            </w:r>
            <w:r>
              <w:rPr>
                <w:rFonts w:hint="default" w:ascii="Times New Roman Regular" w:hAnsi="Times New Roman Regular" w:eastAsia="宋体" w:cs="Times New Roman Regular"/>
                <w:i w:val="0"/>
                <w:iCs w:val="0"/>
                <w:color w:val="000000"/>
                <w:kern w:val="0"/>
                <w:sz w:val="22"/>
                <w:szCs w:val="22"/>
                <w:u w:val="none"/>
                <w:lang w:eastAsia="zh-CN" w:bidi="ar"/>
              </w:rPr>
              <w:t>;</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12</w:t>
            </w:r>
          </w:p>
        </w:tc>
        <w:tc>
          <w:tcPr>
            <w:tcW w:w="18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151</w:t>
            </w:r>
          </w:p>
        </w:tc>
        <w:tc>
          <w:tcPr>
            <w:tcW w:w="4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eastAsia="zh-CN" w:bidi="ar"/>
              </w:rPr>
            </w:pPr>
            <w:r>
              <w:rPr>
                <w:rFonts w:hint="default" w:ascii="Times New Roman Regular" w:hAnsi="Times New Roman Regular" w:eastAsia="宋体" w:cs="Times New Roman Regular"/>
                <w:i w:val="0"/>
                <w:iCs w:val="0"/>
                <w:color w:val="000000"/>
                <w:kern w:val="0"/>
                <w:sz w:val="22"/>
                <w:szCs w:val="22"/>
                <w:u w:val="none"/>
                <w:lang w:eastAsia="zh-CN" w:bidi="ar"/>
              </w:rPr>
              <w:t>(GT1)</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58</w:t>
            </w:r>
          </w:p>
        </w:tc>
        <w:tc>
          <w:tcPr>
            <w:tcW w:w="178"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568</w:t>
            </w:r>
          </w:p>
        </w:tc>
        <w:tc>
          <w:tcPr>
            <w:tcW w:w="18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170</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12</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105</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325</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160</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Mishra, 2016</w:t>
            </w:r>
          </w:p>
        </w:tc>
        <w:tc>
          <w:tcPr>
            <w:tcW w:w="46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2013</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-2015</w:t>
            </w:r>
          </w:p>
        </w:tc>
        <w:tc>
          <w:tcPr>
            <w:tcW w:w="6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28.41±10.62</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14</w:t>
            </w:r>
          </w:p>
        </w:tc>
        <w:tc>
          <w:tcPr>
            <w:tcW w:w="18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8</w:t>
            </w:r>
          </w:p>
        </w:tc>
        <w:tc>
          <w:tcPr>
            <w:tcW w:w="4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17</w:t>
            </w:r>
          </w:p>
        </w:tc>
        <w:tc>
          <w:tcPr>
            <w:tcW w:w="178"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62</w:t>
            </w:r>
          </w:p>
        </w:tc>
        <w:tc>
          <w:tcPr>
            <w:tcW w:w="18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31</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8</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Shinde, 2014</w:t>
            </w:r>
          </w:p>
        </w:tc>
        <w:tc>
          <w:tcPr>
            <w:tcW w:w="46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2008</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-2010</w:t>
            </w:r>
          </w:p>
        </w:tc>
        <w:tc>
          <w:tcPr>
            <w:tcW w:w="6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case-control</w:t>
            </w:r>
          </w:p>
        </w:tc>
        <w:tc>
          <w:tcPr>
            <w:tcW w:w="23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0</w:t>
            </w:r>
          </w:p>
        </w:tc>
        <w:tc>
          <w:tcPr>
            <w:tcW w:w="18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39</w:t>
            </w:r>
          </w:p>
        </w:tc>
        <w:tc>
          <w:tcPr>
            <w:tcW w:w="4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15</w:t>
            </w:r>
          </w:p>
        </w:tc>
        <w:tc>
          <w:tcPr>
            <w:tcW w:w="178"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44</w:t>
            </w:r>
          </w:p>
        </w:tc>
        <w:tc>
          <w:tcPr>
            <w:tcW w:w="18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24</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52</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Mu</w:t>
            </w:r>
            <w:r>
              <w:rPr>
                <w:rFonts w:hint="default" w:ascii="Times New Roman Regular" w:hAnsi="Times New Roman Regular" w:eastAsia="宋体" w:cs="Times New Roman Regular"/>
                <w:i w:val="0"/>
                <w:iCs w:val="0"/>
                <w:color w:val="000000"/>
                <w:kern w:val="0"/>
                <w:sz w:val="22"/>
                <w:szCs w:val="22"/>
                <w:u w:val="none"/>
                <w:lang w:eastAsia="zh-CN" w:bidi="ar"/>
              </w:rPr>
              <w:t xml:space="preserve">, </w:t>
            </w:r>
            <w:r>
              <w:rPr>
                <w:rFonts w:hint="default" w:ascii="Times New Roman Regular" w:hAnsi="Times New Roman Regular" w:eastAsia="宋体" w:cs="Times New Roman Regular"/>
                <w:i w:val="0"/>
                <w:iCs w:val="0"/>
                <w:color w:val="000000"/>
                <w:kern w:val="0"/>
                <w:sz w:val="22"/>
                <w:szCs w:val="22"/>
                <w:u w:val="none"/>
                <w:lang w:val="en-US" w:eastAsia="zh-CN" w:bidi="ar"/>
              </w:rPr>
              <w:t>2022</w:t>
            </w:r>
          </w:p>
        </w:tc>
        <w:tc>
          <w:tcPr>
            <w:tcW w:w="46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2004</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-2020</w:t>
            </w:r>
          </w:p>
        </w:tc>
        <w:tc>
          <w:tcPr>
            <w:tcW w:w="6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56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58 (47, 64)</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94</w:t>
            </w:r>
          </w:p>
        </w:tc>
        <w:tc>
          <w:tcPr>
            <w:tcW w:w="18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w:t>
            </w:r>
          </w:p>
        </w:tc>
        <w:tc>
          <w:tcPr>
            <w:tcW w:w="4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China</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97</w:t>
            </w:r>
          </w:p>
        </w:tc>
        <w:tc>
          <w:tcPr>
            <w:tcW w:w="178"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525</w:t>
            </w:r>
          </w:p>
        </w:tc>
        <w:tc>
          <w:tcPr>
            <w:tcW w:w="18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33</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Mahtab,2009</w:t>
            </w:r>
          </w:p>
        </w:tc>
        <w:tc>
          <w:tcPr>
            <w:tcW w:w="46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2004</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-2006</w:t>
            </w:r>
          </w:p>
        </w:tc>
        <w:tc>
          <w:tcPr>
            <w:tcW w:w="6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27-63 (mean 39)</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17</w:t>
            </w:r>
          </w:p>
        </w:tc>
        <w:tc>
          <w:tcPr>
            <w:tcW w:w="18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w:t>
            </w:r>
          </w:p>
        </w:tc>
        <w:tc>
          <w:tcPr>
            <w:tcW w:w="4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Bangladesh</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13</w:t>
            </w:r>
          </w:p>
        </w:tc>
        <w:tc>
          <w:tcPr>
            <w:tcW w:w="178"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23</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Das,2016</w:t>
            </w:r>
          </w:p>
        </w:tc>
        <w:tc>
          <w:tcPr>
            <w:tcW w:w="46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2007</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-2015</w:t>
            </w:r>
          </w:p>
        </w:tc>
        <w:tc>
          <w:tcPr>
            <w:tcW w:w="6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4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8"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Memon,2021</w:t>
            </w:r>
          </w:p>
        </w:tc>
        <w:tc>
          <w:tcPr>
            <w:tcW w:w="46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2019</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-2021</w:t>
            </w:r>
          </w:p>
        </w:tc>
        <w:tc>
          <w:tcPr>
            <w:tcW w:w="6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0</w:t>
            </w:r>
          </w:p>
        </w:tc>
        <w:tc>
          <w:tcPr>
            <w:tcW w:w="18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61</w:t>
            </w:r>
          </w:p>
        </w:tc>
        <w:tc>
          <w:tcPr>
            <w:tcW w:w="4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eastAsia="zh-CN" w:bidi="ar"/>
              </w:rPr>
            </w:pPr>
            <w:r>
              <w:rPr>
                <w:rFonts w:hint="default" w:ascii="Times New Roman Regular" w:hAnsi="Times New Roman Regular" w:eastAsia="宋体" w:cs="Times New Roman Regular"/>
                <w:i w:val="0"/>
                <w:iCs w:val="0"/>
                <w:color w:val="000000"/>
                <w:kern w:val="0"/>
                <w:sz w:val="22"/>
                <w:szCs w:val="22"/>
                <w:u w:val="none"/>
                <w:lang w:eastAsia="zh-CN" w:bidi="ar"/>
              </w:rPr>
              <w:t>(GT1)</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8"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eastAsia="zh-CN" w:bidi="ar"/>
              </w:rPr>
              <w:t>61</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Kar, 2009</w:t>
            </w:r>
          </w:p>
        </w:tc>
        <w:tc>
          <w:tcPr>
            <w:tcW w:w="46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6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0</w:t>
            </w:r>
          </w:p>
        </w:tc>
        <w:tc>
          <w:tcPr>
            <w:tcW w:w="18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35</w:t>
            </w:r>
          </w:p>
        </w:tc>
        <w:tc>
          <w:tcPr>
            <w:tcW w:w="4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eastAsia="zh-CN" w:bidi="ar"/>
              </w:rPr>
            </w:pPr>
            <w:r>
              <w:rPr>
                <w:rFonts w:hint="default" w:ascii="Times New Roman Regular" w:hAnsi="Times New Roman Regular" w:eastAsia="宋体" w:cs="Times New Roman Regular"/>
                <w:i w:val="0"/>
                <w:iCs w:val="0"/>
                <w:color w:val="000000"/>
                <w:kern w:val="0"/>
                <w:sz w:val="22"/>
                <w:szCs w:val="22"/>
                <w:u w:val="none"/>
                <w:lang w:eastAsia="zh-CN" w:bidi="ar"/>
              </w:rPr>
              <w:t>(GT1)</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11</w:t>
            </w:r>
          </w:p>
        </w:tc>
        <w:tc>
          <w:tcPr>
            <w:tcW w:w="178"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34</w:t>
            </w:r>
          </w:p>
        </w:tc>
        <w:tc>
          <w:tcPr>
            <w:tcW w:w="18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50</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29</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65</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50</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Majumdar, 2013</w:t>
            </w:r>
          </w:p>
        </w:tc>
        <w:tc>
          <w:tcPr>
            <w:tcW w:w="46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2009</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-2012</w:t>
            </w:r>
          </w:p>
        </w:tc>
        <w:tc>
          <w:tcPr>
            <w:tcW w:w="6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28.38 ± 11.67</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15</w:t>
            </w:r>
          </w:p>
        </w:tc>
        <w:tc>
          <w:tcPr>
            <w:tcW w:w="18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19</w:t>
            </w:r>
          </w:p>
        </w:tc>
        <w:tc>
          <w:tcPr>
            <w:tcW w:w="4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19</w:t>
            </w:r>
          </w:p>
        </w:tc>
        <w:tc>
          <w:tcPr>
            <w:tcW w:w="178"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57</w:t>
            </w:r>
          </w:p>
        </w:tc>
        <w:tc>
          <w:tcPr>
            <w:tcW w:w="18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Bhatia, 2008</w:t>
            </w:r>
          </w:p>
        </w:tc>
        <w:tc>
          <w:tcPr>
            <w:tcW w:w="46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1986</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-2006</w:t>
            </w:r>
          </w:p>
        </w:tc>
        <w:tc>
          <w:tcPr>
            <w:tcW w:w="6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S</w:t>
            </w:r>
          </w:p>
        </w:tc>
        <w:tc>
          <w:tcPr>
            <w:tcW w:w="56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97</w:t>
            </w:r>
          </w:p>
        </w:tc>
        <w:tc>
          <w:tcPr>
            <w:tcW w:w="18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245</w:t>
            </w:r>
          </w:p>
        </w:tc>
        <w:tc>
          <w:tcPr>
            <w:tcW w:w="4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India</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197</w:t>
            </w:r>
          </w:p>
        </w:tc>
        <w:tc>
          <w:tcPr>
            <w:tcW w:w="178"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749</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82</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145</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244</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Xiang, 2022</w:t>
            </w:r>
          </w:p>
        </w:tc>
        <w:tc>
          <w:tcPr>
            <w:tcW w:w="46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2016</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-2021</w:t>
            </w:r>
          </w:p>
        </w:tc>
        <w:tc>
          <w:tcPr>
            <w:tcW w:w="6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56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57.94 ± 11.35</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125</w:t>
            </w:r>
          </w:p>
        </w:tc>
        <w:tc>
          <w:tcPr>
            <w:tcW w:w="187"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75</w:t>
            </w:r>
          </w:p>
        </w:tc>
        <w:tc>
          <w:tcPr>
            <w:tcW w:w="42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China</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200</w:t>
            </w:r>
          </w:p>
        </w:tc>
        <w:tc>
          <w:tcPr>
            <w:tcW w:w="178"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42</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Liu，2008</w:t>
            </w:r>
          </w:p>
        </w:tc>
        <w:tc>
          <w:tcPr>
            <w:tcW w:w="46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2002</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-2007</w:t>
            </w:r>
          </w:p>
        </w:tc>
        <w:tc>
          <w:tcPr>
            <w:tcW w:w="6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R</w:t>
            </w:r>
          </w:p>
        </w:tc>
        <w:tc>
          <w:tcPr>
            <w:tcW w:w="28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56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7"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42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China</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18</w:t>
            </w:r>
          </w:p>
        </w:tc>
        <w:tc>
          <w:tcPr>
            <w:tcW w:w="178"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53</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trPr>
        <w:tc>
          <w:tcPr>
            <w:tcW w:w="566"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Wu, 2022</w:t>
            </w:r>
          </w:p>
        </w:tc>
        <w:tc>
          <w:tcPr>
            <w:tcW w:w="467"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2018</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-2021</w:t>
            </w:r>
          </w:p>
        </w:tc>
        <w:tc>
          <w:tcPr>
            <w:tcW w:w="623"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cohort</w:t>
            </w:r>
          </w:p>
        </w:tc>
        <w:tc>
          <w:tcPr>
            <w:tcW w:w="230"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P</w:t>
            </w:r>
          </w:p>
        </w:tc>
        <w:tc>
          <w:tcPr>
            <w:tcW w:w="281"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563"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53.67 ± 12.82</w:t>
            </w:r>
          </w:p>
        </w:tc>
        <w:tc>
          <w:tcPr>
            <w:tcW w:w="179"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25</w:t>
            </w:r>
          </w:p>
        </w:tc>
        <w:tc>
          <w:tcPr>
            <w:tcW w:w="187"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23</w:t>
            </w:r>
          </w:p>
        </w:tc>
        <w:tc>
          <w:tcPr>
            <w:tcW w:w="423"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val="en-US" w:eastAsia="zh-CN" w:bidi="ar"/>
              </w:rPr>
            </w:pPr>
            <w:r>
              <w:rPr>
                <w:rFonts w:hint="default" w:ascii="Times New Roman Regular" w:hAnsi="Times New Roman Regular" w:eastAsia="宋体" w:cs="Times New Roman Regular"/>
                <w:i w:val="0"/>
                <w:iCs w:val="0"/>
                <w:color w:val="000000"/>
                <w:kern w:val="0"/>
                <w:sz w:val="22"/>
                <w:szCs w:val="22"/>
                <w:u w:val="none"/>
                <w:lang w:val="en-US" w:eastAsia="zh-CN" w:bidi="ar"/>
              </w:rPr>
              <w:t>China</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kern w:val="0"/>
                <w:sz w:val="22"/>
                <w:szCs w:val="22"/>
                <w:u w:val="none"/>
                <w:lang w:eastAsia="zh-CN" w:bidi="ar"/>
              </w:rPr>
            </w:pPr>
            <w:r>
              <w:rPr>
                <w:rFonts w:hint="default" w:ascii="Times New Roman Regular" w:hAnsi="Times New Roman Regular" w:eastAsia="宋体" w:cs="Times New Roman Regular"/>
                <w:i w:val="0"/>
                <w:iCs w:val="0"/>
                <w:color w:val="000000"/>
                <w:kern w:val="0"/>
                <w:sz w:val="22"/>
                <w:szCs w:val="22"/>
                <w:u w:val="none"/>
                <w:lang w:eastAsia="zh-CN" w:bidi="ar"/>
              </w:rPr>
              <w:t>(GT3-4)</w:t>
            </w:r>
          </w:p>
        </w:tc>
        <w:tc>
          <w:tcPr>
            <w:tcW w:w="191"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sz w:val="22"/>
                <w:szCs w:val="22"/>
                <w:u w:val="none"/>
              </w:rPr>
              <w:t>48</w:t>
            </w:r>
          </w:p>
        </w:tc>
        <w:tc>
          <w:tcPr>
            <w:tcW w:w="178"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0"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w:t>
            </w:r>
          </w:p>
        </w:tc>
        <w:tc>
          <w:tcPr>
            <w:tcW w:w="191"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91"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83"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c>
          <w:tcPr>
            <w:tcW w:w="179" w:type="pct"/>
            <w:tcBorders>
              <w:top w:val="nil"/>
              <w:left w:val="nil"/>
              <w:bottom w:val="single" w:color="auto" w:sz="4" w:space="0"/>
              <w:right w:val="nil"/>
            </w:tcBorders>
            <w:shd w:val="clear" w:color="auto" w:fill="CCCCCC"/>
            <w:noWrap/>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NR</w:t>
            </w:r>
          </w:p>
        </w:tc>
      </w:tr>
    </w:tbl>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r>
        <w:rPr>
          <w:rFonts w:hint="default" w:ascii="Times New Roman Bold" w:hAnsi="Times New Roman Bold" w:eastAsia="Times New Roman" w:cs="Times New Roman Bold"/>
          <w:b/>
          <w:bCs w:val="0"/>
          <w:i w:val="0"/>
          <w:iCs w:val="0"/>
          <w:color w:val="000000"/>
          <w:kern w:val="0"/>
          <w:sz w:val="24"/>
          <w:szCs w:val="24"/>
          <w:shd w:val="clear" w:fill="FFFFFF"/>
        </w:rPr>
        <w:t>Abbreviations:</w:t>
      </w:r>
      <w:r>
        <w:rPr>
          <w:rFonts w:hint="default" w:ascii="Times New Roman" w:hAnsi="Times New Roman" w:eastAsia="Times New Roman" w:cs="Times New Roman"/>
          <w:b w:val="0"/>
          <w:bCs/>
          <w:color w:val="000000"/>
          <w:kern w:val="0"/>
          <w:sz w:val="24"/>
          <w:szCs w:val="24"/>
          <w:shd w:val="clear" w:fill="FFFFFF"/>
        </w:rPr>
        <w:t xml:space="preserve"> P, prospective; R, retrospective; </w:t>
      </w:r>
      <w:r>
        <w:rPr>
          <w:rFonts w:hint="eastAsia" w:eastAsia="Times New Roman" w:cs="Times New Roman"/>
          <w:b w:val="0"/>
          <w:bCs/>
          <w:color w:val="000000"/>
          <w:kern w:val="0"/>
          <w:sz w:val="24"/>
          <w:szCs w:val="24"/>
          <w:shd w:val="clear" w:fill="FFFFFF"/>
          <w:lang w:val="en-US" w:eastAsia="zh-Hans"/>
        </w:rPr>
        <w:t>M</w:t>
      </w:r>
      <w:r>
        <w:rPr>
          <w:rFonts w:hint="default" w:eastAsia="Times New Roman" w:cs="Times New Roman"/>
          <w:b w:val="0"/>
          <w:bCs/>
          <w:color w:val="000000"/>
          <w:kern w:val="0"/>
          <w:sz w:val="24"/>
          <w:szCs w:val="24"/>
          <w:shd w:val="clear" w:fill="FFFFFF"/>
          <w:lang w:eastAsia="zh-Hans"/>
        </w:rPr>
        <w:t xml:space="preserve">, male; F, Female; </w:t>
      </w:r>
      <w:r>
        <w:rPr>
          <w:rFonts w:hint="default" w:ascii="Times New Roman" w:hAnsi="Times New Roman" w:eastAsia="Times New Roman" w:cs="Times New Roman"/>
          <w:b w:val="0"/>
          <w:bCs/>
          <w:color w:val="000000"/>
          <w:kern w:val="0"/>
          <w:sz w:val="24"/>
          <w:szCs w:val="24"/>
          <w:shd w:val="clear" w:fill="FFFFFF"/>
        </w:rPr>
        <w:t xml:space="preserve">NR, not reported; GT, genotype; </w:t>
      </w: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i w:val="0"/>
          <w:iCs w:val="0"/>
          <w:color w:val="000000"/>
          <w:kern w:val="0"/>
          <w:sz w:val="24"/>
          <w:szCs w:val="24"/>
          <w:shd w:val="clear" w:fill="FFFFFF"/>
        </w:rPr>
      </w:pPr>
      <w:r>
        <w:rPr>
          <w:rFonts w:hint="default" w:ascii="Times New Roman Bold" w:hAnsi="Times New Roman Bold" w:eastAsia="Times New Roman" w:cs="Times New Roman Bold"/>
          <w:b/>
          <w:bCs w:val="0"/>
          <w:i w:val="0"/>
          <w:iCs w:val="0"/>
          <w:color w:val="000000"/>
          <w:kern w:val="0"/>
          <w:sz w:val="24"/>
          <w:szCs w:val="24"/>
          <w:shd w:val="clear" w:fill="FFFFFF"/>
        </w:rPr>
        <w:t xml:space="preserve">Notes: </w:t>
      </w: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w:hAnsi="Times New Roman" w:eastAsia="Times New Roman" w:cs="Times New Roman"/>
          <w:b w:val="0"/>
          <w:bCs/>
          <w:color w:val="000000"/>
          <w:kern w:val="0"/>
          <w:sz w:val="24"/>
          <w:szCs w:val="24"/>
          <w:shd w:val="clear" w:fill="FFFFFF"/>
        </w:rPr>
      </w:pPr>
      <w:r>
        <w:rPr>
          <w:rFonts w:hint="default" w:ascii="Times New Roman" w:hAnsi="Times New Roman" w:eastAsia="Times New Roman" w:cs="Times New Roman"/>
          <w:b w:val="0"/>
          <w:bCs/>
          <w:color w:val="000000"/>
          <w:kern w:val="0"/>
          <w:sz w:val="24"/>
          <w:szCs w:val="24"/>
          <w:shd w:val="clear" w:fill="FFFFFF"/>
        </w:rPr>
        <w:t>A: number of HEV-ALF</w:t>
      </w:r>
      <w:r>
        <w:rPr>
          <w:rFonts w:hint="default" w:eastAsia="Times New Roman" w:cs="Times New Roman"/>
          <w:b w:val="0"/>
          <w:bCs/>
          <w:color w:val="000000"/>
          <w:kern w:val="0"/>
          <w:sz w:val="24"/>
          <w:szCs w:val="24"/>
          <w:shd w:val="clear" w:fill="FFFFFF"/>
        </w:rPr>
        <w:t xml:space="preserve"> </w:t>
      </w:r>
      <w:r>
        <w:rPr>
          <w:rFonts w:hint="eastAsia" w:eastAsia="Times New Roman" w:cs="Times New Roman"/>
          <w:b w:val="0"/>
          <w:bCs/>
          <w:color w:val="000000"/>
          <w:kern w:val="0"/>
          <w:sz w:val="24"/>
          <w:szCs w:val="24"/>
          <w:shd w:val="clear" w:fill="FFFFFF"/>
          <w:lang w:val="en-US" w:eastAsia="zh-Hans"/>
        </w:rPr>
        <w:t>individuals</w:t>
      </w:r>
      <w:r>
        <w:rPr>
          <w:rFonts w:hint="default" w:ascii="Times New Roman" w:hAnsi="Times New Roman" w:eastAsia="Times New Roman" w:cs="Times New Roman"/>
          <w:b w:val="0"/>
          <w:bCs/>
          <w:color w:val="000000"/>
          <w:kern w:val="0"/>
          <w:sz w:val="24"/>
          <w:szCs w:val="24"/>
          <w:shd w:val="clear" w:fill="FFFFFF"/>
        </w:rPr>
        <w:t xml:space="preserve">; </w:t>
      </w: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w:hAnsi="Times New Roman" w:eastAsia="Times New Roman" w:cs="Times New Roman"/>
          <w:b w:val="0"/>
          <w:bCs/>
          <w:color w:val="000000"/>
          <w:kern w:val="0"/>
          <w:sz w:val="24"/>
          <w:szCs w:val="24"/>
          <w:shd w:val="clear" w:fill="FFFFFF"/>
        </w:rPr>
      </w:pPr>
      <w:r>
        <w:rPr>
          <w:rFonts w:hint="default" w:ascii="Times New Roman" w:hAnsi="Times New Roman" w:eastAsia="Times New Roman" w:cs="Times New Roman"/>
          <w:b w:val="0"/>
          <w:bCs/>
          <w:color w:val="000000"/>
          <w:kern w:val="0"/>
          <w:sz w:val="24"/>
          <w:szCs w:val="24"/>
          <w:shd w:val="clear" w:fill="FFFFFF"/>
        </w:rPr>
        <w:t xml:space="preserve">B: </w:t>
      </w:r>
      <w:r>
        <w:rPr>
          <w:rFonts w:hint="default" w:ascii="Times New Roman" w:hAnsi="Times New Roman" w:eastAsia="Times New Roman" w:cs="Times New Roman"/>
          <w:b w:val="0"/>
          <w:bCs/>
          <w:color w:val="000000"/>
          <w:kern w:val="0"/>
          <w:sz w:val="24"/>
          <w:szCs w:val="24"/>
          <w:shd w:val="clear" w:fill="FFFFFF"/>
          <w:lang w:val="en-US" w:eastAsia="zh-Hans"/>
        </w:rPr>
        <w:t>number</w:t>
      </w:r>
      <w:r>
        <w:rPr>
          <w:rFonts w:hint="default" w:ascii="Times New Roman" w:hAnsi="Times New Roman" w:eastAsia="Times New Roman" w:cs="Times New Roman"/>
          <w:b w:val="0"/>
          <w:bCs/>
          <w:color w:val="000000"/>
          <w:kern w:val="0"/>
          <w:sz w:val="24"/>
          <w:szCs w:val="24"/>
          <w:shd w:val="clear" w:fill="FFFFFF"/>
          <w:lang w:eastAsia="zh-Hans"/>
        </w:rPr>
        <w:t xml:space="preserve"> </w:t>
      </w:r>
      <w:r>
        <w:rPr>
          <w:rFonts w:hint="default" w:ascii="Times New Roman" w:hAnsi="Times New Roman" w:eastAsia="Times New Roman" w:cs="Times New Roman"/>
          <w:b w:val="0"/>
          <w:bCs/>
          <w:color w:val="000000"/>
          <w:kern w:val="0"/>
          <w:sz w:val="24"/>
          <w:szCs w:val="24"/>
          <w:shd w:val="clear" w:fill="FFFFFF"/>
          <w:lang w:val="en-US" w:eastAsia="zh-Hans"/>
        </w:rPr>
        <w:t>of</w:t>
      </w:r>
      <w:r>
        <w:rPr>
          <w:rFonts w:hint="default" w:ascii="Times New Roman" w:hAnsi="Times New Roman" w:eastAsia="Times New Roman" w:cs="Times New Roman"/>
          <w:b w:val="0"/>
          <w:bCs/>
          <w:color w:val="000000"/>
          <w:kern w:val="0"/>
          <w:sz w:val="24"/>
          <w:szCs w:val="24"/>
          <w:shd w:val="clear" w:fill="FFFFFF"/>
          <w:lang w:eastAsia="zh-Hans"/>
        </w:rPr>
        <w:t xml:space="preserve"> </w:t>
      </w:r>
      <w:r>
        <w:rPr>
          <w:rFonts w:hint="default" w:ascii="Times New Roman" w:hAnsi="Times New Roman" w:eastAsia="Times New Roman" w:cs="Times New Roman"/>
          <w:b w:val="0"/>
          <w:bCs/>
          <w:color w:val="000000"/>
          <w:kern w:val="0"/>
          <w:sz w:val="24"/>
          <w:szCs w:val="24"/>
          <w:shd w:val="clear" w:fill="FFFFFF"/>
        </w:rPr>
        <w:t xml:space="preserve">HEV infection individuals; </w:t>
      </w: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w:hAnsi="Times New Roman" w:eastAsia="Times New Roman" w:cs="Times New Roman"/>
          <w:b w:val="0"/>
          <w:bCs/>
          <w:color w:val="000000"/>
          <w:kern w:val="0"/>
          <w:sz w:val="24"/>
          <w:szCs w:val="24"/>
          <w:shd w:val="clear" w:fill="FFFFFF"/>
        </w:rPr>
      </w:pPr>
      <w:r>
        <w:rPr>
          <w:rFonts w:hint="default" w:ascii="Times New Roman" w:hAnsi="Times New Roman" w:eastAsia="Times New Roman" w:cs="Times New Roman"/>
          <w:b w:val="0"/>
          <w:bCs/>
          <w:color w:val="000000"/>
          <w:kern w:val="0"/>
          <w:sz w:val="24"/>
          <w:szCs w:val="24"/>
          <w:shd w:val="clear" w:fill="FFFFFF"/>
        </w:rPr>
        <w:t xml:space="preserve">C: number of acute liver failure individuals; </w:t>
      </w: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w:hAnsi="Times New Roman" w:eastAsia="Times New Roman" w:cs="Times New Roman"/>
          <w:b w:val="0"/>
          <w:bCs/>
          <w:color w:val="000000"/>
          <w:kern w:val="0"/>
          <w:sz w:val="24"/>
          <w:szCs w:val="24"/>
          <w:shd w:val="clear" w:fill="FFFFFF"/>
        </w:rPr>
      </w:pPr>
      <w:r>
        <w:rPr>
          <w:rFonts w:hint="default" w:ascii="Times New Roman" w:hAnsi="Times New Roman" w:eastAsia="Times New Roman" w:cs="Times New Roman"/>
          <w:b w:val="0"/>
          <w:bCs/>
          <w:color w:val="000000"/>
          <w:kern w:val="0"/>
          <w:sz w:val="24"/>
          <w:szCs w:val="24"/>
          <w:shd w:val="clear" w:fill="FFFFFF"/>
        </w:rPr>
        <w:t>D: number of expired HEV-ALF individuals.</w:t>
      </w: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p>
    <w:p>
      <w:pPr>
        <w:keepNext w:val="0"/>
        <w:keepLines w:val="0"/>
        <w:widowControl/>
        <w:suppressLineNumbers w:val="0"/>
        <w:shd w:val="clear" w:fill="FFFFFF"/>
        <w:spacing w:before="120" w:beforeAutospacing="0" w:after="0" w:afterAutospacing="0" w:line="240" w:lineRule="auto"/>
        <w:ind w:left="0" w:right="0"/>
        <w:jc w:val="both"/>
        <w:rPr>
          <w:rFonts w:hint="default" w:ascii="Times New Roman Bold" w:hAnsi="Times New Roman Bold" w:eastAsia="Times New Roman" w:cs="Times New Roman Bold"/>
          <w:b/>
          <w:bCs w:val="0"/>
          <w:color w:val="000000"/>
          <w:kern w:val="0"/>
          <w:sz w:val="24"/>
          <w:szCs w:val="24"/>
          <w:shd w:val="clear" w:fill="FFFFFF"/>
        </w:rPr>
      </w:pPr>
    </w:p>
    <w:p>
      <w:pPr>
        <w:spacing w:line="240" w:lineRule="auto"/>
      </w:pPr>
    </w:p>
    <w:p>
      <w:pPr>
        <w:keepNext w:val="0"/>
        <w:keepLines w:val="0"/>
        <w:widowControl/>
        <w:suppressLineNumbers w:val="0"/>
        <w:spacing w:before="120" w:beforeAutospacing="0" w:after="240" w:afterAutospacing="0" w:line="240" w:lineRule="auto"/>
        <w:ind w:left="0" w:right="0"/>
        <w:jc w:val="left"/>
        <w:rPr>
          <w:rFonts w:ascii="Times New Roman Bold" w:hAnsi="Times New Roman Bold" w:eastAsia="Times New Roman" w:cs="Times New Roman Bold"/>
          <w:b/>
          <w:color w:val="000000"/>
          <w:sz w:val="24"/>
          <w:szCs w:val="24"/>
          <w:lang w:val="en-US" w:eastAsia="zh-Hans"/>
        </w:rPr>
      </w:pPr>
    </w:p>
    <w:p>
      <w:pPr>
        <w:keepNext w:val="0"/>
        <w:keepLines w:val="0"/>
        <w:widowControl/>
        <w:suppressLineNumbers w:val="0"/>
        <w:spacing w:before="120" w:beforeAutospacing="0" w:after="240" w:afterAutospacing="0" w:line="240" w:lineRule="auto"/>
        <w:ind w:left="0" w:right="0"/>
        <w:jc w:val="left"/>
        <w:rPr>
          <w:rFonts w:ascii="Times New Roman Bold" w:hAnsi="Times New Roman Bold" w:eastAsia="Times New Roman" w:cs="Times New Roman Bold"/>
          <w:b/>
          <w:color w:val="000000"/>
          <w:sz w:val="24"/>
          <w:szCs w:val="24"/>
          <w:lang w:val="en-US" w:eastAsia="zh-Hans"/>
        </w:rPr>
      </w:pPr>
    </w:p>
    <w:p>
      <w:pPr>
        <w:keepNext w:val="0"/>
        <w:keepLines w:val="0"/>
        <w:widowControl/>
        <w:suppressLineNumbers w:val="0"/>
        <w:spacing w:before="120" w:beforeAutospacing="0" w:after="240" w:afterAutospacing="0" w:line="240" w:lineRule="auto"/>
        <w:ind w:left="0" w:right="0"/>
        <w:jc w:val="left"/>
        <w:rPr>
          <w:rFonts w:ascii="Times New Roman Bold" w:hAnsi="Times New Roman Bold" w:eastAsia="Times New Roman" w:cs="Times New Roman Bold"/>
          <w:b/>
          <w:color w:val="000000"/>
          <w:sz w:val="24"/>
          <w:szCs w:val="24"/>
          <w:lang w:val="en-US" w:eastAsia="zh-Hans"/>
        </w:rPr>
      </w:pPr>
    </w:p>
    <w:p>
      <w:pPr>
        <w:keepNext w:val="0"/>
        <w:keepLines w:val="0"/>
        <w:widowControl/>
        <w:suppressLineNumbers w:val="0"/>
        <w:spacing w:before="120" w:beforeAutospacing="0" w:after="240" w:afterAutospacing="0" w:line="240" w:lineRule="auto"/>
        <w:ind w:left="0" w:right="0"/>
        <w:jc w:val="left"/>
        <w:rPr>
          <w:rFonts w:ascii="Times New Roman Bold" w:hAnsi="Times New Roman Bold" w:eastAsia="Times New Roman" w:cs="Times New Roman Bold"/>
          <w:b/>
          <w:color w:val="000000"/>
          <w:sz w:val="24"/>
          <w:szCs w:val="24"/>
          <w:lang w:val="en-US" w:eastAsia="zh-Hans"/>
        </w:rPr>
      </w:pPr>
    </w:p>
    <w:p>
      <w:pPr>
        <w:keepNext w:val="0"/>
        <w:keepLines w:val="0"/>
        <w:widowControl/>
        <w:suppressLineNumbers w:val="0"/>
        <w:spacing w:before="120" w:beforeAutospacing="0" w:after="240" w:afterAutospacing="0" w:line="240" w:lineRule="auto"/>
        <w:ind w:left="0" w:right="0"/>
        <w:jc w:val="left"/>
        <w:rPr>
          <w:rFonts w:ascii="Times New Roman Bold" w:hAnsi="Times New Roman Bold" w:eastAsia="Times New Roman" w:cs="Times New Roman Bold"/>
          <w:b/>
          <w:color w:val="000000"/>
          <w:sz w:val="24"/>
          <w:szCs w:val="24"/>
          <w:lang w:val="en-US" w:eastAsia="zh-Hans"/>
        </w:rPr>
      </w:pPr>
    </w:p>
    <w:p>
      <w:pPr>
        <w:keepNext w:val="0"/>
        <w:keepLines w:val="0"/>
        <w:widowControl/>
        <w:suppressLineNumbers w:val="0"/>
        <w:spacing w:before="120" w:beforeAutospacing="0" w:after="240" w:afterAutospacing="0" w:line="240" w:lineRule="auto"/>
        <w:ind w:left="0" w:right="0"/>
        <w:jc w:val="left"/>
        <w:rPr>
          <w:rFonts w:hint="default" w:ascii="Times New Roman Bold" w:hAnsi="Times New Roman Bold" w:eastAsia="宋体" w:cs="Times New Roman Bold"/>
          <w:b/>
          <w:bCs w:val="0"/>
          <w:kern w:val="0"/>
          <w:sz w:val="24"/>
          <w:szCs w:val="24"/>
        </w:rPr>
      </w:pPr>
      <w:r>
        <w:rPr>
          <w:rFonts w:ascii="Times New Roman Bold" w:hAnsi="Times New Roman Bold" w:eastAsia="Times New Roman" w:cs="Times New Roman Bold"/>
          <w:b/>
          <w:color w:val="000000"/>
          <w:sz w:val="24"/>
          <w:szCs w:val="24"/>
          <w:lang w:val="en-US" w:eastAsia="zh-Hans"/>
        </w:rPr>
        <w:t>Supplementary</w:t>
      </w:r>
      <w:r>
        <w:rPr>
          <w:rFonts w:ascii="Times New Roman Bold" w:hAnsi="Times New Roman Bold" w:eastAsia="Times New Roman" w:cs="Times New Roman Bold"/>
          <w:b/>
          <w:color w:val="000000"/>
          <w:sz w:val="24"/>
          <w:szCs w:val="24"/>
          <w:lang w:eastAsia="zh-Hans"/>
        </w:rPr>
        <w:t xml:space="preserve"> Table.</w:t>
      </w:r>
      <w:r>
        <w:rPr>
          <w:rFonts w:hint="default" w:ascii="Times New Roman Bold" w:hAnsi="Times New Roman Bold" w:eastAsia="Times New Roman" w:cs="Times New Roman Bold"/>
          <w:b/>
          <w:color w:val="000000"/>
          <w:sz w:val="24"/>
          <w:szCs w:val="24"/>
          <w:lang w:eastAsia="zh-Hans"/>
        </w:rPr>
        <w:t>5</w:t>
      </w:r>
      <w:r>
        <w:rPr>
          <w:rFonts w:hint="default" w:ascii="Times New Roman Bold" w:hAnsi="Times New Roman Bold" w:eastAsia="宋体" w:cs="Times New Roman Bold"/>
          <w:b/>
          <w:bCs w:val="0"/>
          <w:kern w:val="0"/>
          <w:sz w:val="24"/>
          <w:szCs w:val="24"/>
          <w:lang w:val="en-US" w:eastAsia="zh-CN" w:bidi="ar"/>
        </w:rPr>
        <w:t xml:space="preserve"> Diagnostic criteria or definition of acute liver failure</w:t>
      </w:r>
    </w:p>
    <w:tbl>
      <w:tblPr>
        <w:tblStyle w:val="6"/>
        <w:tblW w:w="4999"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74"/>
        <w:gridCol w:w="13349"/>
      </w:tblGrid>
      <w:tr>
        <w:trPr>
          <w:trHeight w:val="90" w:hRule="atLeast"/>
        </w:trPr>
        <w:tc>
          <w:tcPr>
            <w:tcW w:w="644" w:type="pct"/>
            <w:tcBorders>
              <w:bottom w:val="single" w:color="auto" w:sz="4" w:space="0"/>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Bold" w:hAnsi="Times New Roman Bold" w:cs="Times New Roman Bold"/>
                <w:b/>
                <w:color w:val="000000"/>
              </w:rPr>
            </w:pPr>
            <w:r>
              <w:rPr>
                <w:rFonts w:hint="default" w:ascii="Times New Roman Bold" w:hAnsi="Times New Roman Bold" w:cs="Times New Roman Bold"/>
                <w:b/>
                <w:color w:val="000000"/>
                <w:lang w:val="en-US" w:eastAsia="zh-CN"/>
              </w:rPr>
              <w:t>Studies</w:t>
            </w:r>
          </w:p>
        </w:tc>
        <w:tc>
          <w:tcPr>
            <w:tcW w:w="4355" w:type="pct"/>
            <w:tcBorders>
              <w:bottom w:val="single" w:color="auto" w:sz="4" w:space="0"/>
            </w:tcBorders>
            <w:shd w:val="clear" w:color="auto" w:fill="FFFFFF"/>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Bold" w:hAnsi="Times New Roman Bold" w:cs="Times New Roman Bold"/>
                <w:b/>
                <w:color w:val="000000"/>
              </w:rPr>
            </w:pPr>
            <w:r>
              <w:rPr>
                <w:rFonts w:hint="default" w:ascii="Times New Roman Bold" w:hAnsi="Times New Roman Bold" w:cs="Times New Roman Bold"/>
                <w:b/>
                <w:color w:val="000000"/>
                <w:lang w:val="en-US" w:eastAsia="zh-CN"/>
              </w:rPr>
              <w:t xml:space="preserve">Diagnostic </w:t>
            </w:r>
            <w:r>
              <w:rPr>
                <w:rFonts w:hint="eastAsia" w:ascii="Times New Roman Bold" w:hAnsi="Times New Roman Bold" w:cs="Times New Roman Bold"/>
                <w:b/>
                <w:color w:val="000000"/>
                <w:lang w:val="en-US" w:eastAsia="zh-Hans"/>
              </w:rPr>
              <w:t>c</w:t>
            </w:r>
            <w:r>
              <w:rPr>
                <w:rFonts w:hint="default" w:ascii="Times New Roman Bold" w:hAnsi="Times New Roman Bold" w:cs="Times New Roman Bold"/>
                <w:b/>
                <w:color w:val="000000"/>
                <w:lang w:val="en-US" w:eastAsia="zh-CN"/>
              </w:rPr>
              <w:t>riteria or definition of acute liver failure</w:t>
            </w:r>
            <w:r>
              <w:rPr>
                <w:rFonts w:hint="default" w:ascii="Times New Roman Bold" w:hAnsi="Times New Roman Bold" w:cs="Times New Roman Bold"/>
                <w:b/>
                <w:color w:val="000000"/>
                <w:lang w:eastAsia="zh-CN"/>
              </w:rPr>
              <w:t xml:space="preserve"> (ALF)</w:t>
            </w:r>
          </w:p>
        </w:tc>
      </w:tr>
      <w:tr>
        <w:tblPrEx>
          <w:shd w:val="clear" w:color="auto" w:fill="auto"/>
        </w:tblPrEx>
        <w:trPr>
          <w:trHeight w:val="389" w:hRule="atLeast"/>
        </w:trPr>
        <w:tc>
          <w:tcPr>
            <w:tcW w:w="644" w:type="pct"/>
            <w:tcBorders>
              <w:top w:val="single" w:color="auto" w:sz="4" w:space="0"/>
            </w:tcBorders>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Karna, 2020</w:t>
            </w:r>
          </w:p>
        </w:tc>
        <w:tc>
          <w:tcPr>
            <w:tcW w:w="4355" w:type="pct"/>
            <w:tcBorders>
              <w:top w:val="single" w:color="auto" w:sz="4" w:space="0"/>
            </w:tcBorders>
            <w:shd w:val="clear" w:color="auto" w:fill="CCCCCC"/>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ALF was defined as the patient</w:t>
            </w:r>
            <w:r>
              <w:rPr>
                <w:rFonts w:hint="default" w:ascii="Times New Roman Regular" w:hAnsi="Times New Roman Regular" w:cs="Times New Roman Regular"/>
                <w:b w:val="0"/>
                <w:bCs w:val="0"/>
                <w:color w:val="000000"/>
                <w:lang w:eastAsia="zh-CN"/>
              </w:rPr>
              <w:t>s</w:t>
            </w:r>
            <w:r>
              <w:rPr>
                <w:rFonts w:hint="default" w:ascii="Times New Roman Regular" w:hAnsi="Times New Roman Regular" w:cs="Times New Roman Regular"/>
                <w:b w:val="0"/>
                <w:bCs w:val="0"/>
                <w:color w:val="000000"/>
                <w:lang w:val="en-US" w:eastAsia="zh-CN"/>
              </w:rPr>
              <w:t>, with no known preexisting liver disease, had hepatic encephalopathy within 4 weeks of the onset of disease.</w:t>
            </w:r>
          </w:p>
        </w:tc>
      </w:tr>
      <w:tr>
        <w:tblPrEx>
          <w:shd w:val="clear" w:color="auto" w:fill="auto"/>
        </w:tblPrEx>
        <w:trPr>
          <w:trHeight w:val="90"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You, 2013</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ALF is defined as the presence of coagulopathy (prothrombin activity</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PTA</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≤40%) and hepatic encephalopathy (grade2) within 2 weeks of the first symptoms without previous underlying liver disease.</w:t>
            </w:r>
          </w:p>
        </w:tc>
      </w:tr>
      <w:tr>
        <w:tblPrEx>
          <w:shd w:val="clear" w:color="auto" w:fill="auto"/>
        </w:tblPrEx>
        <w:trPr>
          <w:trHeight w:val="563" w:hRule="atLeast"/>
        </w:trPr>
        <w:tc>
          <w:tcPr>
            <w:tcW w:w="644" w:type="pct"/>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Begum, 2010</w:t>
            </w:r>
          </w:p>
        </w:tc>
        <w:tc>
          <w:tcPr>
            <w:tcW w:w="4355" w:type="pct"/>
            <w:shd w:val="clear" w:color="auto" w:fill="CCCCCC"/>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 xml:space="preserve">A diagnosis of </w:t>
            </w:r>
            <w:r>
              <w:rPr>
                <w:rFonts w:hint="default" w:ascii="Times New Roman Regular" w:hAnsi="Times New Roman Regular" w:cs="Times New Roman Regular"/>
                <w:b w:val="0"/>
                <w:bCs w:val="0"/>
                <w:color w:val="000000"/>
                <w:lang w:eastAsia="zh-CN"/>
              </w:rPr>
              <w:t>f</w:t>
            </w:r>
            <w:r>
              <w:rPr>
                <w:rFonts w:hint="default" w:ascii="Times New Roman Regular" w:hAnsi="Times New Roman Regular" w:cs="Times New Roman Regular"/>
                <w:b w:val="0"/>
                <w:bCs w:val="0"/>
                <w:color w:val="000000"/>
                <w:lang w:val="en-US" w:eastAsia="zh-CN"/>
              </w:rPr>
              <w:t>ulminant hepatic failure</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FHF</w:t>
            </w:r>
            <w:r>
              <w:rPr>
                <w:rFonts w:hint="default" w:ascii="Times New Roman Regular" w:hAnsi="Times New Roman Regular" w:cs="Times New Roman Regular"/>
                <w:b w:val="0"/>
                <w:bCs w:val="0"/>
                <w:color w:val="000000"/>
                <w:lang w:eastAsia="zh-CN"/>
              </w:rPr>
              <w:t>)</w:t>
            </w:r>
            <w:r>
              <w:rPr>
                <w:rFonts w:hint="default" w:ascii="Times New Roman Regular" w:hAnsi="Times New Roman Regular" w:cs="Times New Roman Regular"/>
                <w:b w:val="0"/>
                <w:bCs w:val="0"/>
                <w:color w:val="000000"/>
                <w:lang w:val="en-US" w:eastAsia="zh-CN"/>
              </w:rPr>
              <w:t xml:space="preserve"> was made when, after a typical onset, the patient became deeply jaundiced and went into hepatic encephalopathy within 4 weeks of the onset of disease and had no pre</w:t>
            </w:r>
            <w:r>
              <w:rPr>
                <w:rFonts w:hint="default" w:ascii="Times New Roman Regular" w:hAnsi="Times New Roman Regular" w:cs="Times New Roman Regular"/>
                <w:b w:val="0"/>
                <w:bCs w:val="0"/>
                <w:color w:val="000000"/>
                <w:lang w:eastAsia="zh-CN"/>
              </w:rPr>
              <w:t>-</w:t>
            </w:r>
            <w:r>
              <w:rPr>
                <w:rFonts w:hint="default" w:ascii="Times New Roman Regular" w:hAnsi="Times New Roman Regular" w:cs="Times New Roman Regular"/>
                <w:b w:val="0"/>
                <w:bCs w:val="0"/>
                <w:color w:val="000000"/>
                <w:lang w:val="en-US" w:eastAsia="zh-CN"/>
              </w:rPr>
              <w:t>existing liver disease</w:t>
            </w:r>
            <w:r>
              <w:rPr>
                <w:rFonts w:hint="default" w:ascii="Times New Roman Regular" w:hAnsi="Times New Roman Regular" w:cs="Times New Roman Regular"/>
                <w:b w:val="0"/>
                <w:bCs w:val="0"/>
                <w:color w:val="000000"/>
                <w:lang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PrEx>
        <w:trPr>
          <w:trHeight w:val="483"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Wang, 2019</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Diagnosis of ALF is based on the presence of stage 2 or 3 encephalopathy complicating end-stage disease manifestations, including profound coagulopathy (</w:t>
            </w:r>
            <w:r>
              <w:rPr>
                <w:rFonts w:hint="default" w:ascii="Times New Roman Regular" w:hAnsi="Times New Roman Regular" w:cs="Times New Roman Regular"/>
                <w:b w:val="0"/>
                <w:bCs w:val="0"/>
                <w:color w:val="000000"/>
                <w:lang w:eastAsia="zh-CN"/>
              </w:rPr>
              <w:t>PTA</w:t>
            </w:r>
            <w:r>
              <w:rPr>
                <w:rFonts w:hint="default" w:ascii="Times New Roman Regular" w:hAnsi="Times New Roman Regular" w:cs="Times New Roman Regular"/>
                <w:b w:val="0"/>
                <w:bCs w:val="0"/>
                <w:color w:val="000000"/>
                <w:lang w:val="en-US" w:eastAsia="zh-CN"/>
              </w:rPr>
              <w:t xml:space="preserve"> ≤40% or INR ≥1.5), jaundice and hepaticatrophy in two weeks in patients with no </w:t>
            </w:r>
            <w:r>
              <w:rPr>
                <w:rFonts w:hint="default" w:ascii="Times New Roman Regular" w:hAnsi="Times New Roman Regular" w:cs="Times New Roman Regular"/>
                <w:b w:val="0"/>
                <w:bCs w:val="0"/>
                <w:color w:val="000000"/>
                <w:lang w:eastAsia="zh-CN"/>
              </w:rPr>
              <w:t>chronic liver disease (</w:t>
            </w:r>
            <w:r>
              <w:rPr>
                <w:rFonts w:hint="default" w:ascii="Times New Roman Regular" w:hAnsi="Times New Roman Regular" w:cs="Times New Roman Regular"/>
                <w:b w:val="0"/>
                <w:bCs w:val="0"/>
                <w:color w:val="000000"/>
                <w:lang w:val="en-US" w:eastAsia="zh-CN"/>
              </w:rPr>
              <w:t>CLD</w:t>
            </w:r>
            <w:r>
              <w:rPr>
                <w:rFonts w:hint="default" w:ascii="Times New Roman Regular" w:hAnsi="Times New Roman Regular" w:cs="Times New Roman Regular"/>
                <w:b w:val="0"/>
                <w:bCs w:val="0"/>
                <w:color w:val="000000"/>
                <w:lang w:eastAsia="zh-CN"/>
              </w:rPr>
              <w:t>)</w:t>
            </w:r>
            <w:r>
              <w:rPr>
                <w:rFonts w:hint="default" w:ascii="Times New Roman Regular" w:hAnsi="Times New Roman Regular" w:cs="Times New Roman Regular"/>
                <w:b w:val="0"/>
                <w:bCs w:val="0"/>
                <w:color w:val="000000"/>
                <w:lang w:val="en-US" w:eastAsia="zh-CN"/>
              </w:rPr>
              <w:t>；</w:t>
            </w:r>
          </w:p>
        </w:tc>
      </w:tr>
      <w:tr>
        <w:tblPrEx>
          <w:shd w:val="clear" w:color="auto" w:fill="auto"/>
        </w:tblPrEx>
        <w:trPr>
          <w:trHeight w:val="576" w:hRule="atLeast"/>
        </w:trPr>
        <w:tc>
          <w:tcPr>
            <w:tcW w:w="644" w:type="pct"/>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Salam, 2013</w:t>
            </w:r>
          </w:p>
        </w:tc>
        <w:tc>
          <w:tcPr>
            <w:tcW w:w="4355" w:type="pct"/>
            <w:shd w:val="clear" w:color="auto" w:fill="CCCCCC"/>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 xml:space="preserve">The FHF was diagnosed when after a typical acute onset, the patient became deeply jaundiced and went into hepatic encephalopathy within 8 weeks of onset of the disease without any past history of </w:t>
            </w:r>
            <w:r>
              <w:rPr>
                <w:rFonts w:hint="default" w:ascii="Times New Roman Regular" w:hAnsi="Times New Roman Regular" w:cs="Times New Roman Regular"/>
                <w:b w:val="0"/>
                <w:bCs w:val="0"/>
                <w:color w:val="000000"/>
                <w:lang w:val="en-US" w:eastAsia="zh-Hans"/>
              </w:rPr>
              <w:t>CLD</w:t>
            </w:r>
            <w:r>
              <w:rPr>
                <w:rFonts w:hint="default" w:ascii="Times New Roman Regular" w:hAnsi="Times New Roman Regular" w:cs="Times New Roman Regular"/>
                <w:b w:val="0"/>
                <w:bCs w:val="0"/>
                <w:color w:val="000000"/>
                <w:lang w:val="en-US" w:eastAsia="zh-CN"/>
              </w:rPr>
              <w:t>.</w:t>
            </w:r>
          </w:p>
        </w:tc>
      </w:tr>
      <w:tr>
        <w:tblPrEx>
          <w:shd w:val="clear" w:color="auto" w:fill="auto"/>
        </w:tblPrEx>
        <w:trPr>
          <w:trHeight w:val="176"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Asim, 2010</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eastAsiaTheme="minorEastAsia"/>
                <w:b w:val="0"/>
                <w:bCs w:val="0"/>
                <w:color w:val="000000"/>
                <w:lang w:eastAsia="zh-Hans"/>
              </w:rPr>
            </w:pPr>
            <w:r>
              <w:rPr>
                <w:rFonts w:hint="default" w:ascii="Times New Roman Regular" w:hAnsi="Times New Roman Regular" w:cs="Times New Roman Regular"/>
                <w:b w:val="0"/>
                <w:bCs w:val="0"/>
                <w:color w:val="000000"/>
                <w:lang w:val="en-US" w:eastAsia="zh-CN"/>
              </w:rPr>
              <w:t>FHF was considered when, after a typically acute onset, the patient become deeply jaundiced and went into hepatic encephalopathy within 8 w</w:t>
            </w:r>
            <w:r>
              <w:rPr>
                <w:rFonts w:hint="default" w:ascii="Times New Roman Regular" w:hAnsi="Times New Roman Regular" w:cs="Times New Roman Regular"/>
                <w:b w:val="0"/>
                <w:bCs w:val="0"/>
                <w:color w:val="000000"/>
                <w:lang w:val="en-US" w:eastAsia="zh-Hans"/>
              </w:rPr>
              <w:t>ee</w:t>
            </w:r>
            <w:r>
              <w:rPr>
                <w:rFonts w:hint="default" w:ascii="Times New Roman Regular" w:hAnsi="Times New Roman Regular" w:cs="Times New Roman Regular"/>
                <w:b w:val="0"/>
                <w:bCs w:val="0"/>
                <w:color w:val="000000"/>
                <w:lang w:val="en-US" w:eastAsia="zh-CN"/>
              </w:rPr>
              <w:t>k</w:t>
            </w:r>
            <w:r>
              <w:rPr>
                <w:rFonts w:hint="default" w:ascii="Times New Roman Regular" w:hAnsi="Times New Roman Regular" w:cs="Times New Roman Regular"/>
                <w:b w:val="0"/>
                <w:bCs w:val="0"/>
                <w:color w:val="000000"/>
                <w:lang w:val="en-US" w:eastAsia="zh-Hans"/>
              </w:rPr>
              <w:t>s</w:t>
            </w:r>
            <w:r>
              <w:rPr>
                <w:rFonts w:hint="default" w:ascii="Times New Roman Regular" w:hAnsi="Times New Roman Regular" w:cs="Times New Roman Regular"/>
                <w:b w:val="0"/>
                <w:bCs w:val="0"/>
                <w:color w:val="000000"/>
                <w:lang w:val="en-US" w:eastAsia="zh-CN"/>
              </w:rPr>
              <w:t xml:space="preserve"> of onset of the disease, with no past history of </w:t>
            </w:r>
            <w:r>
              <w:rPr>
                <w:rFonts w:hint="default" w:ascii="Times New Roman Regular" w:hAnsi="Times New Roman Regular" w:cs="Times New Roman Regular"/>
                <w:b w:val="0"/>
                <w:bCs w:val="0"/>
                <w:color w:val="000000"/>
                <w:lang w:val="en-US" w:eastAsia="zh-Hans"/>
              </w:rPr>
              <w:t>CLD</w:t>
            </w:r>
            <w:r>
              <w:rPr>
                <w:rFonts w:hint="default" w:ascii="Times New Roman Regular" w:hAnsi="Times New Roman Regular" w:cs="Times New Roman Regular"/>
                <w:b w:val="0"/>
                <w:bCs w:val="0"/>
                <w:color w:val="000000"/>
                <w:lang w:eastAsia="zh-CN"/>
              </w:rPr>
              <w:t>.</w:t>
            </w:r>
          </w:p>
        </w:tc>
      </w:tr>
      <w:tr>
        <w:tblPrEx>
          <w:shd w:val="clear" w:color="auto" w:fill="auto"/>
        </w:tblPrEx>
        <w:trPr>
          <w:trHeight w:val="602" w:hRule="atLeast"/>
        </w:trPr>
        <w:tc>
          <w:tcPr>
            <w:tcW w:w="644" w:type="pct"/>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Alam, 2009</w:t>
            </w:r>
          </w:p>
        </w:tc>
        <w:tc>
          <w:tcPr>
            <w:tcW w:w="4355" w:type="pct"/>
            <w:shd w:val="clear" w:color="auto" w:fill="CCCCCC"/>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eastAsiaTheme="minorEastAsia"/>
                <w:b w:val="0"/>
                <w:bCs w:val="0"/>
                <w:color w:val="000000"/>
                <w:lang w:eastAsia="zh-Hans"/>
              </w:rPr>
            </w:pPr>
            <w:r>
              <w:rPr>
                <w:rFonts w:hint="default" w:ascii="Times New Roman Regular" w:hAnsi="Times New Roman Regular" w:cs="Times New Roman Regular"/>
                <w:b w:val="0"/>
                <w:bCs w:val="0"/>
                <w:color w:val="000000"/>
                <w:lang w:val="en-US" w:eastAsia="zh-CN"/>
              </w:rPr>
              <w:t>The diagnosis of FHF was based on the occurrence of hepatic encephalopathy within 8 weeks of onset of jaundice in patients with no previous liver disease and the presence of coagulopathy as proved by a prothrombin time</w:t>
            </w:r>
            <w:r>
              <w:rPr>
                <w:rFonts w:hint="default" w:ascii="Times New Roman Regular" w:hAnsi="Times New Roman Regular" w:cs="Times New Roman Regular"/>
                <w:b w:val="0"/>
                <w:bCs w:val="0"/>
                <w:color w:val="000000"/>
                <w:lang w:eastAsia="zh-CN"/>
              </w:rPr>
              <w:t xml:space="preserve"> (PT)</w:t>
            </w:r>
            <w:r>
              <w:rPr>
                <w:rFonts w:hint="default" w:ascii="Times New Roman Regular" w:hAnsi="Times New Roman Regular" w:cs="Times New Roman Regular"/>
                <w:b w:val="0"/>
                <w:bCs w:val="0"/>
                <w:color w:val="000000"/>
                <w:lang w:val="en-US" w:eastAsia="zh-CN"/>
              </w:rPr>
              <w:t xml:space="preserve"> &gt; 15 s or INR &gt; 1.5</w:t>
            </w:r>
            <w:r>
              <w:rPr>
                <w:rFonts w:hint="default" w:ascii="Times New Roman Regular" w:hAnsi="Times New Roman Regular" w:cs="Times New Roman Regular"/>
                <w:b w:val="0"/>
                <w:bCs w:val="0"/>
                <w:color w:val="000000"/>
                <w:lang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PrEx>
        <w:trPr>
          <w:trHeight w:val="520"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Borkakoti, 2013</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 xml:space="preserve">The patients of acute liver failure were diagnosed on the basis of development of encephalopathy within 8 weeks of the onset of jaundice without any past history of </w:t>
            </w:r>
            <w:r>
              <w:rPr>
                <w:rFonts w:hint="default" w:ascii="Times New Roman Regular" w:hAnsi="Times New Roman Regular" w:cs="Times New Roman Regular"/>
                <w:b w:val="0"/>
                <w:bCs w:val="0"/>
                <w:color w:val="000000"/>
                <w:lang w:eastAsia="zh-CN"/>
              </w:rPr>
              <w:t>CLD.</w:t>
            </w:r>
          </w:p>
        </w:tc>
      </w:tr>
      <w:tr>
        <w:tblPrEx>
          <w:shd w:val="clear" w:color="auto" w:fill="auto"/>
        </w:tblPrEx>
        <w:trPr>
          <w:trHeight w:val="416" w:hRule="atLeast"/>
        </w:trPr>
        <w:tc>
          <w:tcPr>
            <w:tcW w:w="644" w:type="pct"/>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Mishra, 2016</w:t>
            </w:r>
          </w:p>
        </w:tc>
        <w:tc>
          <w:tcPr>
            <w:tcW w:w="4355" w:type="pct"/>
            <w:shd w:val="clear" w:color="auto" w:fill="CCCCCC"/>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Suspected cases of ALF were defined as: any evidence of coagulation abnormality, generally an INR &gt;1.5 and any degree of mental alteration (encephalopathy) without pre-existing cirrhosis and with an illness of &lt;</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4</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weeks’ duration</w:t>
            </w:r>
            <w:r>
              <w:rPr>
                <w:rFonts w:hint="default" w:ascii="Times New Roman Regular" w:hAnsi="Times New Roman Regular" w:cs="Times New Roman Regular"/>
                <w:b w:val="0"/>
                <w:bCs w:val="0"/>
                <w:color w:val="000000"/>
                <w:lang w:eastAsia="zh-CN"/>
              </w:rPr>
              <w:t>.</w:t>
            </w:r>
          </w:p>
        </w:tc>
      </w:tr>
      <w:tr>
        <w:tblPrEx>
          <w:shd w:val="clear" w:color="auto" w:fill="auto"/>
        </w:tblPrEx>
        <w:trPr>
          <w:trHeight w:val="936"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Shinde, 2014</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eastAsia="zh-CN"/>
              </w:rPr>
              <w:t>FHF</w:t>
            </w:r>
            <w:r>
              <w:rPr>
                <w:rFonts w:hint="default" w:ascii="Times New Roman Regular" w:hAnsi="Times New Roman Regular" w:cs="Times New Roman Regular"/>
                <w:b w:val="0"/>
                <w:bCs w:val="0"/>
                <w:color w:val="000000"/>
                <w:lang w:val="en-US" w:eastAsia="zh-CN"/>
              </w:rPr>
              <w:t xml:space="preserve"> was diagnosed when hepatic encephalopathy developed in a patient with acute viral hepatitis within 8 weeks of the onset of jaundice. Patients with hepatitis other than hepatitis E, dual viral infection, drug induced hepatitis, cholestatic jaundice of pregnancy/acute fatty liver of pregnancy, congestive hepatopathy, hepatitis due to severe infection or multiorgan failure, hemolysis, elevated liver enzymes, low platelets syndrome, clinical or laboratory evidence of </w:t>
            </w:r>
            <w:r>
              <w:rPr>
                <w:rFonts w:hint="default" w:ascii="Times New Roman Regular" w:hAnsi="Times New Roman Regular" w:cs="Times New Roman Regular"/>
                <w:b w:val="0"/>
                <w:bCs w:val="0"/>
                <w:color w:val="000000"/>
                <w:lang w:eastAsia="zh-CN"/>
              </w:rPr>
              <w:t>CLD</w:t>
            </w:r>
            <w:r>
              <w:rPr>
                <w:rFonts w:hint="default" w:ascii="Times New Roman Regular" w:hAnsi="Times New Roman Regular" w:cs="Times New Roman Regular"/>
                <w:b w:val="0"/>
                <w:bCs w:val="0"/>
                <w:color w:val="000000"/>
                <w:lang w:val="en-US" w:eastAsia="zh-CN"/>
              </w:rPr>
              <w:t>, alcoholic liver disease and hemolytic jaundice were excluded</w:t>
            </w:r>
            <w:r>
              <w:rPr>
                <w:rFonts w:hint="default" w:ascii="Times New Roman Regular" w:hAnsi="Times New Roman Regular" w:cs="Times New Roman Regular"/>
                <w:b w:val="0"/>
                <w:bCs w:val="0"/>
                <w:color w:val="000000"/>
                <w:lang w:eastAsia="zh-CN"/>
              </w:rPr>
              <w:t>.</w:t>
            </w:r>
          </w:p>
        </w:tc>
      </w:tr>
      <w:tr>
        <w:tblPrEx>
          <w:shd w:val="clear" w:color="auto" w:fill="auto"/>
        </w:tblPrEx>
        <w:trPr>
          <w:trHeight w:val="90" w:hRule="atLeast"/>
        </w:trPr>
        <w:tc>
          <w:tcPr>
            <w:tcW w:w="644" w:type="pct"/>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Mu，2022</w:t>
            </w:r>
          </w:p>
        </w:tc>
        <w:tc>
          <w:tcPr>
            <w:tcW w:w="4355" w:type="pct"/>
            <w:shd w:val="clear" w:color="auto" w:fill="CCCCCC"/>
            <w:vAlign w:val="center"/>
          </w:tcPr>
          <w:p>
            <w:pPr>
              <w:keepNext w:val="0"/>
              <w:keepLines w:val="0"/>
              <w:widowControl/>
              <w:suppressLineNumbers w:val="0"/>
              <w:spacing w:before="0" w:beforeAutospacing="0" w:after="0" w:afterAutospacing="0" w:line="240" w:lineRule="auto"/>
              <w:ind w:left="0" w:right="0"/>
              <w:jc w:val="left"/>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ALF was defined as patients who were hospitalized with PT values of 40% or less of the standardized value, or</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INR of 1.5 or more due to severe liver damage within 8 weeks of the first symptoms</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 xml:space="preserve">and mentation in the absence of </w:t>
            </w:r>
            <w:r>
              <w:rPr>
                <w:rFonts w:hint="default" w:ascii="Times New Roman Regular" w:hAnsi="Times New Roman Regular" w:cs="Times New Roman Regular"/>
                <w:b w:val="0"/>
                <w:bCs w:val="0"/>
                <w:color w:val="000000"/>
                <w:lang w:eastAsia="zh-CN"/>
              </w:rPr>
              <w:t>CLD.</w:t>
            </w:r>
          </w:p>
        </w:tc>
      </w:tr>
      <w:tr>
        <w:tblPrEx>
          <w:shd w:val="clear" w:color="auto" w:fill="auto"/>
        </w:tblPrEx>
        <w:trPr>
          <w:trHeight w:val="936"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Mahtab,2009</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Patients were diagnosed based on the history from attendants, clinical features, physical examinations, laboratory investigations, and imaging. Only those patients who presented with severe impairment of hepato-cellular function, i.e. encephalopathy, coagulopathy, and jaundice, within six months of onset of symptoms were included in the study. They were all previously healthy.</w:t>
            </w:r>
          </w:p>
        </w:tc>
      </w:tr>
      <w:tr>
        <w:tblPrEx>
          <w:shd w:val="clear" w:color="auto" w:fill="auto"/>
        </w:tblPrEx>
        <w:trPr>
          <w:trHeight w:val="498" w:hRule="atLeast"/>
        </w:trPr>
        <w:tc>
          <w:tcPr>
            <w:tcW w:w="644" w:type="pct"/>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Das,2016</w:t>
            </w:r>
          </w:p>
        </w:tc>
        <w:tc>
          <w:tcPr>
            <w:tcW w:w="4355" w:type="pct"/>
            <w:shd w:val="clear" w:color="auto" w:fill="CCCCCC"/>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The diagnosis of ALF was made by a history of development of encephalopathy within 8 weeks of disease onset.</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 xml:space="preserve">Patients who had history or had clinical/imaging/biochemical features of </w:t>
            </w:r>
            <w:r>
              <w:rPr>
                <w:rFonts w:hint="default" w:ascii="Times New Roman Regular" w:hAnsi="Times New Roman Regular" w:cs="Times New Roman Regular"/>
                <w:b w:val="0"/>
                <w:bCs w:val="0"/>
                <w:color w:val="000000"/>
                <w:lang w:eastAsia="zh-CN"/>
              </w:rPr>
              <w:t>CLD</w:t>
            </w:r>
            <w:r>
              <w:rPr>
                <w:rFonts w:hint="default" w:ascii="Times New Roman Regular" w:hAnsi="Times New Roman Regular" w:cs="Times New Roman Regular"/>
                <w:b w:val="0"/>
                <w:bCs w:val="0"/>
                <w:color w:val="000000"/>
                <w:lang w:val="en-US" w:eastAsia="zh-CN"/>
              </w:rPr>
              <w:t xml:space="preserve"> and history of significant alcohol ingestion (&gt;20 gm daily) were excluded.</w:t>
            </w:r>
          </w:p>
        </w:tc>
      </w:tr>
      <w:tr>
        <w:tblPrEx>
          <w:shd w:val="clear" w:color="auto" w:fill="auto"/>
        </w:tblPrEx>
        <w:trPr>
          <w:trHeight w:val="627"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Memon,2021</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eastAsiaTheme="minorEastAsia"/>
                <w:b w:val="0"/>
                <w:bCs w:val="0"/>
                <w:color w:val="000000"/>
                <w:lang w:eastAsia="zh-Hans"/>
              </w:rPr>
            </w:pPr>
            <w:r>
              <w:rPr>
                <w:rFonts w:hint="default" w:ascii="Times New Roman Regular" w:hAnsi="Times New Roman Regular" w:cs="Times New Roman Regular"/>
                <w:b w:val="0"/>
                <w:bCs w:val="0"/>
                <w:color w:val="000000"/>
                <w:lang w:val="en-US" w:eastAsia="zh-Hans"/>
              </w:rPr>
              <w:t>Patients</w:t>
            </w:r>
            <w:r>
              <w:rPr>
                <w:rFonts w:hint="default" w:ascii="Times New Roman Regular" w:hAnsi="Times New Roman Regular" w:cs="Times New Roman Regular"/>
                <w:b w:val="0"/>
                <w:bCs w:val="0"/>
                <w:color w:val="000000"/>
                <w:lang w:val="en-US" w:eastAsia="zh-CN"/>
              </w:rPr>
              <w:t xml:space="preserve"> presented as hepatic encephalopathy, jaundice and coagulopathy were labeled as </w:t>
            </w:r>
            <w:r>
              <w:rPr>
                <w:rFonts w:hint="default" w:ascii="Times New Roman Regular" w:hAnsi="Times New Roman Regular" w:cs="Times New Roman Regular"/>
                <w:b w:val="0"/>
                <w:bCs w:val="0"/>
                <w:color w:val="000000"/>
                <w:lang w:val="en-US" w:eastAsia="zh-Hans"/>
              </w:rPr>
              <w:t>FHF</w:t>
            </w:r>
            <w:r>
              <w:rPr>
                <w:rFonts w:hint="default" w:ascii="Times New Roman Regular" w:hAnsi="Times New Roman Regular" w:cs="Times New Roman Regular"/>
                <w:b w:val="0"/>
                <w:bCs w:val="0"/>
                <w:color w:val="000000"/>
                <w:lang w:val="en-US" w:eastAsia="zh-CN"/>
              </w:rPr>
              <w:t>.</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 xml:space="preserve">Patients with known </w:t>
            </w:r>
            <w:r>
              <w:rPr>
                <w:rFonts w:hint="default" w:ascii="Times New Roman Regular" w:hAnsi="Times New Roman Regular" w:cs="Times New Roman Regular"/>
                <w:b w:val="0"/>
                <w:bCs w:val="0"/>
                <w:color w:val="000000"/>
                <w:lang w:eastAsia="zh-CN"/>
              </w:rPr>
              <w:t>CLD</w:t>
            </w:r>
            <w:r>
              <w:rPr>
                <w:rFonts w:hint="default" w:ascii="Times New Roman Regular" w:hAnsi="Times New Roman Regular" w:cs="Times New Roman Regular"/>
                <w:b w:val="0"/>
                <w:bCs w:val="0"/>
                <w:color w:val="000000"/>
                <w:lang w:val="en-US" w:eastAsia="zh-CN"/>
              </w:rPr>
              <w:t xml:space="preserve"> were excluded from the study</w:t>
            </w:r>
            <w:r>
              <w:rPr>
                <w:rFonts w:hint="default" w:ascii="Times New Roman Regular" w:hAnsi="Times New Roman Regular" w:cs="Times New Roman Regular"/>
                <w:b w:val="0"/>
                <w:bCs w:val="0"/>
                <w:color w:val="000000"/>
                <w:lang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PrEx>
        <w:trPr>
          <w:trHeight w:val="90" w:hRule="atLeast"/>
        </w:trPr>
        <w:tc>
          <w:tcPr>
            <w:tcW w:w="644" w:type="pct"/>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Kar, 2009</w:t>
            </w:r>
          </w:p>
        </w:tc>
        <w:tc>
          <w:tcPr>
            <w:tcW w:w="4355" w:type="pct"/>
            <w:shd w:val="clear" w:color="auto" w:fill="CCCCCC"/>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 xml:space="preserve">The </w:t>
            </w:r>
            <w:r>
              <w:rPr>
                <w:rFonts w:hint="default" w:ascii="Times New Roman Regular" w:hAnsi="Times New Roman Regular" w:cs="Times New Roman Regular"/>
                <w:b w:val="0"/>
                <w:bCs w:val="0"/>
                <w:color w:val="000000"/>
                <w:lang w:eastAsia="zh-CN"/>
              </w:rPr>
              <w:t>FHF</w:t>
            </w:r>
            <w:r>
              <w:rPr>
                <w:rFonts w:hint="default" w:ascii="Times New Roman Regular" w:hAnsi="Times New Roman Regular" w:cs="Times New Roman Regular"/>
                <w:b w:val="0"/>
                <w:bCs w:val="0"/>
                <w:color w:val="000000"/>
                <w:lang w:val="en-US" w:eastAsia="zh-CN"/>
              </w:rPr>
              <w:t xml:space="preserve"> was diagnosed when after a typical acute onset, patient become deeply jaundiced and went into hepatic encephalopathy within 8 wk of onset of disease without any past history of </w:t>
            </w:r>
            <w:r>
              <w:rPr>
                <w:rFonts w:hint="default" w:ascii="Times New Roman Regular" w:hAnsi="Times New Roman Regular" w:cs="Times New Roman Regular"/>
                <w:b w:val="0"/>
                <w:bCs w:val="0"/>
                <w:color w:val="000000"/>
                <w:lang w:eastAsia="zh-CN"/>
              </w:rPr>
              <w:t>CLD.</w:t>
            </w:r>
          </w:p>
        </w:tc>
      </w:tr>
      <w:tr>
        <w:tblPrEx>
          <w:shd w:val="clear" w:color="auto" w:fill="auto"/>
        </w:tblPrEx>
        <w:trPr>
          <w:trHeight w:val="465"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Majumdar, 2013</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rPr>
            </w:pPr>
            <w:r>
              <w:rPr>
                <w:rFonts w:hint="default" w:ascii="Times New Roman Regular" w:hAnsi="Times New Roman Regular" w:cs="Times New Roman Regular"/>
                <w:b w:val="0"/>
                <w:bCs w:val="0"/>
                <w:color w:val="000000"/>
                <w:lang w:val="en-US" w:eastAsia="zh-CN"/>
              </w:rPr>
              <w:t>ALF was considered when the patient develop evidence of coagulation abnormality with an INR</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 1.5 and develop encephalopathy with an illness of &lt;26 weeks duration, without any history of preexisting liver disease</w:t>
            </w:r>
            <w:r>
              <w:rPr>
                <w:rFonts w:hint="default" w:ascii="Times New Roman Regular" w:hAnsi="Times New Roman Regular" w:cs="Times New Roman Regular"/>
                <w:b w:val="0"/>
                <w:bCs w:val="0"/>
                <w:color w:val="000000"/>
                <w:lang w:eastAsia="zh-CN"/>
              </w:rPr>
              <w:t>.</w:t>
            </w:r>
          </w:p>
        </w:tc>
      </w:tr>
      <w:tr>
        <w:tblPrEx>
          <w:shd w:val="clear" w:color="auto" w:fill="auto"/>
        </w:tblPrEx>
        <w:trPr>
          <w:trHeight w:val="465" w:hRule="atLeast"/>
        </w:trPr>
        <w:tc>
          <w:tcPr>
            <w:tcW w:w="644" w:type="pct"/>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lang w:val="en-US" w:eastAsia="zh-CN"/>
              </w:rPr>
            </w:pPr>
            <w:r>
              <w:rPr>
                <w:rFonts w:hint="default" w:ascii="Times New Roman Regular" w:hAnsi="Times New Roman Regular" w:cs="Times New Roman Regular"/>
                <w:b w:val="0"/>
                <w:bCs w:val="0"/>
                <w:color w:val="000000"/>
                <w:lang w:val="en-US" w:eastAsia="zh-CN"/>
              </w:rPr>
              <w:t>Bhatia, 2008</w:t>
            </w:r>
          </w:p>
        </w:tc>
        <w:tc>
          <w:tcPr>
            <w:tcW w:w="4355" w:type="pct"/>
            <w:shd w:val="clear" w:color="auto" w:fill="CCCCCC"/>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lang w:eastAsia="zh-CN"/>
              </w:rPr>
            </w:pPr>
            <w:r>
              <w:rPr>
                <w:rFonts w:hint="default" w:ascii="Times New Roman Regular" w:hAnsi="Times New Roman Regular" w:cs="Times New Roman Regular"/>
                <w:b w:val="0"/>
                <w:bCs w:val="0"/>
                <w:color w:val="000000"/>
                <w:lang w:val="en-US" w:eastAsia="zh-CN"/>
              </w:rPr>
              <w:t>ALF was defined by the occurrence of encephalopathy within 4 weeks of onset of symptoms in the absence of preexisting liver disease.</w:t>
            </w:r>
          </w:p>
        </w:tc>
      </w:tr>
      <w:tr>
        <w:tblPrEx>
          <w:shd w:val="clear" w:color="auto" w:fill="auto"/>
        </w:tblPrEx>
        <w:trPr>
          <w:trHeight w:val="465"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lang w:val="en-US" w:eastAsia="zh-CN"/>
              </w:rPr>
            </w:pPr>
            <w:r>
              <w:rPr>
                <w:rFonts w:hint="default" w:ascii="Times New Roman Regular" w:hAnsi="Times New Roman Regular" w:cs="Times New Roman Regular"/>
                <w:b w:val="0"/>
                <w:bCs w:val="0"/>
                <w:color w:val="000000"/>
                <w:lang w:val="en-US" w:eastAsia="zh-CN"/>
              </w:rPr>
              <w:t>Xiang, 2022</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lang w:val="en-US" w:eastAsia="zh-CN"/>
              </w:rPr>
            </w:pPr>
            <w:r>
              <w:rPr>
                <w:rFonts w:hint="default" w:ascii="Times New Roman Regular" w:hAnsi="Times New Roman Regular" w:cs="Times New Roman Regular"/>
                <w:b w:val="0"/>
                <w:bCs w:val="0"/>
                <w:color w:val="000000"/>
                <w:lang w:val="en-US" w:eastAsia="zh-CN"/>
              </w:rPr>
              <w:t>ALF was diagnosed as followed:</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 xml:space="preserve">abnormal liver synthetic function, including </w:t>
            </w:r>
            <w:r>
              <w:rPr>
                <w:rFonts w:hint="default" w:ascii="Times New Roman Regular" w:hAnsi="Times New Roman Regular" w:cs="Times New Roman Regular"/>
                <w:b w:val="0"/>
                <w:bCs w:val="0"/>
                <w:color w:val="000000"/>
                <w:lang w:eastAsia="zh-CN"/>
              </w:rPr>
              <w:t>PTA</w:t>
            </w:r>
            <w:r>
              <w:rPr>
                <w:rFonts w:hint="default" w:ascii="Times New Roman Regular" w:hAnsi="Times New Roman Regular" w:cs="Times New Roman Regular"/>
                <w:b w:val="0"/>
                <w:bCs w:val="0"/>
                <w:color w:val="000000"/>
                <w:lang w:val="en-US" w:eastAsia="zh-CN"/>
              </w:rPr>
              <w:t xml:space="preserve"> of less than 40% combined with hepatic atrophy and jaundice in 2 weeks; encephalopathy in stage 2/3 complicated with manifestations of end‐stage disease; no </w:t>
            </w:r>
            <w:r>
              <w:rPr>
                <w:rFonts w:hint="default" w:ascii="Times New Roman Regular" w:hAnsi="Times New Roman Regular" w:cs="Times New Roman Regular"/>
                <w:b w:val="0"/>
                <w:bCs w:val="0"/>
                <w:color w:val="000000"/>
                <w:lang w:val="en-US" w:eastAsia="zh-Hans"/>
              </w:rPr>
              <w:t>CLD</w:t>
            </w:r>
            <w:r>
              <w:rPr>
                <w:rFonts w:hint="default" w:ascii="Times New Roman Regular" w:hAnsi="Times New Roman Regular" w:cs="Times New Roman Regular"/>
                <w:b w:val="0"/>
                <w:bCs w:val="0"/>
                <w:color w:val="000000"/>
                <w:lang w:val="en-US" w:eastAsia="zh-CN"/>
              </w:rPr>
              <w:t>.</w:t>
            </w:r>
          </w:p>
        </w:tc>
      </w:tr>
      <w:tr>
        <w:tblPrEx>
          <w:shd w:val="clear" w:color="auto" w:fill="auto"/>
        </w:tblPrEx>
        <w:trPr>
          <w:trHeight w:val="465" w:hRule="atLeast"/>
        </w:trPr>
        <w:tc>
          <w:tcPr>
            <w:tcW w:w="644" w:type="pct"/>
            <w:shd w:val="clear" w:color="auto" w:fill="CCCCCC"/>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b w:val="0"/>
                <w:bCs w:val="0"/>
                <w:color w:val="000000"/>
                <w:lang w:val="en-US" w:eastAsia="zh-CN"/>
              </w:rPr>
            </w:pPr>
            <w:r>
              <w:rPr>
                <w:rFonts w:hint="default" w:ascii="Times New Roman Regular" w:hAnsi="Times New Roman Regular" w:cs="Times New Roman Regular"/>
                <w:b w:val="0"/>
                <w:bCs w:val="0"/>
                <w:color w:val="000000"/>
                <w:lang w:val="en-US" w:eastAsia="zh-CN"/>
              </w:rPr>
              <w:t>Liu</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2008</w:t>
            </w:r>
          </w:p>
        </w:tc>
        <w:tc>
          <w:tcPr>
            <w:tcW w:w="4355" w:type="pct"/>
            <w:shd w:val="clear" w:color="auto" w:fill="CCCCCC"/>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lang w:val="en-US" w:eastAsia="zh-CN"/>
              </w:rPr>
            </w:pPr>
            <w:r>
              <w:rPr>
                <w:rFonts w:hint="default" w:ascii="Times New Roman Regular" w:hAnsi="Times New Roman Regular" w:cs="Times New Roman Regular"/>
                <w:b w:val="0"/>
                <w:bCs w:val="0"/>
                <w:color w:val="000000"/>
                <w:lang w:val="en-US" w:eastAsia="zh-CN"/>
              </w:rPr>
              <w:t>ALF was define as, when after an acute onset, patient develop stage 2 or above encephalopathy in 2 weeks, the presence of extremely weak, deeply jaundiced, severe gastrointestinal symptoms, hepatic atrophy,PTA ≤40%; patients with known CLD were excluded.</w:t>
            </w:r>
          </w:p>
        </w:tc>
      </w:tr>
      <w:tr>
        <w:tblPrEx>
          <w:shd w:val="clear" w:color="auto" w:fill="auto"/>
        </w:tblPrEx>
        <w:trPr>
          <w:trHeight w:val="465" w:hRule="atLeast"/>
        </w:trPr>
        <w:tc>
          <w:tcPr>
            <w:tcW w:w="644" w:type="pct"/>
            <w:shd w:val="clear" w:color="auto" w:fill="FFFFFF"/>
            <w:vAlign w:val="center"/>
          </w:tcPr>
          <w:p>
            <w:pPr>
              <w:keepNext w:val="0"/>
              <w:keepLines w:val="0"/>
              <w:widowControl/>
              <w:suppressLineNumbers w:val="0"/>
              <w:spacing w:before="0" w:beforeAutospacing="0" w:after="0" w:afterAutospacing="0" w:line="240" w:lineRule="auto"/>
              <w:ind w:left="0" w:right="0"/>
              <w:jc w:val="center"/>
              <w:rPr>
                <w:rFonts w:hint="default" w:ascii="Times New Roman Regular" w:hAnsi="Times New Roman Regular" w:cs="Times New Roman Regular" w:eastAsiaTheme="minorEastAsia"/>
                <w:b w:val="0"/>
                <w:bCs w:val="0"/>
                <w:color w:val="000000"/>
                <w:lang w:eastAsia="zh-Hans"/>
              </w:rPr>
            </w:pPr>
            <w:r>
              <w:rPr>
                <w:rFonts w:hint="default" w:ascii="Times New Roman Regular" w:hAnsi="Times New Roman Regular" w:cs="Times New Roman Regular"/>
                <w:b w:val="0"/>
                <w:bCs w:val="0"/>
                <w:color w:val="000000"/>
                <w:lang w:val="en-US" w:eastAsia="zh-Hans"/>
              </w:rPr>
              <w:t>Wu</w:t>
            </w:r>
            <w:r>
              <w:rPr>
                <w:rFonts w:hint="default" w:ascii="Times New Roman Regular" w:hAnsi="Times New Roman Regular" w:cs="Times New Roman Regular"/>
                <w:b w:val="0"/>
                <w:bCs w:val="0"/>
                <w:color w:val="000000"/>
                <w:lang w:eastAsia="zh-Hans"/>
              </w:rPr>
              <w:t>, 2022</w:t>
            </w:r>
          </w:p>
        </w:tc>
        <w:tc>
          <w:tcPr>
            <w:tcW w:w="4355" w:type="pct"/>
            <w:shd w:val="clear" w:color="auto" w:fill="FFFFFF"/>
            <w:vAlign w:val="center"/>
          </w:tcPr>
          <w:p>
            <w:pPr>
              <w:keepNext w:val="0"/>
              <w:keepLines w:val="0"/>
              <w:widowControl/>
              <w:suppressLineNumbers w:val="0"/>
              <w:spacing w:before="0" w:beforeAutospacing="0" w:after="0" w:afterAutospacing="0" w:line="240" w:lineRule="auto"/>
              <w:ind w:left="0" w:right="0"/>
              <w:rPr>
                <w:rFonts w:hint="default" w:ascii="Times New Roman Regular" w:hAnsi="Times New Roman Regular" w:cs="Times New Roman Regular"/>
                <w:b w:val="0"/>
                <w:bCs w:val="0"/>
                <w:color w:val="000000"/>
                <w:lang w:val="en-US" w:eastAsia="zh-CN"/>
              </w:rPr>
            </w:pPr>
            <w:r>
              <w:rPr>
                <w:rFonts w:hint="default" w:ascii="Times New Roman Regular" w:hAnsi="Times New Roman Regular" w:cs="Times New Roman Regular"/>
                <w:b w:val="0"/>
                <w:bCs w:val="0"/>
                <w:color w:val="000000"/>
                <w:lang w:eastAsia="zh-CN"/>
              </w:rPr>
              <w:t xml:space="preserve">ALF was defined as: </w:t>
            </w:r>
            <w:r>
              <w:rPr>
                <w:rFonts w:hint="default" w:ascii="Times New Roman Regular" w:hAnsi="Times New Roman Regular" w:cs="Times New Roman Regular"/>
                <w:b w:val="0"/>
                <w:bCs w:val="0"/>
                <w:color w:val="000000"/>
                <w:lang w:val="en-US" w:eastAsia="zh-CN"/>
              </w:rPr>
              <w:t>evidence of abnormal liver synthetic function (</w:t>
            </w:r>
            <w:r>
              <w:rPr>
                <w:rFonts w:hint="default" w:ascii="Times New Roman Regular" w:hAnsi="Times New Roman Regular" w:cs="Times New Roman Regular"/>
                <w:b w:val="0"/>
                <w:bCs w:val="0"/>
                <w:color w:val="000000"/>
                <w:lang w:eastAsia="zh-CN"/>
              </w:rPr>
              <w:t>PTA</w:t>
            </w:r>
            <w:r>
              <w:rPr>
                <w:rFonts w:hint="default" w:ascii="Times New Roman Regular" w:hAnsi="Times New Roman Regular" w:cs="Times New Roman Regular"/>
                <w:b w:val="0"/>
                <w:bCs w:val="0"/>
                <w:color w:val="000000"/>
                <w:lang w:val="en-US" w:eastAsia="zh-CN"/>
              </w:rPr>
              <w:t xml:space="preserve"> ≤40%</w:t>
            </w:r>
            <w:r>
              <w:rPr>
                <w:rFonts w:hint="default" w:ascii="Times New Roman Regular" w:hAnsi="Times New Roman Regular" w:cs="Times New Roman Regular"/>
                <w:b w:val="0"/>
                <w:bCs w:val="0"/>
                <w:color w:val="000000"/>
                <w:lang w:eastAsia="zh-CN"/>
              </w:rPr>
              <w:t xml:space="preserve"> or </w:t>
            </w:r>
            <w:r>
              <w:rPr>
                <w:rFonts w:hint="default" w:ascii="Times New Roman Regular" w:hAnsi="Times New Roman Regular" w:cs="Times New Roman Regular"/>
                <w:b w:val="0"/>
                <w:bCs w:val="0"/>
                <w:color w:val="000000"/>
                <w:lang w:val="en-US" w:eastAsia="zh-CN"/>
              </w:rPr>
              <w:t>INR ≥1.5), jaundice, and hepatic</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atrophy over a 2-week period;</w:t>
            </w:r>
            <w:r>
              <w:rPr>
                <w:rFonts w:hint="default" w:ascii="Times New Roman Regular" w:hAnsi="Times New Roman Regular" w:cs="Times New Roman Regular"/>
                <w:b w:val="0"/>
                <w:bCs w:val="0"/>
                <w:color w:val="000000"/>
                <w:lang w:eastAsia="zh-CN"/>
              </w:rPr>
              <w:t xml:space="preserve"> </w:t>
            </w:r>
            <w:r>
              <w:rPr>
                <w:rFonts w:hint="default" w:ascii="Times New Roman Regular" w:hAnsi="Times New Roman Regular" w:cs="Times New Roman Regular"/>
                <w:b w:val="0"/>
                <w:bCs w:val="0"/>
                <w:color w:val="000000"/>
                <w:lang w:val="en-US" w:eastAsia="zh-CN"/>
              </w:rPr>
              <w:t xml:space="preserve">the presence of stage 2 or 3 encephalopathy complicating end-stage disease manifestations; no </w:t>
            </w:r>
            <w:r>
              <w:rPr>
                <w:rFonts w:hint="default" w:ascii="Times New Roman Regular" w:hAnsi="Times New Roman Regular" w:cs="Times New Roman Regular"/>
                <w:b w:val="0"/>
                <w:bCs w:val="0"/>
                <w:color w:val="000000"/>
                <w:lang w:val="en-US" w:eastAsia="zh-Hans"/>
              </w:rPr>
              <w:t>CLD</w:t>
            </w:r>
            <w:r>
              <w:rPr>
                <w:rFonts w:hint="default" w:ascii="Times New Roman Regular" w:hAnsi="Times New Roman Regular" w:cs="Times New Roman Regular"/>
                <w:b w:val="0"/>
                <w:bCs w:val="0"/>
                <w:color w:val="000000"/>
                <w:lang w:val="en-US" w:eastAsia="zh-CN"/>
              </w:rPr>
              <w:t>.</w:t>
            </w:r>
          </w:p>
        </w:tc>
      </w:tr>
    </w:tbl>
    <w:p>
      <w:pPr>
        <w:keepNext w:val="0"/>
        <w:keepLines w:val="0"/>
        <w:widowControl/>
        <w:suppressLineNumbers w:val="0"/>
        <w:spacing w:before="120" w:beforeAutospacing="0" w:after="240" w:afterAutospacing="0" w:line="240" w:lineRule="auto"/>
        <w:ind w:left="0" w:right="0"/>
        <w:jc w:val="left"/>
      </w:pPr>
    </w:p>
    <w:p>
      <w:pPr>
        <w:spacing w:line="240" w:lineRule="auto"/>
        <w:rPr>
          <w:rFonts w:hint="default" w:ascii="Times New Roman Regular" w:hAnsi="Times New Roman Regular" w:cs="Times New Roman Regular"/>
          <w:lang w:eastAsia="zh-CN"/>
        </w:rPr>
      </w:pPr>
    </w:p>
    <w:p>
      <w:pPr>
        <w:spacing w:line="240" w:lineRule="auto"/>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sectPr>
          <w:pgSz w:w="16838" w:h="11906" w:orient="landscape"/>
          <w:pgMar w:top="720" w:right="864" w:bottom="720" w:left="864" w:header="706" w:footer="706" w:gutter="0"/>
          <w:pgNumType w:fmt="decimal"/>
          <w:cols w:space="720" w:num="1"/>
          <w:docGrid w:linePitch="360" w:charSpace="0"/>
        </w:sectPr>
      </w:pPr>
    </w:p>
    <w:p>
      <w:pPr>
        <w:shd w:val="clear" w:color="auto" w:fill="FFFFFF"/>
        <w:spacing w:after="0" w:line="240" w:lineRule="auto"/>
        <w:rPr>
          <w:rFonts w:hint="eastAsia" w:ascii="Times New Roman Regular" w:hAnsi="Times New Roman Regular" w:eastAsia="宋体" w:cs="Times New Roman Regular"/>
          <w:bCs/>
          <w:kern w:val="0"/>
          <w:sz w:val="24"/>
          <w:szCs w:val="24"/>
        </w:rPr>
      </w:pPr>
      <w:r>
        <w:rPr>
          <w:rFonts w:ascii="Times New Roman Bold" w:hAnsi="Times New Roman Bold" w:eastAsia="Times New Roman" w:cs="Times New Roman Bold"/>
          <w:b/>
          <w:color w:val="000000"/>
          <w:sz w:val="24"/>
          <w:szCs w:val="24"/>
          <w:lang w:val="en-US" w:eastAsia="zh-Hans"/>
        </w:rPr>
        <w:t>Supplementary</w:t>
      </w:r>
      <w:r>
        <w:rPr>
          <w:rFonts w:ascii="Times New Roman Bold" w:hAnsi="Times New Roman Bold" w:eastAsia="Times New Roman" w:cs="Times New Roman Bold"/>
          <w:b/>
          <w:color w:val="000000"/>
          <w:sz w:val="24"/>
          <w:szCs w:val="24"/>
          <w:lang w:eastAsia="zh-Hans"/>
        </w:rPr>
        <w:t xml:space="preserve"> Table.</w:t>
      </w:r>
      <w:r>
        <w:rPr>
          <w:rFonts w:hint="default" w:ascii="Times New Roman Bold" w:hAnsi="Times New Roman Bold" w:eastAsia="Times New Roman" w:cs="Times New Roman Bold"/>
          <w:b/>
          <w:color w:val="000000"/>
          <w:sz w:val="24"/>
          <w:szCs w:val="24"/>
          <w:lang w:eastAsia="zh-Hans"/>
        </w:rPr>
        <w:t xml:space="preserve">6 </w:t>
      </w:r>
      <w:r>
        <w:rPr>
          <w:rFonts w:hint="default" w:ascii="Times New Roman Bold" w:hAnsi="Times New Roman Bold" w:eastAsia="宋体" w:cs="Times New Roman Bold"/>
          <w:b/>
          <w:bCs w:val="0"/>
          <w:kern w:val="0"/>
          <w:sz w:val="24"/>
          <w:szCs w:val="24"/>
          <w:lang w:val="en-US" w:eastAsia="zh-CN" w:bidi="ar"/>
        </w:rPr>
        <w:t>Publication Bias</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841"/>
        <w:gridCol w:w="2241"/>
        <w:gridCol w:w="1769"/>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6" w:type="pct"/>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Bold" w:hAnsi="Times New Roman Bold" w:eastAsia="宋体" w:cs="Times New Roman Bold"/>
                <w:b/>
                <w:bCs/>
                <w:kern w:val="2"/>
                <w:sz w:val="21"/>
                <w:szCs w:val="21"/>
              </w:rPr>
            </w:pPr>
            <w:r>
              <w:rPr>
                <w:rFonts w:hint="default" w:ascii="Times New Roman Bold" w:hAnsi="Times New Roman Bold" w:eastAsia="宋体" w:cs="Times New Roman Bold"/>
                <w:b/>
                <w:bCs/>
                <w:kern w:val="2"/>
                <w:sz w:val="21"/>
                <w:szCs w:val="21"/>
                <w:lang w:val="en-US" w:eastAsia="zh-CN" w:bidi="ar"/>
              </w:rPr>
              <w:t>Results</w:t>
            </w:r>
          </w:p>
        </w:tc>
        <w:tc>
          <w:tcPr>
            <w:tcW w:w="1049" w:type="pct"/>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Times New Roman Bold" w:hAnsi="Times New Roman Bold" w:eastAsia="宋体" w:cs="Times New Roman Bold"/>
                <w:b/>
                <w:bCs/>
                <w:kern w:val="2"/>
                <w:sz w:val="21"/>
                <w:szCs w:val="21"/>
                <w:lang w:val="en-US" w:eastAsia="zh-Hans" w:bidi="ar"/>
              </w:rPr>
            </w:pPr>
            <w:r>
              <w:rPr>
                <w:rFonts w:hint="eastAsia" w:ascii="Times New Roman Bold" w:hAnsi="Times New Roman Bold" w:cs="Times New Roman Bold"/>
                <w:b/>
                <w:bCs/>
                <w:kern w:val="2"/>
                <w:sz w:val="21"/>
                <w:szCs w:val="21"/>
                <w:lang w:val="en-US" w:eastAsia="zh-Hans" w:bidi="ar"/>
              </w:rPr>
              <w:t>Status</w:t>
            </w:r>
          </w:p>
        </w:tc>
        <w:tc>
          <w:tcPr>
            <w:tcW w:w="828" w:type="pct"/>
            <w:tcBorders>
              <w:top w:val="single" w:color="auto" w:sz="4" w:space="0"/>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Bold" w:hAnsi="Times New Roman Bold" w:eastAsia="宋体" w:cs="Times New Roman Bold"/>
                <w:b/>
                <w:bCs/>
                <w:kern w:val="2"/>
                <w:sz w:val="21"/>
                <w:szCs w:val="21"/>
              </w:rPr>
            </w:pPr>
            <w:r>
              <w:rPr>
                <w:rFonts w:hint="default" w:ascii="Times New Roman Bold Italic" w:hAnsi="Times New Roman Bold Italic" w:eastAsia="宋体" w:cs="Times New Roman Bold Italic"/>
                <w:b/>
                <w:bCs/>
                <w:i/>
                <w:iCs/>
                <w:kern w:val="2"/>
                <w:sz w:val="21"/>
                <w:szCs w:val="21"/>
                <w:lang w:val="en-US" w:eastAsia="zh-CN" w:bidi="ar"/>
              </w:rPr>
              <w:t>P</w:t>
            </w:r>
            <w:r>
              <w:rPr>
                <w:rFonts w:hint="default" w:ascii="Times New Roman Bold" w:hAnsi="Times New Roman Bold" w:eastAsia="宋体" w:cs="Times New Roman Bold"/>
                <w:b/>
                <w:bCs/>
                <w:kern w:val="2"/>
                <w:sz w:val="21"/>
                <w:szCs w:val="21"/>
                <w:lang w:val="en-US" w:eastAsia="zh-CN" w:bidi="ar"/>
              </w:rPr>
              <w:t xml:space="preserve"> value</w:t>
            </w:r>
          </w:p>
          <w:p>
            <w:pPr>
              <w:keepNext w:val="0"/>
              <w:keepLines w:val="0"/>
              <w:widowControl w:val="0"/>
              <w:suppressLineNumbers w:val="0"/>
              <w:spacing w:before="0" w:beforeAutospacing="0" w:after="0" w:afterAutospacing="0"/>
              <w:ind w:left="0" w:right="0"/>
              <w:jc w:val="center"/>
              <w:rPr>
                <w:rFonts w:hint="default" w:ascii="Times New Roman Bold" w:hAnsi="Times New Roman Bold" w:eastAsia="宋体" w:cs="Times New Roman Bold"/>
                <w:b/>
                <w:bCs/>
                <w:kern w:val="2"/>
                <w:sz w:val="21"/>
                <w:szCs w:val="21"/>
              </w:rPr>
            </w:pPr>
            <w:r>
              <w:rPr>
                <w:rFonts w:hint="default" w:ascii="Times New Roman Bold" w:hAnsi="Times New Roman Bold" w:eastAsia="宋体" w:cs="Times New Roman Bold"/>
                <w:b/>
                <w:bCs/>
                <w:kern w:val="2"/>
                <w:sz w:val="21"/>
                <w:szCs w:val="21"/>
                <w:lang w:val="en-US" w:eastAsia="zh-CN" w:bidi="ar"/>
              </w:rPr>
              <w:t>(Begg’s test)</w:t>
            </w:r>
          </w:p>
        </w:tc>
        <w:tc>
          <w:tcPr>
            <w:tcW w:w="855" w:type="pct"/>
            <w:tcBorders>
              <w:top w:val="single" w:color="auto" w:sz="4" w:space="0"/>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Bold" w:hAnsi="Times New Roman Bold" w:eastAsia="宋体" w:cs="Times New Roman Bold"/>
                <w:b/>
                <w:bCs/>
                <w:kern w:val="2"/>
                <w:sz w:val="21"/>
                <w:szCs w:val="21"/>
              </w:rPr>
            </w:pPr>
            <w:r>
              <w:rPr>
                <w:rFonts w:hint="default" w:ascii="Times New Roman Bold Italic" w:hAnsi="Times New Roman Bold Italic" w:eastAsia="宋体" w:cs="Times New Roman Bold Italic"/>
                <w:b/>
                <w:bCs/>
                <w:i/>
                <w:iCs/>
                <w:kern w:val="2"/>
                <w:sz w:val="21"/>
                <w:szCs w:val="21"/>
                <w:lang w:val="en-US" w:eastAsia="zh-CN" w:bidi="ar"/>
              </w:rPr>
              <w:t>P</w:t>
            </w:r>
            <w:r>
              <w:rPr>
                <w:rFonts w:hint="default" w:ascii="Times New Roman Bold" w:hAnsi="Times New Roman Bold" w:eastAsia="宋体" w:cs="Times New Roman Bold"/>
                <w:b/>
                <w:bCs/>
                <w:kern w:val="2"/>
                <w:sz w:val="21"/>
                <w:szCs w:val="21"/>
                <w:lang w:val="en-US" w:eastAsia="zh-CN" w:bidi="ar"/>
              </w:rPr>
              <w:t xml:space="preserve"> value</w:t>
            </w:r>
          </w:p>
          <w:p>
            <w:pPr>
              <w:keepNext w:val="0"/>
              <w:keepLines w:val="0"/>
              <w:widowControl w:val="0"/>
              <w:suppressLineNumbers w:val="0"/>
              <w:spacing w:before="0" w:beforeAutospacing="0" w:after="0" w:afterAutospacing="0"/>
              <w:ind w:left="0" w:right="0"/>
              <w:jc w:val="center"/>
              <w:rPr>
                <w:rFonts w:hint="default" w:ascii="Times New Roman Bold" w:hAnsi="Times New Roman Bold" w:eastAsia="宋体" w:cs="Times New Roman Bold"/>
                <w:b/>
                <w:bCs/>
                <w:kern w:val="2"/>
                <w:sz w:val="21"/>
                <w:szCs w:val="21"/>
              </w:rPr>
            </w:pPr>
            <w:r>
              <w:rPr>
                <w:rFonts w:hint="default" w:ascii="Times New Roman Bold" w:hAnsi="Times New Roman Bold" w:eastAsia="宋体" w:cs="Times New Roman Bold"/>
                <w:b/>
                <w:bCs/>
                <w:kern w:val="2"/>
                <w:sz w:val="21"/>
                <w:szCs w:val="21"/>
                <w:lang w:val="en-US" w:eastAsia="zh-CN" w:bidi="ar"/>
              </w:rPr>
              <w:t>(Egger’s 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2266" w:type="pct"/>
            <w:vMerge w:val="restart"/>
            <w:tcBorders>
              <w:top w:val="nil"/>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Times New Roman Regular" w:cs="Times New Roman Regular"/>
                <w:kern w:val="2"/>
                <w:sz w:val="21"/>
                <w:szCs w:val="21"/>
                <w:lang w:val="en-US" w:eastAsia="zh-CN" w:bidi="ar"/>
              </w:rPr>
              <w:t>p</w:t>
            </w:r>
            <w:r>
              <w:rPr>
                <w:rFonts w:hint="default" w:ascii="Times New Roman Regular" w:hAnsi="Times New Roman Regular" w:eastAsia="宋体" w:cs="Times New Roman Regular"/>
                <w:kern w:val="2"/>
                <w:sz w:val="21"/>
                <w:szCs w:val="21"/>
                <w:lang w:val="en-US" w:eastAsia="zh-CN" w:bidi="ar"/>
              </w:rPr>
              <w:t>roportion of HEV in etiologies of ALF</w:t>
            </w:r>
          </w:p>
        </w:tc>
        <w:tc>
          <w:tcPr>
            <w:tcW w:w="1049"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lang w:val="en-US" w:eastAsia="zh-CN" w:bidi="ar"/>
              </w:rPr>
              <w:t>non-pregnant</w:t>
            </w:r>
          </w:p>
        </w:tc>
        <w:tc>
          <w:tcPr>
            <w:tcW w:w="828"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0.39</w:t>
            </w:r>
          </w:p>
        </w:tc>
        <w:tc>
          <w:tcPr>
            <w:tcW w:w="855"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2266" w:type="pct"/>
            <w:vMerge w:val="continue"/>
            <w:tcBorders>
              <w:top w:val="nil"/>
              <w:left w:val="nil"/>
              <w:bottom w:val="single" w:color="auto" w:sz="4" w:space="0"/>
              <w:right w:val="nil"/>
            </w:tcBorders>
            <w:shd w:val="clear" w:color="auto" w:fill="auto"/>
            <w:vAlign w:val="center"/>
          </w:tcPr>
          <w:p>
            <w:pPr>
              <w:keepNext w:val="0"/>
              <w:keepLines w:val="0"/>
              <w:widowControl w:val="0"/>
              <w:suppressLineNumbers w:val="0"/>
              <w:spacing w:before="0" w:beforeAutospacing="0" w:afterAutospacing="0"/>
              <w:ind w:left="0" w:right="0"/>
              <w:jc w:val="both"/>
              <w:rPr>
                <w:rFonts w:hint="default" w:ascii="Times New Roman" w:hAnsi="Times New Roman" w:cs="Times New Roman"/>
                <w:sz w:val="20"/>
                <w:szCs w:val="20"/>
              </w:rPr>
            </w:pPr>
          </w:p>
        </w:tc>
        <w:tc>
          <w:tcPr>
            <w:tcW w:w="1049"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lang w:val="en-US" w:eastAsia="zh-CN" w:bidi="ar"/>
              </w:rPr>
              <w:t>pregnant</w:t>
            </w:r>
          </w:p>
        </w:tc>
        <w:tc>
          <w:tcPr>
            <w:tcW w:w="828"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0.85</w:t>
            </w:r>
          </w:p>
        </w:tc>
        <w:tc>
          <w:tcPr>
            <w:tcW w:w="855"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7" w:hRule="atLeast"/>
        </w:trPr>
        <w:tc>
          <w:tcPr>
            <w:tcW w:w="2266" w:type="pct"/>
            <w:vMerge w:val="restart"/>
            <w:tcBorders>
              <w:top w:val="nil"/>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Times New Roman Regular" w:cs="Times New Roman Regular"/>
                <w:kern w:val="2"/>
                <w:sz w:val="21"/>
                <w:szCs w:val="21"/>
                <w:lang w:val="en-US" w:eastAsia="zh-CN" w:bidi="ar"/>
              </w:rPr>
              <w:t>i</w:t>
            </w:r>
            <w:r>
              <w:rPr>
                <w:rFonts w:hint="default" w:ascii="Times New Roman Regular" w:hAnsi="Times New Roman Regular" w:eastAsia="宋体" w:cs="Times New Roman Regular"/>
                <w:kern w:val="2"/>
                <w:sz w:val="21"/>
                <w:szCs w:val="21"/>
                <w:lang w:val="en-US" w:eastAsia="zh-CN" w:bidi="ar"/>
              </w:rPr>
              <w:t>ncidence of progressing to HEV-ALF in HEV infected individuals</w:t>
            </w:r>
          </w:p>
        </w:tc>
        <w:tc>
          <w:tcPr>
            <w:tcW w:w="1049"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lang w:val="en-US" w:eastAsia="zh-CN" w:bidi="ar"/>
              </w:rPr>
              <w:t>non-pregnant</w:t>
            </w:r>
          </w:p>
        </w:tc>
        <w:tc>
          <w:tcPr>
            <w:tcW w:w="828"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0.42</w:t>
            </w:r>
          </w:p>
        </w:tc>
        <w:tc>
          <w:tcPr>
            <w:tcW w:w="855"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trPr>
        <w:tc>
          <w:tcPr>
            <w:tcW w:w="2266" w:type="pct"/>
            <w:vMerge w:val="continue"/>
            <w:tcBorders>
              <w:top w:val="nil"/>
              <w:left w:val="nil"/>
              <w:bottom w:val="single" w:color="auto" w:sz="4" w:space="0"/>
              <w:right w:val="nil"/>
            </w:tcBorders>
            <w:shd w:val="clear" w:color="auto" w:fill="auto"/>
            <w:vAlign w:val="center"/>
          </w:tcPr>
          <w:p>
            <w:pPr>
              <w:keepNext w:val="0"/>
              <w:keepLines w:val="0"/>
              <w:widowControl w:val="0"/>
              <w:suppressLineNumbers w:val="0"/>
              <w:spacing w:before="0" w:beforeAutospacing="0" w:afterAutospacing="0"/>
              <w:ind w:left="0" w:right="0"/>
              <w:jc w:val="both"/>
              <w:rPr>
                <w:rFonts w:hint="default" w:ascii="Times New Roman" w:hAnsi="Times New Roman" w:cs="Times New Roman"/>
                <w:sz w:val="20"/>
                <w:szCs w:val="20"/>
              </w:rPr>
            </w:pPr>
          </w:p>
        </w:tc>
        <w:tc>
          <w:tcPr>
            <w:tcW w:w="1049"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lang w:val="en-US" w:eastAsia="zh-CN" w:bidi="ar"/>
              </w:rPr>
              <w:t>pregnant</w:t>
            </w:r>
          </w:p>
        </w:tc>
        <w:tc>
          <w:tcPr>
            <w:tcW w:w="828"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0.35</w:t>
            </w:r>
          </w:p>
        </w:tc>
        <w:tc>
          <w:tcPr>
            <w:tcW w:w="855"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Times New Roman Regular" w:hAnsi="Times New Roman Regular" w:eastAsia="宋体" w:cs="Times New Roman Regular"/>
                <w:kern w:val="2"/>
                <w:sz w:val="21"/>
                <w:szCs w:val="21"/>
                <w:lang w:eastAsia="zh-Hans"/>
              </w:rPr>
            </w:pPr>
            <w:r>
              <w:rPr>
                <w:rFonts w:hint="default" w:ascii="Times New Roman Regular" w:hAnsi="Times New Roman Regular" w:eastAsia="宋体" w:cs="Times New Roman Regular"/>
                <w:kern w:val="2"/>
                <w:sz w:val="21"/>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2266" w:type="pct"/>
            <w:vMerge w:val="restart"/>
            <w:tcBorders>
              <w:top w:val="nil"/>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Times New Roman Regular" w:cs="Times New Roman Regular"/>
                <w:kern w:val="2"/>
                <w:sz w:val="21"/>
                <w:szCs w:val="21"/>
                <w:lang w:val="en-US" w:eastAsia="zh-CN" w:bidi="ar"/>
              </w:rPr>
              <w:t>m</w:t>
            </w:r>
            <w:r>
              <w:rPr>
                <w:rFonts w:hint="default" w:ascii="Times New Roman Regular" w:hAnsi="Times New Roman Regular" w:eastAsia="宋体" w:cs="Times New Roman Regular"/>
                <w:kern w:val="2"/>
                <w:sz w:val="21"/>
                <w:szCs w:val="21"/>
                <w:lang w:val="en-US" w:eastAsia="zh-CN" w:bidi="ar"/>
              </w:rPr>
              <w:t>ortality of HEV-ALF</w:t>
            </w:r>
          </w:p>
        </w:tc>
        <w:tc>
          <w:tcPr>
            <w:tcW w:w="1049"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lang w:val="en-US" w:eastAsia="zh-CN" w:bidi="ar"/>
              </w:rPr>
              <w:t>non-pregnant</w:t>
            </w:r>
          </w:p>
        </w:tc>
        <w:tc>
          <w:tcPr>
            <w:tcW w:w="828"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0.75</w:t>
            </w:r>
          </w:p>
        </w:tc>
        <w:tc>
          <w:tcPr>
            <w:tcW w:w="855"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2266" w:type="pct"/>
            <w:vMerge w:val="continue"/>
            <w:tcBorders>
              <w:top w:val="nil"/>
              <w:left w:val="nil"/>
              <w:bottom w:val="single" w:color="auto" w:sz="4" w:space="0"/>
              <w:right w:val="nil"/>
            </w:tcBorders>
            <w:shd w:val="clear" w:color="auto" w:fill="auto"/>
            <w:vAlign w:val="center"/>
          </w:tcPr>
          <w:p>
            <w:pPr>
              <w:keepNext w:val="0"/>
              <w:keepLines w:val="0"/>
              <w:widowControl w:val="0"/>
              <w:suppressLineNumbers w:val="0"/>
              <w:spacing w:before="0" w:beforeAutospacing="0" w:afterAutospacing="0"/>
              <w:ind w:left="0" w:right="0"/>
              <w:jc w:val="both"/>
              <w:rPr>
                <w:rFonts w:hint="default" w:ascii="Times New Roman" w:hAnsi="Times New Roman" w:cs="Times New Roman"/>
                <w:sz w:val="20"/>
                <w:szCs w:val="20"/>
              </w:rPr>
            </w:pPr>
          </w:p>
        </w:tc>
        <w:tc>
          <w:tcPr>
            <w:tcW w:w="1049"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lang w:val="en-US" w:eastAsia="zh-CN" w:bidi="ar"/>
              </w:rPr>
              <w:t>pregnant</w:t>
            </w:r>
          </w:p>
        </w:tc>
        <w:tc>
          <w:tcPr>
            <w:tcW w:w="828"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0.35</w:t>
            </w:r>
          </w:p>
        </w:tc>
        <w:tc>
          <w:tcPr>
            <w:tcW w:w="855"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Regular" w:hAnsi="Times New Roman Regular" w:eastAsia="宋体" w:cs="Times New Roman Regular"/>
                <w:kern w:val="2"/>
                <w:sz w:val="21"/>
                <w:szCs w:val="21"/>
              </w:rPr>
            </w:pPr>
            <w:r>
              <w:rPr>
                <w:rFonts w:hint="default" w:ascii="Times New Roman Regular" w:hAnsi="Times New Roman Regular" w:eastAsia="宋体" w:cs="Times New Roman Regular"/>
                <w:kern w:val="2"/>
                <w:sz w:val="21"/>
                <w:szCs w:val="21"/>
              </w:rPr>
              <w:t>0.96</w:t>
            </w:r>
          </w:p>
        </w:tc>
      </w:tr>
    </w:tbl>
    <w:p>
      <w:pPr>
        <w:rPr>
          <w:rFonts w:hint="eastAsia" w:ascii="Times New Roman Bold" w:hAnsi="Times New Roman Bold" w:eastAsia="宋体" w:cs="Times New Roman Bold"/>
          <w:b/>
          <w:sz w:val="24"/>
          <w:szCs w:val="22"/>
          <w:lang w:val="en-US" w:eastAsia="zh-Hans" w:bidi="ar-SA"/>
        </w:rPr>
      </w:pPr>
      <w:bookmarkStart w:id="0" w:name="_GoBack"/>
      <w:bookmarkEnd w:id="0"/>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eastAsia" w:ascii="Times New Roman Bold" w:hAnsi="Times New Roman Bold" w:eastAsia="宋体" w:cs="Times New Roman Bold"/>
          <w:b/>
          <w:sz w:val="24"/>
          <w:szCs w:val="22"/>
          <w:lang w:val="en-US" w:eastAsia="zh-Hans" w:bidi="ar-SA"/>
        </w:rPr>
      </w:pPr>
    </w:p>
    <w:p>
      <w:pPr>
        <w:rPr>
          <w:rFonts w:hint="default" w:ascii="Times New Roman Bold" w:hAnsi="Times New Roman Bold" w:cs="Times New Roman Bold"/>
          <w:b/>
          <w:sz w:val="24"/>
          <w:szCs w:val="22"/>
          <w:lang w:eastAsia="zh-Hans" w:bidi="ar-SA"/>
        </w:rPr>
      </w:pPr>
      <w:r>
        <w:rPr>
          <w:rFonts w:hint="eastAsia" w:ascii="Times New Roman Bold" w:hAnsi="Times New Roman Bold" w:eastAsia="宋体" w:cs="Times New Roman Bold"/>
          <w:b/>
          <w:sz w:val="24"/>
          <w:szCs w:val="22"/>
          <w:lang w:val="en-US" w:eastAsia="zh-Hans" w:bidi="ar-SA"/>
        </w:rPr>
        <w:t>Supplementary</w:t>
      </w:r>
      <w:r>
        <w:rPr>
          <w:rFonts w:hint="default" w:ascii="Times New Roman Bold" w:hAnsi="Times New Roman Bold" w:eastAsia="宋体" w:cs="Times New Roman Bold"/>
          <w:b/>
          <w:sz w:val="24"/>
          <w:szCs w:val="22"/>
          <w:lang w:eastAsia="zh-Hans" w:bidi="ar-SA"/>
        </w:rPr>
        <w:t xml:space="preserve"> </w:t>
      </w:r>
      <w:r>
        <w:rPr>
          <w:rFonts w:hint="eastAsia" w:ascii="Times New Roman Bold" w:hAnsi="Times New Roman Bold" w:eastAsia="宋体" w:cs="Times New Roman Bold"/>
          <w:b/>
          <w:sz w:val="24"/>
          <w:szCs w:val="22"/>
          <w:lang w:val="en-US" w:eastAsia="zh-Hans" w:bidi="ar-SA"/>
        </w:rPr>
        <w:t>reference</w:t>
      </w:r>
      <w:r>
        <w:rPr>
          <w:rFonts w:hint="eastAsia" w:ascii="Times New Roman Bold" w:hAnsi="Times New Roman Bold" w:cs="Times New Roman Bold"/>
          <w:b/>
          <w:sz w:val="24"/>
          <w:szCs w:val="22"/>
          <w:lang w:val="en-US" w:eastAsia="zh-Hans" w:bidi="ar-SA"/>
        </w:rPr>
        <w:t>s</w:t>
      </w:r>
      <w:r>
        <w:rPr>
          <w:rFonts w:hint="default" w:ascii="Times New Roman Bold" w:hAnsi="Times New Roman Bold" w:cs="Times New Roman Bold"/>
          <w:b/>
          <w:sz w:val="24"/>
          <w:szCs w:val="22"/>
          <w:lang w:eastAsia="zh-Hans" w:bidi="ar-SA"/>
        </w:rPr>
        <w:t>:</w:t>
      </w:r>
    </w:p>
    <w:p>
      <w:pPr>
        <w:rPr>
          <w:rFonts w:hint="default"/>
          <w:lang w:eastAsia="zh-Hans"/>
        </w:rPr>
      </w:pPr>
      <w:r>
        <w:rPr>
          <w:rFonts w:hint="default" w:ascii="Times New Roman" w:hAnsi="Times New Roman" w:cs="Times New Roman"/>
          <w:b w:val="0"/>
          <w:bCs/>
          <w:sz w:val="24"/>
          <w:szCs w:val="22"/>
          <w:lang w:val="en-US" w:eastAsia="zh-Hans" w:bidi="ar-SA"/>
        </w:rPr>
        <w:t>T</w:t>
      </w:r>
      <w:r>
        <w:rPr>
          <w:rFonts w:hint="default" w:ascii="Times New Roman" w:hAnsi="Times New Roman" w:cs="Times New Roman"/>
          <w:b w:val="0"/>
          <w:bCs/>
          <w:sz w:val="24"/>
          <w:szCs w:val="22"/>
          <w:lang w:eastAsia="zh-Hans" w:bidi="ar-SA"/>
        </w:rPr>
        <w:t>he following studies were included in the systematic review and meta-analysis</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color w:val="000000" w:themeColor="text1"/>
          <w:kern w:val="0"/>
          <w:sz w:val="24"/>
          <w:szCs w:val="24"/>
          <w:highlight w:val="none"/>
          <w:lang w:val="en-US" w:eastAsia="zh-CN" w:bidi="ar"/>
          <w14:textFill>
            <w14:solidFill>
              <w14:schemeClr w14:val="tx1"/>
            </w14:solidFill>
          </w14:textFill>
        </w:rPr>
        <w:t>Karna R</w:t>
      </w:r>
      <w:r>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t>, Hazam RK, Borkakoti J, Kumar A, Kar P. A 5-year Single-Center Experience of Hepatitis E Virus Infection During Pregnancy. J Clin Exp Hepatol. 2020;10(2):135-138. doi:10.1016/j.jceh.2019.09.003</w:t>
      </w:r>
    </w:p>
    <w:p>
      <w:pPr>
        <w:keepNext w:val="0"/>
        <w:keepLines w:val="0"/>
        <w:widowControl/>
        <w:numPr>
          <w:ilvl w:val="0"/>
          <w:numId w:val="0"/>
        </w:numPr>
        <w:suppressLineNumbers w:val="0"/>
        <w:spacing w:before="120" w:beforeAutospacing="0" w:after="240" w:afterAutospacing="0" w:line="480" w:lineRule="auto"/>
        <w:ind w:leftChars="0" w:right="0" w:rightChars="0"/>
        <w:jc w:val="left"/>
        <w:rPr>
          <w:highlight w:val="none"/>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2</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color w:val="000000" w:themeColor="text1"/>
          <w:kern w:val="0"/>
          <w:sz w:val="24"/>
          <w:szCs w:val="24"/>
          <w:highlight w:val="none"/>
          <w:lang w:val="en-US" w:eastAsia="zh-CN" w:bidi="ar"/>
          <w14:textFill>
            <w14:solidFill>
              <w14:schemeClr w14:val="tx1"/>
            </w14:solidFill>
          </w14:textFill>
        </w:rPr>
        <w:t>You S</w:t>
      </w:r>
      <w:r>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t>, Rong Y, Zhu B, et al. Changing etiology of liver failure in 3,916 patients from northern China: a 10-year survey. Hepatol Int. 2013;7(2):714-720. doi:10.1007/s12072-013-9424-5</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cs="Times New Roman Regular"/>
          <w:i w:val="0"/>
          <w:highlight w:val="none"/>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3</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Begum N,</w:t>
      </w:r>
      <w:r>
        <w:rPr>
          <w:rFonts w:hint="default" w:ascii="Times New Roman Regular" w:hAnsi="Times New Roman Regular" w:eastAsia="宋体" w:cs="Times New Roman Regular"/>
          <w:i w:val="0"/>
          <w:kern w:val="0"/>
          <w:sz w:val="24"/>
          <w:szCs w:val="24"/>
          <w:highlight w:val="none"/>
          <w:lang w:val="en-US" w:eastAsia="zh-CN" w:bidi="ar"/>
        </w:rPr>
        <w:t xml:space="preserve"> Polipalli SK, Husain SA, Kumar A, Kar P. Duration of hepatitis E viremia in pregnancy. </w:t>
      </w:r>
      <w:r>
        <w:rPr>
          <w:rFonts w:hint="default" w:ascii="Times New Roman Regular" w:hAnsi="Times New Roman Regular" w:eastAsia="宋体" w:cs="Times New Roman Regular"/>
          <w:i w:val="0"/>
          <w:iCs/>
          <w:kern w:val="0"/>
          <w:sz w:val="24"/>
          <w:szCs w:val="24"/>
          <w:highlight w:val="none"/>
          <w:lang w:val="en-US" w:eastAsia="zh-CN" w:bidi="ar"/>
        </w:rPr>
        <w:t>Int J Gynaecol Obstet</w:t>
      </w:r>
      <w:r>
        <w:rPr>
          <w:rFonts w:hint="default" w:ascii="Times New Roman Regular" w:hAnsi="Times New Roman Regular" w:eastAsia="宋体" w:cs="Times New Roman Regular"/>
          <w:i w:val="0"/>
          <w:kern w:val="0"/>
          <w:sz w:val="24"/>
          <w:szCs w:val="24"/>
          <w:highlight w:val="none"/>
          <w:lang w:val="en-US" w:eastAsia="zh-CN" w:bidi="ar"/>
        </w:rPr>
        <w:t>. 2010;108(3):207-210. doi:10.1016/j.ijgo.2009.09.023</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4</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Wang Y,</w:t>
      </w:r>
      <w:r>
        <w:rPr>
          <w:rFonts w:hint="default" w:ascii="Times New Roman Regular" w:hAnsi="Times New Roman Regular" w:eastAsia="宋体" w:cs="Times New Roman Regular"/>
          <w:i w:val="0"/>
          <w:kern w:val="0"/>
          <w:sz w:val="24"/>
          <w:szCs w:val="24"/>
          <w:highlight w:val="none"/>
          <w:lang w:val="en-US" w:eastAsia="zh-CN" w:bidi="ar"/>
        </w:rPr>
        <w:t xml:space="preserve"> Liu H, Liu S, et al. Incidence, predictors and prognosis of genotype 4 hepatitis E related liver failure: A tertiary nested case-control study. Liver Int. 2019;39(12):2291-2300. doi:10.1111/liv.14221</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5</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Salam GD,</w:t>
      </w:r>
      <w:r>
        <w:rPr>
          <w:rFonts w:hint="default" w:ascii="Times New Roman Regular" w:hAnsi="Times New Roman Regular" w:eastAsia="宋体" w:cs="Times New Roman Regular"/>
          <w:i w:val="0"/>
          <w:kern w:val="0"/>
          <w:sz w:val="24"/>
          <w:szCs w:val="24"/>
          <w:highlight w:val="none"/>
          <w:lang w:val="en-US" w:eastAsia="zh-CN" w:bidi="ar"/>
        </w:rPr>
        <w:t xml:space="preserve"> Kumar A, Kar P, Aggarwal S, Husain A, Sharma S. Serum tumor necrosis factor-alpha level in hepatitis E virus-related acute viral hepatitis and fulminant hepatic failure in pregnant women. Hepatol Res. 2013;43(8):826-835. doi:10.1111/hepr.12028</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6</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Asim M,</w:t>
      </w:r>
      <w:r>
        <w:rPr>
          <w:rFonts w:hint="default" w:ascii="Times New Roman Regular" w:hAnsi="Times New Roman Regular" w:eastAsia="宋体" w:cs="Times New Roman Regular"/>
          <w:i w:val="0"/>
          <w:kern w:val="0"/>
          <w:sz w:val="24"/>
          <w:szCs w:val="24"/>
          <w:highlight w:val="none"/>
          <w:lang w:val="en-US" w:eastAsia="zh-CN" w:bidi="ar"/>
        </w:rPr>
        <w:t xml:space="preserve"> Singla R, Gupta RK, Kar P. Clinical &amp; molecular characterization of human TT virus in different liver diseases. Indian J Med Res. 2010;131:545-554. </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7</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Alam S</w:t>
      </w:r>
      <w:r>
        <w:rPr>
          <w:rFonts w:hint="default" w:ascii="Times New Roman Regular" w:hAnsi="Times New Roman Regular" w:eastAsia="宋体" w:cs="Times New Roman Regular"/>
          <w:i w:val="0"/>
          <w:kern w:val="0"/>
          <w:sz w:val="24"/>
          <w:szCs w:val="24"/>
          <w:highlight w:val="none"/>
          <w:lang w:val="en-US" w:eastAsia="zh-CN" w:bidi="ar"/>
        </w:rPr>
        <w:t>, Azam G, Mustafa G, et al. Natural course of fulminant hepatic failure: the scenario in Bangladesh and the differences from the west. Saudi J Gastroenterol. 2009;15(4):229-233. doi:10.4103/1319-3767.56094</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8</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Borkakoti J</w:t>
      </w:r>
      <w:r>
        <w:rPr>
          <w:rFonts w:hint="default" w:ascii="Times New Roman Regular" w:hAnsi="Times New Roman Regular" w:eastAsia="宋体" w:cs="Times New Roman Regular"/>
          <w:i w:val="0"/>
          <w:kern w:val="0"/>
          <w:sz w:val="24"/>
          <w:szCs w:val="24"/>
          <w:highlight w:val="none"/>
          <w:lang w:val="en-US" w:eastAsia="zh-CN" w:bidi="ar"/>
        </w:rPr>
        <w:t>, Hazam RK, Mohammad A, Kumar A, Kar P. Does high viral load of hepatitis E virus influence the severity and prognosis of acute liver failure during pregnancy?. J Med Virol. 2013;85(4):620-626. doi:10.1002/jmv.23508</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9</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Mishra S,</w:t>
      </w:r>
      <w:r>
        <w:rPr>
          <w:rFonts w:hint="default" w:ascii="Times New Roman Regular" w:hAnsi="Times New Roman Regular" w:eastAsia="宋体" w:cs="Times New Roman Regular"/>
          <w:i w:val="0"/>
          <w:kern w:val="0"/>
          <w:sz w:val="24"/>
          <w:szCs w:val="24"/>
          <w:highlight w:val="none"/>
          <w:lang w:val="en-US" w:eastAsia="zh-CN" w:bidi="ar"/>
        </w:rPr>
        <w:t xml:space="preserve"> Borkakoti J, Kumar S, Kar P. Role of HEV antigen detection in HEV-related acute viral hepatitis and acute liver failure. J Med Virol. 2016;88(12):2179-2185. doi:10.1002/jmv.24567</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10</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Shinde N</w:t>
      </w:r>
      <w:r>
        <w:rPr>
          <w:rFonts w:hint="default" w:ascii="Times New Roman Regular" w:hAnsi="Times New Roman Regular" w:eastAsia="宋体" w:cs="Times New Roman Regular"/>
          <w:i w:val="0"/>
          <w:kern w:val="0"/>
          <w:sz w:val="24"/>
          <w:szCs w:val="24"/>
          <w:highlight w:val="none"/>
          <w:lang w:val="en-US" w:eastAsia="zh-CN" w:bidi="ar"/>
        </w:rPr>
        <w:t>, Patil T, Deshpande A, Gulhane R, Patil M, Bansod Y. Clinical profile, maternal and fetal outcomes of acute hepatitis e in pregnancy. Ann Med Health Sci Res. 2014;4(Suppl 2):S133-S139. doi:10.4103/2141-9248.138033</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1</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Mu X</w:t>
      </w:r>
      <w:r>
        <w:rPr>
          <w:rFonts w:hint="default" w:ascii="Times New Roman Regular" w:hAnsi="Times New Roman Regular" w:eastAsia="宋体" w:cs="Times New Roman Regular"/>
          <w:i w:val="0"/>
          <w:kern w:val="0"/>
          <w:sz w:val="24"/>
          <w:szCs w:val="24"/>
          <w:highlight w:val="none"/>
          <w:lang w:val="en-US" w:eastAsia="zh-CN" w:bidi="ar"/>
        </w:rPr>
        <w:t>, Zou J, Chen J, et al. Low platelets: a new and simple prognostic marker for patients with hepatitis E virus-related acute liver failure. Hepatol Int. 2022;16(5):1116-1126. doi:10.1007/s12072-022-10302-1</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2</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Mamun-Al-Mahtab</w:t>
      </w:r>
      <w:r>
        <w:rPr>
          <w:rFonts w:hint="default" w:ascii="Times New Roman Regular" w:hAnsi="Times New Roman Regular" w:eastAsia="宋体" w:cs="Times New Roman Regular"/>
          <w:i w:val="0"/>
          <w:kern w:val="0"/>
          <w:sz w:val="24"/>
          <w:szCs w:val="24"/>
          <w:highlight w:val="none"/>
          <w:lang w:val="en-US" w:eastAsia="zh-CN" w:bidi="ar"/>
        </w:rPr>
        <w:t>, Rahman S, Khan M, Karim F. HEV infection as an aetiologic factor for acute hepatitis: experience from a tertiary hospital in Bangladesh. J Health Popul Nutr. 2009;27(1):14-19. doi:10.3329/jhpn.v27i1.3314</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color w:val="000000" w:themeColor="text1"/>
          <w:kern w:val="0"/>
          <w:sz w:val="24"/>
          <w:szCs w:val="24"/>
          <w:highlight w:val="none"/>
          <w:lang w:eastAsia="zh-CN" w:bidi="ar"/>
          <w14:textFill>
            <w14:solidFill>
              <w14:schemeClr w14:val="tx1"/>
            </w14:solidFill>
          </w14:textFill>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3</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Das AK,</w:t>
      </w:r>
      <w:r>
        <w:rPr>
          <w:rFonts w:hint="default" w:ascii="Times New Roman Regular" w:hAnsi="Times New Roman Regular" w:eastAsia="宋体" w:cs="Times New Roman Regular"/>
          <w:i w:val="0"/>
          <w:kern w:val="0"/>
          <w:sz w:val="24"/>
          <w:szCs w:val="24"/>
          <w:highlight w:val="none"/>
          <w:lang w:val="en-US" w:eastAsia="zh-CN" w:bidi="ar"/>
        </w:rPr>
        <w:t xml:space="preserve"> Begum T, Kar P, Dutta A. Profile of Acute Liver Failure from North-east India and Its Differences from other Parts of the Country. Euroasian J Hepatogastroenterol. 2016;6(2):111-115. doi:10.5005/jp-journals-10018-1181</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color w:val="000000" w:themeColor="text1"/>
          <w:kern w:val="0"/>
          <w:sz w:val="24"/>
          <w:szCs w:val="24"/>
          <w:highlight w:val="none"/>
          <w:lang w:eastAsia="zh-CN" w:bidi="ar"/>
          <w14:textFill>
            <w14:solidFill>
              <w14:schemeClr w14:val="tx1"/>
            </w14:solidFill>
          </w14:textFill>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4</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color w:val="000000" w:themeColor="text1"/>
          <w:kern w:val="0"/>
          <w:sz w:val="24"/>
          <w:szCs w:val="24"/>
          <w:highlight w:val="none"/>
          <w:lang w:val="en-US" w:eastAsia="zh-CN" w:bidi="ar"/>
          <w14:textFill>
            <w14:solidFill>
              <w14:schemeClr w14:val="tx1"/>
            </w14:solidFill>
          </w14:textFill>
        </w:rPr>
        <w:t>Memon</w:t>
      </w:r>
      <w:r>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t xml:space="preserve"> FP, Memon</w:t>
      </w:r>
      <w:r>
        <w:rPr>
          <w:rFonts w:hint="default" w:ascii="Times New Roman Regular" w:hAnsi="Times New Roman Regular" w:eastAsia="宋体" w:cs="Times New Roman Regular"/>
          <w:color w:val="000000" w:themeColor="text1"/>
          <w:kern w:val="0"/>
          <w:sz w:val="24"/>
          <w:szCs w:val="24"/>
          <w:highlight w:val="none"/>
          <w:lang w:eastAsia="zh-CN" w:bidi="ar"/>
          <w14:textFill>
            <w14:solidFill>
              <w14:schemeClr w14:val="tx1"/>
            </w14:solidFill>
          </w14:textFill>
        </w:rPr>
        <w:t xml:space="preserve"> </w:t>
      </w:r>
      <w:r>
        <w:rPr>
          <w:rFonts w:hint="eastAsia" w:ascii="Times New Roman Regular" w:hAnsi="Times New Roman Regular" w:eastAsia="宋体" w:cs="Times New Roman Regular"/>
          <w:color w:val="000000" w:themeColor="text1"/>
          <w:kern w:val="0"/>
          <w:sz w:val="24"/>
          <w:szCs w:val="24"/>
          <w:highlight w:val="none"/>
          <w:lang w:val="en-US" w:eastAsia="zh-Hans" w:bidi="ar"/>
          <w14:textFill>
            <w14:solidFill>
              <w14:schemeClr w14:val="tx1"/>
            </w14:solidFill>
          </w14:textFill>
        </w:rPr>
        <w:t>SA</w:t>
      </w:r>
      <w:r>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t>,</w:t>
      </w:r>
      <w:r>
        <w:rPr>
          <w:rFonts w:hint="default" w:ascii="Times New Roman Regular" w:hAnsi="Times New Roman Regular" w:eastAsia="宋体" w:cs="Times New Roman Regular"/>
          <w:color w:val="000000" w:themeColor="text1"/>
          <w:kern w:val="0"/>
          <w:sz w:val="24"/>
          <w:szCs w:val="24"/>
          <w:highlight w:val="none"/>
          <w:lang w:eastAsia="zh-CN" w:bidi="ar"/>
          <w14:textFill>
            <w14:solidFill>
              <w14:schemeClr w14:val="tx1"/>
            </w14:solidFill>
          </w14:textFill>
        </w:rPr>
        <w:t xml:space="preserve"> </w:t>
      </w:r>
      <w:r>
        <w:rPr>
          <w:rFonts w:hint="eastAsia" w:ascii="Times New Roman Regular" w:hAnsi="Times New Roman Regular" w:eastAsia="宋体" w:cs="Times New Roman Regular"/>
          <w:color w:val="000000" w:themeColor="text1"/>
          <w:kern w:val="0"/>
          <w:sz w:val="24"/>
          <w:szCs w:val="24"/>
          <w:highlight w:val="none"/>
          <w:lang w:val="en-US" w:eastAsia="zh-Hans" w:bidi="ar"/>
          <w14:textFill>
            <w14:solidFill>
              <w14:schemeClr w14:val="tx1"/>
            </w14:solidFill>
          </w14:textFill>
        </w:rPr>
        <w:t>Alm</w:t>
      </w:r>
      <w:r>
        <w:rPr>
          <w:rFonts w:hint="default" w:ascii="Times New Roman Regular" w:hAnsi="Times New Roman Regular" w:eastAsia="宋体" w:cs="Times New Roman Regular"/>
          <w:color w:val="000000" w:themeColor="text1"/>
          <w:kern w:val="0"/>
          <w:sz w:val="24"/>
          <w:szCs w:val="24"/>
          <w:highlight w:val="none"/>
          <w:lang w:eastAsia="zh-Hans" w:bidi="ar"/>
          <w14:textFill>
            <w14:solidFill>
              <w14:schemeClr w14:val="tx1"/>
            </w14:solidFill>
          </w14:textFill>
        </w:rPr>
        <w:t>a</w:t>
      </w:r>
      <w:r>
        <w:rPr>
          <w:rFonts w:hint="eastAsia" w:ascii="Times New Roman Regular" w:hAnsi="Times New Roman Regular" w:eastAsia="宋体" w:cs="Times New Roman Regular"/>
          <w:color w:val="000000" w:themeColor="text1"/>
          <w:kern w:val="0"/>
          <w:sz w:val="24"/>
          <w:szCs w:val="24"/>
          <w:highlight w:val="none"/>
          <w:lang w:val="en-US" w:eastAsia="zh-Hans" w:bidi="ar"/>
          <w14:textFill>
            <w14:solidFill>
              <w14:schemeClr w14:val="tx1"/>
            </w14:solidFill>
          </w14:textFill>
        </w:rPr>
        <w:t>s</w:t>
      </w:r>
      <w:r>
        <w:rPr>
          <w:rFonts w:hint="default" w:ascii="Times New Roman Regular" w:hAnsi="Times New Roman Regular" w:eastAsia="宋体" w:cs="Times New Roman Regular"/>
          <w:color w:val="000000" w:themeColor="text1"/>
          <w:kern w:val="0"/>
          <w:sz w:val="24"/>
          <w:szCs w:val="24"/>
          <w:highlight w:val="none"/>
          <w:lang w:eastAsia="zh-Hans" w:bidi="ar"/>
          <w14:textFill>
            <w14:solidFill>
              <w14:schemeClr w14:val="tx1"/>
            </w14:solidFill>
          </w14:textFill>
        </w:rPr>
        <w:t>.</w:t>
      </w:r>
      <w:r>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t xml:space="preserve"> et al.</w:t>
      </w:r>
      <w:r>
        <w:rPr>
          <w:rFonts w:hint="default" w:ascii="Times New Roman Regular" w:hAnsi="Times New Roman Regular" w:eastAsia="宋体" w:cs="Times New Roman Regular"/>
          <w:color w:val="000000" w:themeColor="text1"/>
          <w:kern w:val="0"/>
          <w:sz w:val="24"/>
          <w:szCs w:val="24"/>
          <w:highlight w:val="none"/>
          <w:lang w:eastAsia="zh-CN" w:bidi="ar"/>
          <w14:textFill>
            <w14:solidFill>
              <w14:schemeClr w14:val="tx1"/>
            </w14:solidFill>
          </w14:textFill>
        </w:rPr>
        <w:t xml:space="preserve"> </w:t>
      </w:r>
      <w:r>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t>Fulminant Hepatic Failure in Pregnancy and its Association with Viral Hepatitis E</w:t>
      </w:r>
      <w:r>
        <w:rPr>
          <w:rFonts w:hint="default" w:ascii="Times New Roman Regular" w:hAnsi="Times New Roman Regular" w:eastAsia="宋体" w:cs="Times New Roman Regular"/>
          <w:color w:val="000000" w:themeColor="text1"/>
          <w:kern w:val="0"/>
          <w:sz w:val="24"/>
          <w:szCs w:val="24"/>
          <w:highlight w:val="none"/>
          <w:lang w:eastAsia="zh-CN" w:bidi="ar"/>
          <w14:textFill>
            <w14:solidFill>
              <w14:schemeClr w14:val="tx1"/>
            </w14:solidFill>
          </w14:textFill>
        </w:rPr>
        <w:t xml:space="preserve">. </w:t>
      </w:r>
      <w:r>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t>Medical Forum Monthly</w:t>
      </w:r>
      <w:r>
        <w:rPr>
          <w:rFonts w:hint="default" w:ascii="Times New Roman Regular" w:hAnsi="Times New Roman Regular" w:eastAsia="宋体" w:cs="Times New Roman Regular"/>
          <w:color w:val="000000" w:themeColor="text1"/>
          <w:kern w:val="0"/>
          <w:sz w:val="24"/>
          <w:szCs w:val="24"/>
          <w:highlight w:val="none"/>
          <w:lang w:eastAsia="zh-CN" w:bidi="ar"/>
          <w14:textFill>
            <w14:solidFill>
              <w14:schemeClr w14:val="tx1"/>
            </w14:solidFill>
          </w14:textFill>
        </w:rPr>
        <w:t>. 2021;32(11):133-136</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5</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color w:val="000000" w:themeColor="text1"/>
          <w:kern w:val="0"/>
          <w:sz w:val="24"/>
          <w:szCs w:val="24"/>
          <w:highlight w:val="none"/>
          <w:lang w:val="en-US" w:eastAsia="zh-CN" w:bidi="ar"/>
          <w14:textFill>
            <w14:solidFill>
              <w14:schemeClr w14:val="tx1"/>
            </w14:solidFill>
          </w14:textFill>
        </w:rPr>
        <w:t>Kar P</w:t>
      </w:r>
      <w:r>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t>, Jilani N, Husain SA, et al. Does hepatitis E viral load and genotypes influence the final outcome of acute liver failure during pregnancy?. Am J Gastroenterol. 2008;103(10):2495-2501. doi:10.1111/j.1572-0241.2008.02032.x</w:t>
      </w:r>
    </w:p>
    <w:p>
      <w:pPr>
        <w:keepNext w:val="0"/>
        <w:keepLines w:val="0"/>
        <w:widowControl/>
        <w:numPr>
          <w:ilvl w:val="0"/>
          <w:numId w:val="0"/>
        </w:numPr>
        <w:suppressLineNumbers w:val="0"/>
        <w:spacing w:before="120" w:beforeAutospacing="0" w:after="240" w:afterAutospacing="0" w:line="480" w:lineRule="auto"/>
        <w:ind w:leftChars="0" w:right="0" w:rightChars="0"/>
        <w:jc w:val="left"/>
        <w:rPr>
          <w:highlight w:val="none"/>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6</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color w:val="000000" w:themeColor="text1"/>
          <w:kern w:val="0"/>
          <w:sz w:val="24"/>
          <w:szCs w:val="24"/>
          <w:highlight w:val="none"/>
          <w:lang w:val="en-US" w:eastAsia="zh-CN" w:bidi="ar"/>
          <w14:textFill>
            <w14:solidFill>
              <w14:schemeClr w14:val="tx1"/>
            </w14:solidFill>
          </w14:textFill>
        </w:rPr>
        <w:t>Majumdar M</w:t>
      </w:r>
      <w:r>
        <w:rPr>
          <w:rFonts w:hint="default" w:ascii="Times New Roman Regular" w:hAnsi="Times New Roman Regular" w:eastAsia="宋体" w:cs="Times New Roman Regular"/>
          <w:color w:val="000000" w:themeColor="text1"/>
          <w:kern w:val="0"/>
          <w:sz w:val="24"/>
          <w:szCs w:val="24"/>
          <w:highlight w:val="none"/>
          <w:lang w:val="en-US" w:eastAsia="zh-CN" w:bidi="ar"/>
          <w14:textFill>
            <w14:solidFill>
              <w14:schemeClr w14:val="tx1"/>
            </w14:solidFill>
          </w14:textFill>
        </w:rPr>
        <w:t>, Ratho R, Chawla Y, Singh MP. High levels of circulating HMGB1 as a biomarker of acute liver failure in patients with viral hepatitis E. Liver Int. 2013;33(9):1341-1348. doi:10.1111/liv.12197</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cs="Times New Roman Regular"/>
          <w:i w:val="0"/>
          <w:highlight w:val="none"/>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7</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Bhatia V,</w:t>
      </w:r>
      <w:r>
        <w:rPr>
          <w:rFonts w:hint="default" w:ascii="Times New Roman Regular" w:hAnsi="Times New Roman Regular" w:eastAsia="宋体" w:cs="Times New Roman Regular"/>
          <w:i w:val="0"/>
          <w:kern w:val="0"/>
          <w:sz w:val="24"/>
          <w:szCs w:val="24"/>
          <w:highlight w:val="none"/>
          <w:lang w:val="en-US" w:eastAsia="zh-CN" w:bidi="ar"/>
        </w:rPr>
        <w:t xml:space="preserve"> Singhal A, Panda SK, Acharya SK. A 20-year single-center experience with acute liver failure during pregnancy: is the prognosis really worse?. </w:t>
      </w:r>
      <w:r>
        <w:rPr>
          <w:rFonts w:hint="default" w:ascii="Times New Roman Regular" w:hAnsi="Times New Roman Regular" w:eastAsia="宋体" w:cs="Times New Roman Regular"/>
          <w:i w:val="0"/>
          <w:iCs/>
          <w:kern w:val="0"/>
          <w:sz w:val="24"/>
          <w:szCs w:val="24"/>
          <w:highlight w:val="none"/>
          <w:lang w:val="en-US" w:eastAsia="zh-CN" w:bidi="ar"/>
        </w:rPr>
        <w:t>Hepatology</w:t>
      </w:r>
      <w:r>
        <w:rPr>
          <w:rFonts w:hint="default" w:ascii="Times New Roman Regular" w:hAnsi="Times New Roman Regular" w:eastAsia="宋体" w:cs="Times New Roman Regular"/>
          <w:i w:val="0"/>
          <w:kern w:val="0"/>
          <w:sz w:val="24"/>
          <w:szCs w:val="24"/>
          <w:highlight w:val="none"/>
          <w:lang w:val="en-US" w:eastAsia="zh-CN" w:bidi="ar"/>
        </w:rPr>
        <w:t>. 2008;48(5):1577-1585. doi:10.1002/hep.22493</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Regular" w:hAnsi="Times New Roman Regular" w:eastAsia="宋体" w:cs="Times New Roman Regular"/>
          <w:b w:val="0"/>
          <w:bCs w:val="0"/>
          <w:i w:val="0"/>
          <w:kern w:val="0"/>
          <w:sz w:val="24"/>
          <w:szCs w:val="24"/>
          <w:highlight w:val="none"/>
          <w:lang w:val="en-US" w:eastAsia="zh-CN" w:bidi="ar"/>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8</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Xiang Z</w:t>
      </w:r>
      <w:r>
        <w:rPr>
          <w:rFonts w:hint="default" w:ascii="Times New Roman Regular" w:hAnsi="Times New Roman Regular" w:eastAsia="宋体" w:cs="Times New Roman Regular"/>
          <w:i w:val="0"/>
          <w:kern w:val="0"/>
          <w:sz w:val="24"/>
          <w:szCs w:val="24"/>
          <w:highlight w:val="none"/>
          <w:lang w:val="en-US" w:eastAsia="zh-CN" w:bidi="ar"/>
        </w:rPr>
        <w:t xml:space="preserve">, Jiang B, Li W, et al. The diagnostic and prognostic value of serum exosome-derived carbamoyl phosphate synthase 1 in HEV-related acute liver failure patients. </w:t>
      </w:r>
      <w:r>
        <w:rPr>
          <w:rFonts w:hint="default" w:ascii="Times New Roman Regular" w:hAnsi="Times New Roman Regular" w:eastAsia="宋体" w:cs="Times New Roman Regular"/>
          <w:i w:val="0"/>
          <w:iCs/>
          <w:kern w:val="0"/>
          <w:sz w:val="24"/>
          <w:szCs w:val="24"/>
          <w:highlight w:val="none"/>
          <w:lang w:val="en-US" w:eastAsia="zh-CN" w:bidi="ar"/>
        </w:rPr>
        <w:t>J Med Virol</w:t>
      </w:r>
      <w:r>
        <w:rPr>
          <w:rFonts w:hint="default" w:ascii="Times New Roman Regular" w:hAnsi="Times New Roman Regular" w:eastAsia="宋体" w:cs="Times New Roman Regular"/>
          <w:i w:val="0"/>
          <w:kern w:val="0"/>
          <w:sz w:val="24"/>
          <w:szCs w:val="24"/>
          <w:highlight w:val="none"/>
          <w:lang w:val="en-US" w:eastAsia="zh-CN" w:bidi="ar"/>
        </w:rPr>
        <w:t>. 2022;94(10):5015-5025. doi:10.1002/jmv.27961</w:t>
      </w:r>
    </w:p>
    <w:p>
      <w:pPr>
        <w:keepNext w:val="0"/>
        <w:keepLines w:val="0"/>
        <w:widowControl/>
        <w:numPr>
          <w:ilvl w:val="0"/>
          <w:numId w:val="0"/>
        </w:numPr>
        <w:suppressLineNumbers w:val="0"/>
        <w:spacing w:before="120" w:beforeAutospacing="0" w:after="240" w:afterAutospacing="0" w:line="480" w:lineRule="auto"/>
        <w:ind w:leftChars="0" w:right="0" w:rightChars="0"/>
        <w:jc w:val="left"/>
        <w:rPr>
          <w:highlight w:val="none"/>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[1</w:t>
      </w:r>
      <w:r>
        <w:rPr>
          <w:rFonts w:hint="default" w:cs="Times New Roman"/>
          <w:b w:val="0"/>
          <w:bCs w:val="0"/>
          <w:color w:val="000000" w:themeColor="text1"/>
          <w:kern w:val="0"/>
          <w:sz w:val="24"/>
          <w:szCs w:val="24"/>
          <w:highlight w:val="none"/>
          <w:lang w:eastAsia="zh-CN" w:bidi="ar"/>
          <w14:textFill>
            <w14:solidFill>
              <w14:schemeClr w14:val="tx1"/>
            </w14:solidFill>
          </w14:textFill>
        </w:rPr>
        <w:t>9</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Liu XY</w:t>
      </w:r>
      <w:r>
        <w:rPr>
          <w:rFonts w:hint="default" w:ascii="Times New Roman Regular" w:hAnsi="Times New Roman Regular" w:eastAsia="宋体" w:cs="Times New Roman Regular"/>
          <w:b w:val="0"/>
          <w:bCs w:val="0"/>
          <w:i w:val="0"/>
          <w:kern w:val="0"/>
          <w:sz w:val="24"/>
          <w:szCs w:val="24"/>
          <w:highlight w:val="none"/>
          <w:lang w:val="en-US" w:eastAsia="zh-CN" w:bidi="ar"/>
        </w:rPr>
        <w:t>, Hu JH, Wang HF, Chen JM. Etiological analysis of 1977 patients with acute liver failure, subacute liver failure and acute-on-chronic liver failure</w:t>
      </w:r>
      <w:r>
        <w:rPr>
          <w:rFonts w:hint="default" w:ascii="Times New Roman Regular" w:hAnsi="Times New Roman Regular" w:eastAsia="宋体" w:cs="Times New Roman Regular"/>
          <w:b w:val="0"/>
          <w:bCs w:val="0"/>
          <w:i w:val="0"/>
          <w:kern w:val="0"/>
          <w:sz w:val="24"/>
          <w:szCs w:val="24"/>
          <w:highlight w:val="none"/>
          <w:lang w:eastAsia="zh-CN" w:bidi="ar"/>
        </w:rPr>
        <w:t xml:space="preserve">. </w:t>
      </w:r>
      <w:r>
        <w:rPr>
          <w:rFonts w:hint="default" w:ascii="Times New Roman Regular" w:hAnsi="Times New Roman Regular" w:eastAsia="宋体" w:cs="Times New Roman Regular"/>
          <w:b w:val="0"/>
          <w:bCs w:val="0"/>
          <w:i w:val="0"/>
          <w:kern w:val="0"/>
          <w:sz w:val="24"/>
          <w:szCs w:val="24"/>
          <w:highlight w:val="none"/>
          <w:lang w:val="en-US" w:eastAsia="zh-CN" w:bidi="ar"/>
        </w:rPr>
        <w:t xml:space="preserve">Zhonghua Gan Zang Bing Za Zhi. 2008;16(10):772-775. </w:t>
      </w:r>
    </w:p>
    <w:p>
      <w:pPr>
        <w:keepNext w:val="0"/>
        <w:keepLines w:val="0"/>
        <w:widowControl/>
        <w:numPr>
          <w:ilvl w:val="0"/>
          <w:numId w:val="0"/>
        </w:numPr>
        <w:suppressLineNumbers w:val="0"/>
        <w:spacing w:before="120" w:beforeAutospacing="0" w:after="240" w:afterAutospacing="0" w:line="480" w:lineRule="auto"/>
        <w:ind w:leftChars="0" w:right="0" w:rightChars="0"/>
        <w:jc w:val="left"/>
        <w:rPr>
          <w:rFonts w:hint="default" w:ascii="Times New Roman Bold" w:hAnsi="Times New Roman Bold" w:eastAsia="宋体" w:cs="Times New Roman Bold"/>
          <w:b/>
          <w:bCs/>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20</w:t>
      </w:r>
      <w:r>
        <w:rPr>
          <w:rFonts w:hint="default" w:ascii="Times New Roman" w:hAnsi="Times New Roman" w:cs="Times New Roman"/>
          <w:b w:val="0"/>
          <w:bCs w:val="0"/>
          <w:color w:val="000000" w:themeColor="text1"/>
          <w:kern w:val="0"/>
          <w:sz w:val="24"/>
          <w:szCs w:val="24"/>
          <w:highlight w:val="none"/>
          <w:lang w:eastAsia="zh-CN" w:bidi="ar"/>
          <w14:textFill>
            <w14:solidFill>
              <w14:schemeClr w14:val="tx1"/>
            </w14:solidFill>
          </w14:textFill>
        </w:rPr>
        <w:t>]</w:t>
      </w:r>
      <w:r>
        <w:rPr>
          <w:rFonts w:hint="default" w:cs="Times New Roman"/>
          <w:b w:val="0"/>
          <w:bCs w:val="0"/>
          <w:color w:val="000000" w:themeColor="text1"/>
          <w:kern w:val="0"/>
          <w:sz w:val="24"/>
          <w:szCs w:val="24"/>
          <w:highlight w:val="none"/>
          <w:lang w:eastAsia="zh-CN" w:bidi="ar"/>
          <w14:textFill>
            <w14:solidFill>
              <w14:schemeClr w14:val="tx1"/>
            </w14:solidFill>
          </w14:textFill>
        </w:rPr>
        <w:t xml:space="preserve"> </w:t>
      </w:r>
      <w:r>
        <w:rPr>
          <w:rFonts w:hint="default" w:ascii="Times New Roman Bold" w:hAnsi="Times New Roman Bold" w:eastAsia="宋体" w:cs="Times New Roman Bold"/>
          <w:b/>
          <w:bCs/>
          <w:i w:val="0"/>
          <w:kern w:val="0"/>
          <w:sz w:val="24"/>
          <w:szCs w:val="24"/>
          <w:highlight w:val="none"/>
          <w:lang w:val="en-US" w:eastAsia="zh-CN" w:bidi="ar"/>
        </w:rPr>
        <w:t>Wu J,</w:t>
      </w:r>
      <w:r>
        <w:rPr>
          <w:rFonts w:hint="default" w:ascii="Times New Roman Regular" w:hAnsi="Times New Roman Regular" w:eastAsia="宋体" w:cs="Times New Roman Regular"/>
          <w:b w:val="0"/>
          <w:bCs w:val="0"/>
          <w:i w:val="0"/>
          <w:kern w:val="0"/>
          <w:sz w:val="24"/>
          <w:szCs w:val="24"/>
          <w:highlight w:val="none"/>
          <w:lang w:val="en-US" w:eastAsia="zh-CN" w:bidi="ar"/>
        </w:rPr>
        <w:t xml:space="preserve"> Xu Y, Cui Y, et al. Dynamic changes of serum metabolites associated with infection and severity of patients with acute hepatitis E infection. J Med Virol. 2022;94(6):2714-2726. doi:10.1002/jmv.27669</w:t>
      </w:r>
    </w:p>
    <w:p>
      <w:pPr>
        <w:rPr>
          <w:rFonts w:hint="default"/>
          <w:highlight w:val="none"/>
        </w:rPr>
      </w:pPr>
    </w:p>
    <w:p>
      <w:pPr>
        <w:rPr>
          <w:rFonts w:hint="default"/>
          <w:highlight w:val="none"/>
        </w:rPr>
      </w:pPr>
    </w:p>
    <w:p>
      <w:pPr>
        <w:rPr>
          <w:rFonts w:hint="default"/>
          <w:highlight w:val="none"/>
        </w:rPr>
      </w:pPr>
    </w:p>
    <w:p>
      <w:pPr>
        <w:rPr>
          <w:rFonts w:hint="default"/>
          <w:highlight w:val="none"/>
        </w:rPr>
      </w:pPr>
    </w:p>
    <w:p>
      <w:pPr>
        <w:rPr>
          <w:rFonts w:hint="default"/>
          <w:highlight w:val="none"/>
        </w:rPr>
      </w:pPr>
    </w:p>
    <w:sectPr>
      <w:pgSz w:w="11906" w:h="16838"/>
      <w:pgMar w:top="864" w:right="720" w:bottom="864" w:left="720" w:header="706" w:footer="706"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imes New Roman Bold">
    <w:panose1 w:val="02020603050405020304"/>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Cambria">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DejaVu Sans">
    <w:altName w:val="苹方-简"/>
    <w:panose1 w:val="00000000000000000000"/>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 w:name="Times New Roman Bold Italic">
    <w:panose1 w:val="02020603050405020304"/>
    <w:charset w:val="00"/>
    <w:family w:val="auto"/>
    <w:pitch w:val="default"/>
    <w:sig w:usb0="00000000" w:usb1="00000000" w:usb2="00000000" w:usb3="00000000" w:csb0="00000000" w:csb1="00000000"/>
  </w:font>
  <w:font w:name="Wingdings 2">
    <w:panose1 w:val="05020102010507070707"/>
    <w:charset w:val="00"/>
    <w:family w:val="roman"/>
    <w:pitch w:val="default"/>
    <w:sig w:usb0="00000000" w:usb1="00000000" w:usb2="00000000" w:usb3="00000000" w:csb0="00000000" w:csb1="00000000"/>
  </w:font>
  <w:font w:name="等线">
    <w:altName w:val="汉仪中等线KW"/>
    <w:panose1 w:val="02010600030101010101"/>
    <w:charset w:val="00"/>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Segoe UI Symbol">
    <w:altName w:val="苹方-简"/>
    <w:panose1 w:val="020B0502040204020203"/>
    <w:charset w:val="00"/>
    <w:family w:val="swiss"/>
    <w:pitch w:val="default"/>
    <w:sig w:usb0="00000000" w:usb1="00000000" w:usb2="00040000" w:usb3="00000000" w:csb0="00000001"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368782"/>
    <w:multiLevelType w:val="singleLevel"/>
    <w:tmpl w:val="4F368782"/>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F6693"/>
    <w:rsid w:val="3FEBB279"/>
    <w:rsid w:val="45FED4E2"/>
    <w:rsid w:val="5FDFDD27"/>
    <w:rsid w:val="6F372F18"/>
    <w:rsid w:val="73ED1815"/>
    <w:rsid w:val="75FB35D9"/>
    <w:rsid w:val="77ED9890"/>
    <w:rsid w:val="79EC535E"/>
    <w:rsid w:val="7A3E1CF1"/>
    <w:rsid w:val="7B7BCF9D"/>
    <w:rsid w:val="7BFF6693"/>
    <w:rsid w:val="7CCDF0D1"/>
    <w:rsid w:val="7E6F62AC"/>
    <w:rsid w:val="BBB71D6C"/>
    <w:rsid w:val="BBDB1DCD"/>
    <w:rsid w:val="ECF7BD89"/>
    <w:rsid w:val="F78BA372"/>
    <w:rsid w:val="F8732080"/>
    <w:rsid w:val="FC4E3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imes New Roman"/>
      <w:sz w:val="22"/>
      <w:szCs w:val="22"/>
      <w:lang w:val="en-GB" w:eastAsia="en-US" w:bidi="ar-SA"/>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caption"/>
    <w:basedOn w:val="1"/>
    <w:next w:val="1"/>
    <w:link w:val="10"/>
    <w:qFormat/>
    <w:uiPriority w:val="0"/>
    <w:pPr>
      <w:spacing w:after="120"/>
    </w:pPr>
    <w:rPr>
      <w:i/>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styleId="7">
    <w:name w:val="Table Grid"/>
    <w:basedOn w:val="6"/>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9">
    <w:name w:val="Hyperlink"/>
    <w:basedOn w:val="10"/>
    <w:qFormat/>
    <w:uiPriority w:val="99"/>
    <w:rPr>
      <w:color w:val="5B9BD5" w:themeColor="accent1"/>
      <w14:textFill>
        <w14:solidFill>
          <w14:schemeClr w14:val="accent1"/>
        </w14:solidFill>
      </w14:textFill>
    </w:rPr>
  </w:style>
  <w:style w:type="character" w:customStyle="1" w:styleId="10">
    <w:name w:val="Caption Char"/>
    <w:basedOn w:val="8"/>
    <w:link w:val="2"/>
    <w:qFormat/>
    <w:uiPriority w:val="0"/>
    <w:rPr>
      <w:i/>
    </w:rPr>
  </w:style>
  <w:style w:type="paragraph" w:styleId="11">
    <w:name w:val="List Paragraph"/>
    <w:basedOn w:val="1"/>
    <w:qFormat/>
    <w:uiPriority w:val="34"/>
    <w:pPr>
      <w:spacing w:after="160" w:line="259" w:lineRule="auto"/>
      <w:ind w:left="720"/>
      <w:contextualSpacing/>
    </w:pPr>
    <w:rPr>
      <w:rFonts w:ascii="Calibri" w:hAnsi="Calibri" w:eastAsia="Calibri" w:cs="Times New Roman"/>
      <w:szCs w:val="22"/>
      <w:lang w:val="en-US"/>
    </w:rPr>
  </w:style>
  <w:style w:type="character" w:customStyle="1" w:styleId="12">
    <w:name w:val="font21"/>
    <w:basedOn w:val="8"/>
    <w:qFormat/>
    <w:uiPriority w:val="0"/>
    <w:rPr>
      <w:rFonts w:hint="eastAsia" w:ascii="宋体" w:hAnsi="宋体" w:eastAsia="宋体" w:cs="宋体"/>
      <w:b/>
      <w:bCs/>
      <w:color w:val="000000"/>
      <w:sz w:val="28"/>
      <w:szCs w:val="28"/>
      <w:u w:val="none"/>
    </w:rPr>
  </w:style>
  <w:style w:type="character" w:customStyle="1" w:styleId="13">
    <w:name w:val="font31"/>
    <w:basedOn w:val="8"/>
    <w:qFormat/>
    <w:uiPriority w:val="0"/>
    <w:rPr>
      <w:rFonts w:hint="default" w:ascii="Times New Roman Bold" w:hAnsi="Times New Roman Bold" w:eastAsia="Times New Roman Bold" w:cs="Times New Roman Bold"/>
      <w:b/>
      <w:bCs/>
      <w:color w:val="000000"/>
      <w:sz w:val="28"/>
      <w:szCs w:val="28"/>
      <w:u w:val="none"/>
    </w:rPr>
  </w:style>
  <w:style w:type="character" w:customStyle="1" w:styleId="14">
    <w:name w:val="font11"/>
    <w:basedOn w:val="8"/>
    <w:qFormat/>
    <w:uiPriority w:val="0"/>
    <w:rPr>
      <w:rFonts w:hint="default" w:ascii="Times New Roman Bold" w:hAnsi="Times New Roman Bold" w:eastAsia="Times New Roman Bold" w:cs="Times New Roman Bold"/>
      <w:b/>
      <w:bCs/>
      <w:color w:val="000000"/>
      <w:sz w:val="28"/>
      <w:szCs w:val="28"/>
      <w:u w:val="none"/>
    </w:rPr>
  </w:style>
  <w:style w:type="character" w:customStyle="1" w:styleId="15">
    <w:name w:val="font01"/>
    <w:basedOn w:val="8"/>
    <w:qFormat/>
    <w:uiPriority w:val="0"/>
    <w:rPr>
      <w:rFonts w:ascii="宋体-简" w:hAnsi="宋体-简" w:eastAsia="宋体-简" w:cs="宋体-简"/>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157</TotalTime>
  <ScaleCrop>false</ScaleCrop>
  <LinksUpToDate>false</LinksUpToDate>
  <CharactersWithSpaces>0</CharactersWithSpaces>
  <Application>WPS Office_5.4.0.7913_F1E327BC-269C-435d-A152-05C5408002CA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2023-01-04T07:18:00Z</dcterms:created>
  <dc:creator>Kevin❤️</dc:creator>
  <cp:lastModifiedBy>DR</cp:lastModifiedBy>
  <dcterms:modified xsi:type="dcterms:W3CDTF">2023-05-15T23:20:47Z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2052-5.4.0.7913</vt:lpwstr>
  </property>
  <property fmtid="{D5CDD505-2E9C-101B-9397-08002B2CF9AE}" pid="3" name="ICV">
    <vt:lpwstr>A50E2C0BFA84186275590464FBDA5243_43</vt:lpwstr>
  </property>
</Properties>
</file>