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Fig. S1</w:t>
      </w:r>
      <w:r>
        <w:rPr>
          <w:rFonts w:hint="eastAsia" w:ascii="Times New Roman" w:hAnsi="Times New Roman" w:cs="Times New Roman"/>
          <w:sz w:val="28"/>
          <w:szCs w:val="28"/>
        </w:rPr>
        <w:t xml:space="preserve">. The </w:t>
      </w:r>
      <w:r>
        <w:rPr>
          <w:rFonts w:ascii="Times New Roman" w:hAnsi="Times New Roman" w:cs="Times New Roman"/>
          <w:sz w:val="28"/>
          <w:szCs w:val="28"/>
        </w:rPr>
        <w:t xml:space="preserve">HAADF image and </w:t>
      </w:r>
      <w:r>
        <w:rPr>
          <w:rFonts w:hint="eastAsia" w:ascii="Times New Roman" w:hAnsi="Times New Roman" w:cs="Times New Roman"/>
          <w:sz w:val="28"/>
          <w:szCs w:val="28"/>
        </w:rPr>
        <w:t xml:space="preserve">EDX spectra of 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>LaNiO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vertAlign w:val="subscript"/>
        </w:rPr>
        <w:t>3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>/70%g-C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vertAlign w:val="subscript"/>
        </w:rPr>
        <w:t>3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</w:rPr>
        <w:t>N</w:t>
      </w:r>
      <w:r>
        <w:rPr>
          <w:rFonts w:hint="eastAsia" w:ascii="Times New Roman" w:hAnsi="Times New Roman" w:eastAsia="宋体" w:cs="Times New Roman"/>
          <w:kern w:val="0"/>
          <w:sz w:val="28"/>
          <w:szCs w:val="28"/>
          <w:vertAlign w:val="subscript"/>
        </w:rPr>
        <w:t>4</w:t>
      </w:r>
    </w:p>
    <w:p>
      <w:pPr>
        <w:jc w:val="center"/>
      </w:pPr>
      <w:r>
        <w:drawing>
          <wp:inline distT="0" distB="0" distL="0" distR="0">
            <wp:extent cx="3060700" cy="3060700"/>
            <wp:effectExtent l="0" t="0" r="635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/>
        </w:rPr>
        <w:drawing>
          <wp:inline distT="0" distB="0" distL="0" distR="0">
            <wp:extent cx="3569970" cy="26098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7329" cy="2651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>
      <w:pPr>
        <w:rPr>
          <w:rFonts w:hint="eastAsia"/>
        </w:rPr>
      </w:pPr>
    </w:p>
    <w:p/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Table. S1. The BET specific surface area, mean pore diameter and pore</w:t>
      </w:r>
    </w:p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volume of the as-obtained samples.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1F1F1" w:themeFill="background1" w:themeFillShade="F2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2"/>
        <w:gridCol w:w="1810"/>
        <w:gridCol w:w="1810"/>
        <w:gridCol w:w="180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1F1F1" w:themeFill="background1" w:themeFillShade="F2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2" w:type="dxa"/>
            <w:tcBorders>
              <w:bottom w:val="single" w:color="auto" w:sz="12" w:space="0"/>
            </w:tcBorders>
            <w:shd w:val="clear" w:color="auto" w:fill="F1F1F1" w:themeFill="background1" w:themeFillShade="F2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Samples</w:t>
            </w:r>
          </w:p>
        </w:tc>
        <w:tc>
          <w:tcPr>
            <w:tcW w:w="1810" w:type="dxa"/>
            <w:tcBorders>
              <w:bottom w:val="single" w:color="auto" w:sz="12" w:space="0"/>
            </w:tcBorders>
            <w:shd w:val="clear" w:color="auto" w:fill="F1F1F1" w:themeFill="background1" w:themeFillShade="F2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 xml:space="preserve">BET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/g)</w:t>
            </w:r>
          </w:p>
        </w:tc>
        <w:tc>
          <w:tcPr>
            <w:tcW w:w="1810" w:type="dxa"/>
            <w:tcBorders>
              <w:bottom w:val="single" w:color="auto" w:sz="12" w:space="0"/>
            </w:tcBorders>
            <w:shd w:val="clear" w:color="auto" w:fill="F1F1F1" w:themeFill="background1" w:themeFillShade="F2"/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total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(cc/g)</w:t>
            </w:r>
          </w:p>
        </w:tc>
        <w:tc>
          <w:tcPr>
            <w:tcW w:w="1804" w:type="dxa"/>
            <w:tcBorders>
              <w:bottom w:val="single" w:color="auto" w:sz="12" w:space="0"/>
            </w:tcBorders>
            <w:shd w:val="clear" w:color="auto" w:fill="F1F1F1" w:themeFill="background1" w:themeFillShade="F2"/>
          </w:tcPr>
          <w:p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BJH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(nm)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2" w:type="dxa"/>
            <w:tcBorders>
              <w:top w:val="single" w:color="auto" w:sz="12" w:space="0"/>
              <w:bottom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g-C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810" w:type="dxa"/>
            <w:tcBorders>
              <w:top w:val="single" w:color="auto" w:sz="12" w:space="0"/>
              <w:bottom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54.35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810" w:type="dxa"/>
            <w:tcBorders>
              <w:top w:val="single" w:color="auto" w:sz="12" w:space="0"/>
              <w:bottom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0.084</w:t>
            </w:r>
          </w:p>
        </w:tc>
        <w:tc>
          <w:tcPr>
            <w:tcW w:w="1804" w:type="dxa"/>
            <w:tcBorders>
              <w:top w:val="single" w:color="auto" w:sz="12" w:space="0"/>
              <w:bottom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2.212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2" w:type="dxa"/>
            <w:tcBorders>
              <w:top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LaNiO</w:t>
            </w:r>
            <w:r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</w:p>
        </w:tc>
        <w:tc>
          <w:tcPr>
            <w:tcW w:w="1810" w:type="dxa"/>
            <w:tcBorders>
              <w:top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21.277</w:t>
            </w:r>
          </w:p>
        </w:tc>
        <w:tc>
          <w:tcPr>
            <w:tcW w:w="1810" w:type="dxa"/>
            <w:tcBorders>
              <w:top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0.042</w:t>
            </w:r>
          </w:p>
        </w:tc>
        <w:tc>
          <w:tcPr>
            <w:tcW w:w="1804" w:type="dxa"/>
            <w:tcBorders>
              <w:top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1.839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2" w:type="dxa"/>
            <w:tcBorders>
              <w:top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LaNiO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(30wt%)g-C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810" w:type="dxa"/>
            <w:tcBorders>
              <w:top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43.033</w:t>
            </w:r>
          </w:p>
        </w:tc>
        <w:tc>
          <w:tcPr>
            <w:tcW w:w="1810" w:type="dxa"/>
            <w:tcBorders>
              <w:top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0.121</w:t>
            </w:r>
          </w:p>
        </w:tc>
        <w:tc>
          <w:tcPr>
            <w:tcW w:w="1804" w:type="dxa"/>
            <w:tcBorders>
              <w:top w:val="nil"/>
            </w:tcBorders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1.853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2" w:type="dxa"/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LaNiO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(40wt%)g-C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810" w:type="dxa"/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40.111</w:t>
            </w:r>
          </w:p>
        </w:tc>
        <w:tc>
          <w:tcPr>
            <w:tcW w:w="1810" w:type="dxa"/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0.172</w:t>
            </w:r>
          </w:p>
        </w:tc>
        <w:tc>
          <w:tcPr>
            <w:tcW w:w="1804" w:type="dxa"/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2.190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22" w:type="dxa"/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LaNiO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(50wt%)g-C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4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LaNiO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(60wt%)g-C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4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color w:val="FF0000"/>
                <w:kern w:val="0"/>
                <w:szCs w:val="21"/>
              </w:rPr>
              <w:t>LaNiO</w:t>
            </w:r>
            <w:r>
              <w:rPr>
                <w:rFonts w:ascii="Times New Roman" w:hAnsi="Times New Roman" w:eastAsia="微软雅黑" w:cs="Times New Roman"/>
                <w:color w:val="FF0000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color w:val="FF0000"/>
                <w:szCs w:val="21"/>
              </w:rPr>
              <w:t>/</w:t>
            </w:r>
            <w:r>
              <w:rPr>
                <w:rFonts w:ascii="Times New Roman" w:hAnsi="Times New Roman" w:eastAsia="微软雅黑" w:cs="Times New Roman"/>
                <w:color w:val="FF0000"/>
                <w:kern w:val="0"/>
                <w:szCs w:val="21"/>
              </w:rPr>
              <w:t>(70wt%)g-C</w:t>
            </w:r>
            <w:r>
              <w:rPr>
                <w:rFonts w:ascii="Times New Roman" w:hAnsi="Times New Roman" w:eastAsia="微软雅黑" w:cs="Times New Roman"/>
                <w:color w:val="FF0000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微软雅黑" w:cs="Times New Roman"/>
                <w:color w:val="FF0000"/>
                <w:kern w:val="0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color w:val="FF0000"/>
                <w:kern w:val="0"/>
                <w:szCs w:val="21"/>
                <w:vertAlign w:val="subscript"/>
              </w:rPr>
              <w:t>4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Cs w:val="21"/>
              </w:rPr>
            </w:pP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LaNiO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(80wt%)g-C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3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810" w:type="dxa"/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43.223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48.261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hint="eastAsia" w:ascii="Times New Roman" w:hAnsi="Times New Roman" w:cs="Times New Roman"/>
                <w:color w:val="FF0000"/>
                <w:szCs w:val="21"/>
              </w:rPr>
              <w:t>66.060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62.377</w:t>
            </w:r>
          </w:p>
        </w:tc>
        <w:tc>
          <w:tcPr>
            <w:tcW w:w="1810" w:type="dxa"/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0.163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0.187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0.289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0.226</w:t>
            </w:r>
          </w:p>
        </w:tc>
        <w:tc>
          <w:tcPr>
            <w:tcW w:w="1804" w:type="dxa"/>
            <w:shd w:val="clear" w:color="auto" w:fill="F1F1F1" w:themeFill="background1" w:themeFillShade="F2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2.366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2.184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color w:val="FF0000"/>
                <w:szCs w:val="21"/>
              </w:rPr>
            </w:pPr>
            <w:r>
              <w:rPr>
                <w:rFonts w:ascii="Times New Roman" w:hAnsi="Times New Roman" w:cs="Times New Roman"/>
                <w:color w:val="FF0000"/>
                <w:szCs w:val="21"/>
              </w:rPr>
              <w:t>2.027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2.201</w:t>
            </w:r>
          </w:p>
        </w:tc>
      </w:tr>
    </w:tbl>
    <w:p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S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BET</w:t>
      </w:r>
      <w:r>
        <w:rPr>
          <w:rFonts w:ascii="Times New Roman" w:hAnsi="Times New Roman" w:cs="Times New Roman"/>
          <w:sz w:val="28"/>
          <w:szCs w:val="28"/>
        </w:rPr>
        <w:t xml:space="preserve"> is the speciﬁc surface area calculated from the N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adsorption isotherm according to the BET method. </w:t>
      </w:r>
      <w:r>
        <w:rPr>
          <w:rFonts w:ascii="Times New Roman" w:hAnsi="Times New Roman" w:cs="Times New Roman"/>
          <w:i/>
          <w:sz w:val="28"/>
          <w:szCs w:val="28"/>
        </w:rPr>
        <w:t>V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total</w:t>
      </w:r>
      <w:r>
        <w:rPr>
          <w:rFonts w:ascii="Times New Roman" w:hAnsi="Times New Roman" w:cs="Times New Roman"/>
          <w:sz w:val="28"/>
          <w:szCs w:val="28"/>
        </w:rPr>
        <w:t xml:space="preserve"> is the single-point total pore volume.  </w:t>
      </w:r>
      <w:r>
        <w:rPr>
          <w:rFonts w:ascii="Times New Roman" w:hAnsi="Times New Roman" w:cs="Times New Roman"/>
          <w:i/>
          <w:sz w:val="28"/>
          <w:szCs w:val="28"/>
        </w:rPr>
        <w:t>D</w:t>
      </w:r>
      <w:r>
        <w:rPr>
          <w:rFonts w:ascii="Times New Roman" w:hAnsi="Times New Roman" w:cs="Times New Roman"/>
          <w:i/>
          <w:sz w:val="28"/>
          <w:szCs w:val="28"/>
          <w:vertAlign w:val="subscript"/>
        </w:rPr>
        <w:t>BJH</w:t>
      </w:r>
      <w:r>
        <w:rPr>
          <w:rFonts w:ascii="Times New Roman" w:hAnsi="Times New Roman" w:cs="Times New Roman"/>
          <w:sz w:val="28"/>
          <w:szCs w:val="28"/>
        </w:rPr>
        <w:t xml:space="preserve"> is the pore size determined from the N</w:t>
      </w:r>
      <w:r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desorption branch using the BJH model.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AB"/>
    <w:rsid w:val="00035781"/>
    <w:rsid w:val="0006210A"/>
    <w:rsid w:val="000637EB"/>
    <w:rsid w:val="0009342D"/>
    <w:rsid w:val="000A3239"/>
    <w:rsid w:val="000F45F7"/>
    <w:rsid w:val="00125E5C"/>
    <w:rsid w:val="001A40E3"/>
    <w:rsid w:val="001B5E16"/>
    <w:rsid w:val="001E53E4"/>
    <w:rsid w:val="002578DC"/>
    <w:rsid w:val="002F2C1D"/>
    <w:rsid w:val="00353E4B"/>
    <w:rsid w:val="003714CB"/>
    <w:rsid w:val="0042513B"/>
    <w:rsid w:val="00433E17"/>
    <w:rsid w:val="0045445A"/>
    <w:rsid w:val="005219E6"/>
    <w:rsid w:val="00565F90"/>
    <w:rsid w:val="005A7700"/>
    <w:rsid w:val="0061514F"/>
    <w:rsid w:val="00635B64"/>
    <w:rsid w:val="00654256"/>
    <w:rsid w:val="007A657A"/>
    <w:rsid w:val="007A735E"/>
    <w:rsid w:val="008C6024"/>
    <w:rsid w:val="00906D6A"/>
    <w:rsid w:val="009A29AB"/>
    <w:rsid w:val="00AF5B31"/>
    <w:rsid w:val="00B547B4"/>
    <w:rsid w:val="00C065F1"/>
    <w:rsid w:val="00C647F3"/>
    <w:rsid w:val="00C81224"/>
    <w:rsid w:val="00D7738E"/>
    <w:rsid w:val="00E86BF9"/>
    <w:rsid w:val="00EA04D0"/>
    <w:rsid w:val="00EE102E"/>
    <w:rsid w:val="00F64602"/>
    <w:rsid w:val="00F77B5F"/>
    <w:rsid w:val="43732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BBFA6D-95DE-4BED-A52B-3FA008E0413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</Words>
  <Characters>646</Characters>
  <Lines>5</Lines>
  <Paragraphs>1</Paragraphs>
  <TotalTime>5990</TotalTime>
  <ScaleCrop>false</ScaleCrop>
  <LinksUpToDate>false</LinksUpToDate>
  <CharactersWithSpaces>758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2019-02-23T01:44:00Z</dcterms:created>
  <dc:creator>Windows 用户</dc:creator>
  <cp:lastModifiedBy>family-ye</cp:lastModifiedBy>
  <dcterms:modified xsi:type="dcterms:W3CDTF">2020-04-07T02:33:23Z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