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BE4" w:rsidRPr="00AB546F" w:rsidRDefault="00A70BE4" w:rsidP="00AB546F">
      <w:pPr>
        <w:jc w:val="center"/>
        <w:rPr>
          <w:rFonts w:ascii="Times New Roman" w:hAnsi="Times New Roman" w:cs="Times New Roman"/>
          <w:b/>
          <w:sz w:val="24"/>
          <w:szCs w:val="24"/>
          <w:lang w:val="en-US"/>
        </w:rPr>
      </w:pPr>
      <w:r w:rsidRPr="00AB546F">
        <w:rPr>
          <w:rFonts w:ascii="Times New Roman" w:hAnsi="Times New Roman" w:cs="Times New Roman"/>
          <w:b/>
          <w:sz w:val="24"/>
          <w:szCs w:val="24"/>
          <w:lang w:val="en-US"/>
        </w:rPr>
        <w:t xml:space="preserve">Supplementary Text </w:t>
      </w:r>
      <w:r w:rsidR="00FC5E27" w:rsidRPr="00AB546F">
        <w:rPr>
          <w:rFonts w:ascii="Times New Roman" w:hAnsi="Times New Roman" w:cs="Times New Roman"/>
          <w:b/>
          <w:sz w:val="24"/>
          <w:szCs w:val="24"/>
          <w:lang w:val="en-US"/>
        </w:rPr>
        <w:t>S</w:t>
      </w:r>
      <w:r w:rsidRPr="00AB546F">
        <w:rPr>
          <w:rFonts w:ascii="Times New Roman" w:hAnsi="Times New Roman" w:cs="Times New Roman"/>
          <w:b/>
          <w:sz w:val="24"/>
          <w:szCs w:val="24"/>
          <w:lang w:val="en-US"/>
        </w:rPr>
        <w:t>1</w:t>
      </w:r>
    </w:p>
    <w:p w:rsidR="001358B2" w:rsidRPr="00AB546F" w:rsidRDefault="001358B2" w:rsidP="007456F2">
      <w:pPr>
        <w:jc w:val="both"/>
        <w:rPr>
          <w:rFonts w:ascii="Times New Roman" w:hAnsi="Times New Roman" w:cs="Times New Roman"/>
          <w:b/>
          <w:sz w:val="20"/>
          <w:szCs w:val="20"/>
          <w:lang w:val="en-GB"/>
        </w:rPr>
      </w:pPr>
      <w:r w:rsidRPr="00AB546F">
        <w:rPr>
          <w:rFonts w:ascii="Times New Roman" w:hAnsi="Times New Roman" w:cs="Times New Roman"/>
          <w:b/>
          <w:sz w:val="20"/>
          <w:szCs w:val="20"/>
          <w:lang w:val="en-GB"/>
        </w:rPr>
        <w:t>Transmission model</w:t>
      </w:r>
    </w:p>
    <w:p w:rsidR="007932A2" w:rsidRPr="00AB546F" w:rsidRDefault="00E01D0E" w:rsidP="00AB546F">
      <w:pPr>
        <w:spacing w:line="240" w:lineRule="auto"/>
        <w:jc w:val="both"/>
        <w:rPr>
          <w:rFonts w:ascii="Times New Roman" w:hAnsi="Times New Roman" w:cs="Times New Roman"/>
          <w:sz w:val="20"/>
          <w:szCs w:val="20"/>
          <w:lang w:val="en-GB"/>
        </w:rPr>
      </w:pPr>
      <w:r w:rsidRPr="00AB546F">
        <w:rPr>
          <w:rFonts w:ascii="Times New Roman" w:hAnsi="Times New Roman" w:cs="Times New Roman"/>
          <w:sz w:val="20"/>
          <w:szCs w:val="20"/>
          <w:lang w:val="en-US"/>
        </w:rPr>
        <w:t>We developed a stochastic agent-based, discrete-time model, applied to simulate the transmission of ESBL-EC among household members</w:t>
      </w:r>
      <w:r w:rsidR="00325629" w:rsidRPr="00AB546F">
        <w:rPr>
          <w:rFonts w:ascii="Times New Roman" w:hAnsi="Times New Roman" w:cs="Times New Roman"/>
          <w:sz w:val="20"/>
          <w:szCs w:val="20"/>
          <w:lang w:val="en-US"/>
        </w:rPr>
        <w:t xml:space="preserve">. </w:t>
      </w:r>
      <w:r w:rsidR="00892C66" w:rsidRPr="00AB546F">
        <w:rPr>
          <w:rFonts w:ascii="Times New Roman" w:hAnsi="Times New Roman" w:cs="Times New Roman"/>
          <w:sz w:val="20"/>
          <w:szCs w:val="20"/>
          <w:lang w:val="en-US"/>
        </w:rPr>
        <w:t xml:space="preserve">Individuals are characterized by several variables; e.g., </w:t>
      </w:r>
      <w:r w:rsidR="00436F06" w:rsidRPr="00AB546F">
        <w:rPr>
          <w:rFonts w:ascii="Times New Roman" w:hAnsi="Times New Roman" w:cs="Times New Roman"/>
          <w:sz w:val="20"/>
          <w:szCs w:val="20"/>
          <w:lang w:val="en-US"/>
        </w:rPr>
        <w:t xml:space="preserve">class </w:t>
      </w:r>
      <w:r w:rsidR="00892C66" w:rsidRPr="00AB546F">
        <w:rPr>
          <w:rFonts w:ascii="Times New Roman" w:hAnsi="Times New Roman" w:cs="Times New Roman"/>
          <w:sz w:val="20"/>
          <w:szCs w:val="20"/>
          <w:lang w:val="en-US"/>
        </w:rPr>
        <w:t>age</w:t>
      </w:r>
      <w:r w:rsidR="00B27CF4" w:rsidRPr="00AB546F">
        <w:rPr>
          <w:rFonts w:ascii="Times New Roman" w:hAnsi="Times New Roman" w:cs="Times New Roman"/>
          <w:sz w:val="20"/>
          <w:szCs w:val="20"/>
          <w:lang w:val="en-US"/>
        </w:rPr>
        <w:t xml:space="preserve"> (adults, children</w:t>
      </w:r>
      <w:r w:rsidR="00B27CF4" w:rsidRPr="00AB546F">
        <w:rPr>
          <w:rFonts w:ascii="Times New Roman" w:hAnsi="Times New Roman" w:cs="Times New Roman"/>
          <w:sz w:val="20"/>
          <w:szCs w:val="20"/>
          <w:lang w:val="en-GB"/>
        </w:rPr>
        <w:t>≥ 3 years old, babies &lt; 3 years</w:t>
      </w:r>
      <w:r w:rsidR="00B27CF4" w:rsidRPr="00AB546F">
        <w:rPr>
          <w:rFonts w:ascii="Times New Roman" w:hAnsi="Times New Roman" w:cs="Times New Roman"/>
          <w:sz w:val="20"/>
          <w:szCs w:val="20"/>
          <w:lang w:val="en-US"/>
        </w:rPr>
        <w:t xml:space="preserve"> )</w:t>
      </w:r>
      <w:r w:rsidR="00892C66" w:rsidRPr="00AB546F">
        <w:rPr>
          <w:rFonts w:ascii="Times New Roman" w:hAnsi="Times New Roman" w:cs="Times New Roman"/>
          <w:sz w:val="20"/>
          <w:szCs w:val="20"/>
          <w:lang w:val="en-US"/>
        </w:rPr>
        <w:t xml:space="preserve">, exposition to antibiotics, number of contacts </w:t>
      </w:r>
      <w:r w:rsidR="002242C0" w:rsidRPr="00AB546F">
        <w:rPr>
          <w:rFonts w:ascii="Times New Roman" w:hAnsi="Times New Roman" w:cs="Times New Roman"/>
          <w:sz w:val="20"/>
          <w:szCs w:val="20"/>
          <w:lang w:val="en-US"/>
        </w:rPr>
        <w:t xml:space="preserve">with family members </w:t>
      </w:r>
      <w:r w:rsidR="00892C66" w:rsidRPr="00AB546F">
        <w:rPr>
          <w:rFonts w:ascii="Times New Roman" w:hAnsi="Times New Roman" w:cs="Times New Roman"/>
          <w:sz w:val="20"/>
          <w:szCs w:val="20"/>
          <w:lang w:val="en-US"/>
        </w:rPr>
        <w:t xml:space="preserve">and hand hygiene behavior. </w:t>
      </w:r>
      <w:r w:rsidR="00BB4C62" w:rsidRPr="00AB546F">
        <w:rPr>
          <w:rFonts w:ascii="Times New Roman" w:hAnsi="Times New Roman" w:cs="Times New Roman"/>
          <w:sz w:val="20"/>
          <w:szCs w:val="20"/>
          <w:lang w:val="en-GB"/>
        </w:rPr>
        <w:t>Each individual may</w:t>
      </w:r>
      <w:r w:rsidR="007932A2" w:rsidRPr="00AB546F">
        <w:rPr>
          <w:rFonts w:ascii="Times New Roman" w:hAnsi="Times New Roman" w:cs="Times New Roman"/>
          <w:sz w:val="20"/>
          <w:szCs w:val="20"/>
          <w:lang w:val="en-GB"/>
        </w:rPr>
        <w:t xml:space="preserve"> be in one of four infectious states: 1) susceptible (negative for ESBL-EC), 2) contaminated (hands), 3) colonised (in the digestive tract) or 4) colonised and contaminated.</w:t>
      </w:r>
      <w:r w:rsidR="00656D62" w:rsidRPr="00AB546F">
        <w:rPr>
          <w:rFonts w:ascii="Times New Roman" w:hAnsi="Times New Roman" w:cs="Times New Roman"/>
          <w:sz w:val="20"/>
          <w:szCs w:val="20"/>
          <w:lang w:val="en-GB"/>
        </w:rPr>
        <w:t xml:space="preserve"> </w:t>
      </w:r>
    </w:p>
    <w:p w:rsidR="000C023D" w:rsidRPr="00AB546F" w:rsidRDefault="00892C66" w:rsidP="00AB546F">
      <w:pPr>
        <w:spacing w:line="240" w:lineRule="auto"/>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t>The model use</w:t>
      </w:r>
      <w:r w:rsidR="00BB4C62" w:rsidRPr="00AB546F">
        <w:rPr>
          <w:rFonts w:ascii="Times New Roman" w:hAnsi="Times New Roman" w:cs="Times New Roman"/>
          <w:sz w:val="20"/>
          <w:szCs w:val="20"/>
          <w:lang w:val="en-US"/>
        </w:rPr>
        <w:t xml:space="preserve">s </w:t>
      </w:r>
      <w:r w:rsidRPr="00AB546F">
        <w:rPr>
          <w:rFonts w:ascii="Times New Roman" w:hAnsi="Times New Roman" w:cs="Times New Roman"/>
          <w:sz w:val="20"/>
          <w:szCs w:val="20"/>
          <w:lang w:val="en-US"/>
        </w:rPr>
        <w:t xml:space="preserve">a time step of one day. </w:t>
      </w:r>
      <w:r w:rsidR="009D2745" w:rsidRPr="00AB546F">
        <w:rPr>
          <w:rFonts w:ascii="Times New Roman" w:hAnsi="Times New Roman" w:cs="Times New Roman"/>
          <w:sz w:val="20"/>
          <w:szCs w:val="20"/>
          <w:lang w:val="en-US"/>
        </w:rPr>
        <w:t xml:space="preserve">After the introduction of a colonized person, </w:t>
      </w:r>
      <w:r w:rsidR="004953D5" w:rsidRPr="00AB546F">
        <w:rPr>
          <w:rFonts w:ascii="Times New Roman" w:hAnsi="Times New Roman" w:cs="Times New Roman"/>
          <w:sz w:val="20"/>
          <w:szCs w:val="20"/>
          <w:lang w:val="en-US"/>
        </w:rPr>
        <w:t xml:space="preserve">and then, for each colonized, </w:t>
      </w:r>
      <w:r w:rsidR="009D2745" w:rsidRPr="00AB546F">
        <w:rPr>
          <w:rFonts w:ascii="Times New Roman" w:hAnsi="Times New Roman" w:cs="Times New Roman"/>
          <w:sz w:val="20"/>
          <w:szCs w:val="20"/>
          <w:lang w:val="en-US"/>
        </w:rPr>
        <w:t xml:space="preserve">there </w:t>
      </w:r>
      <w:r w:rsidR="00BB4C62" w:rsidRPr="00AB546F">
        <w:rPr>
          <w:rFonts w:ascii="Times New Roman" w:hAnsi="Times New Roman" w:cs="Times New Roman"/>
          <w:sz w:val="20"/>
          <w:szCs w:val="20"/>
          <w:lang w:val="en-US"/>
        </w:rPr>
        <w:t xml:space="preserve">is </w:t>
      </w:r>
      <w:r w:rsidR="009D2745" w:rsidRPr="00AB546F">
        <w:rPr>
          <w:rFonts w:ascii="Times New Roman" w:hAnsi="Times New Roman" w:cs="Times New Roman"/>
          <w:sz w:val="20"/>
          <w:szCs w:val="20"/>
          <w:lang w:val="en-US"/>
        </w:rPr>
        <w:t>a daily probability of hands</w:t>
      </w:r>
      <w:r w:rsidR="00167C1A" w:rsidRPr="00AB546F">
        <w:rPr>
          <w:rFonts w:ascii="Times New Roman" w:hAnsi="Times New Roman" w:cs="Times New Roman"/>
          <w:sz w:val="20"/>
          <w:szCs w:val="20"/>
          <w:lang w:val="en-US"/>
        </w:rPr>
        <w:t xml:space="preserve"> contamination by using </w:t>
      </w:r>
      <w:r w:rsidR="00A273F2" w:rsidRPr="00AB546F">
        <w:rPr>
          <w:rFonts w:ascii="Times New Roman" w:hAnsi="Times New Roman" w:cs="Times New Roman"/>
          <w:sz w:val="20"/>
          <w:szCs w:val="20"/>
          <w:lang w:val="en-US"/>
        </w:rPr>
        <w:t>the toilet</w:t>
      </w:r>
      <w:r w:rsidR="00167C1A" w:rsidRPr="00AB546F">
        <w:rPr>
          <w:rFonts w:ascii="Times New Roman" w:hAnsi="Times New Roman" w:cs="Times New Roman"/>
          <w:sz w:val="20"/>
          <w:szCs w:val="20"/>
          <w:lang w:val="en-US"/>
        </w:rPr>
        <w:t xml:space="preserve"> </w:t>
      </w:r>
      <w:r w:rsidR="009D2745" w:rsidRPr="00AB546F">
        <w:rPr>
          <w:rFonts w:ascii="Times New Roman" w:hAnsi="Times New Roman" w:cs="Times New Roman"/>
          <w:sz w:val="20"/>
          <w:szCs w:val="20"/>
          <w:lang w:val="en-US"/>
        </w:rPr>
        <w:t>(or if a</w:t>
      </w:r>
      <w:r w:rsidR="00C97C7C" w:rsidRPr="00AB546F">
        <w:rPr>
          <w:rFonts w:ascii="Times New Roman" w:hAnsi="Times New Roman" w:cs="Times New Roman"/>
          <w:sz w:val="20"/>
          <w:szCs w:val="20"/>
          <w:lang w:val="en-US"/>
        </w:rPr>
        <w:t>n</w:t>
      </w:r>
      <w:r w:rsidR="009D2745" w:rsidRPr="00AB546F">
        <w:rPr>
          <w:rFonts w:ascii="Times New Roman" w:hAnsi="Times New Roman" w:cs="Times New Roman"/>
          <w:sz w:val="20"/>
          <w:szCs w:val="20"/>
          <w:lang w:val="en-US"/>
        </w:rPr>
        <w:t xml:space="preserve"> index person </w:t>
      </w:r>
      <w:r w:rsidR="00BB4C62" w:rsidRPr="00AB546F">
        <w:rPr>
          <w:rFonts w:ascii="Times New Roman" w:hAnsi="Times New Roman" w:cs="Times New Roman"/>
          <w:sz w:val="20"/>
          <w:szCs w:val="20"/>
          <w:lang w:val="en-US"/>
        </w:rPr>
        <w:t>i</w:t>
      </w:r>
      <w:r w:rsidR="00567591" w:rsidRPr="00AB546F">
        <w:rPr>
          <w:rFonts w:ascii="Times New Roman" w:hAnsi="Times New Roman" w:cs="Times New Roman"/>
          <w:sz w:val="20"/>
          <w:szCs w:val="20"/>
          <w:lang w:val="en-US"/>
        </w:rPr>
        <w:t>s</w:t>
      </w:r>
      <w:r w:rsidR="009D2745" w:rsidRPr="00AB546F">
        <w:rPr>
          <w:rFonts w:ascii="Times New Roman" w:hAnsi="Times New Roman" w:cs="Times New Roman"/>
          <w:sz w:val="20"/>
          <w:szCs w:val="20"/>
          <w:lang w:val="en-US"/>
        </w:rPr>
        <w:t xml:space="preserve"> a baby, by changing diapers). </w:t>
      </w:r>
      <w:r w:rsidR="0015509F" w:rsidRPr="00AB546F">
        <w:rPr>
          <w:rFonts w:ascii="Times New Roman" w:hAnsi="Times New Roman" w:cs="Times New Roman"/>
          <w:sz w:val="20"/>
          <w:szCs w:val="20"/>
          <w:lang w:val="en-US"/>
        </w:rPr>
        <w:t xml:space="preserve">This probability </w:t>
      </w:r>
      <w:proofErr w:type="spellStart"/>
      <w:r w:rsidR="0015509F" w:rsidRPr="00AB546F">
        <w:rPr>
          <w:rFonts w:ascii="Times New Roman" w:hAnsi="Times New Roman" w:cs="Times New Roman"/>
          <w:i/>
          <w:sz w:val="20"/>
          <w:szCs w:val="20"/>
          <w:lang w:val="en-US"/>
        </w:rPr>
        <w:t>P</w:t>
      </w:r>
      <w:r w:rsidR="000C023D" w:rsidRPr="00AB546F">
        <w:rPr>
          <w:rFonts w:ascii="Times New Roman" w:hAnsi="Times New Roman" w:cs="Times New Roman"/>
          <w:i/>
          <w:sz w:val="20"/>
          <w:szCs w:val="20"/>
          <w:vertAlign w:val="subscript"/>
          <w:lang w:val="en-US"/>
        </w:rPr>
        <w:t>cont</w:t>
      </w:r>
      <w:proofErr w:type="spellEnd"/>
      <w:r w:rsidR="000C023D" w:rsidRPr="00AB546F">
        <w:rPr>
          <w:rFonts w:ascii="Times New Roman" w:hAnsi="Times New Roman" w:cs="Times New Roman"/>
          <w:sz w:val="20"/>
          <w:szCs w:val="20"/>
          <w:lang w:val="en-US"/>
        </w:rPr>
        <w:t xml:space="preserve"> depend</w:t>
      </w:r>
      <w:r w:rsidR="00320422" w:rsidRPr="00AB546F">
        <w:rPr>
          <w:rFonts w:ascii="Times New Roman" w:hAnsi="Times New Roman" w:cs="Times New Roman"/>
          <w:sz w:val="20"/>
          <w:szCs w:val="20"/>
          <w:lang w:val="en-US"/>
        </w:rPr>
        <w:t>s</w:t>
      </w:r>
      <w:r w:rsidR="000C023D" w:rsidRPr="00AB546F">
        <w:rPr>
          <w:rFonts w:ascii="Times New Roman" w:hAnsi="Times New Roman" w:cs="Times New Roman"/>
          <w:sz w:val="20"/>
          <w:szCs w:val="20"/>
          <w:lang w:val="en-US"/>
        </w:rPr>
        <w:t xml:space="preserve"> on the </w:t>
      </w:r>
      <w:r w:rsidR="00567591" w:rsidRPr="00AB546F">
        <w:rPr>
          <w:rFonts w:ascii="Times New Roman" w:hAnsi="Times New Roman" w:cs="Times New Roman"/>
          <w:sz w:val="20"/>
          <w:szCs w:val="20"/>
          <w:lang w:val="en-US"/>
        </w:rPr>
        <w:t xml:space="preserve">daily frequency of </w:t>
      </w:r>
      <w:r w:rsidR="004953D5" w:rsidRPr="00AB546F">
        <w:rPr>
          <w:rFonts w:ascii="Times New Roman" w:hAnsi="Times New Roman" w:cs="Times New Roman"/>
          <w:sz w:val="20"/>
          <w:szCs w:val="20"/>
          <w:lang w:val="en-US"/>
        </w:rPr>
        <w:t xml:space="preserve">using </w:t>
      </w:r>
      <w:r w:rsidR="00A273F2" w:rsidRPr="00AB546F">
        <w:rPr>
          <w:rFonts w:ascii="Times New Roman" w:hAnsi="Times New Roman" w:cs="Times New Roman"/>
          <w:sz w:val="20"/>
          <w:szCs w:val="20"/>
          <w:lang w:val="en-US"/>
        </w:rPr>
        <w:t>the toilet</w:t>
      </w:r>
      <w:r w:rsidR="004953D5" w:rsidRPr="00AB546F">
        <w:rPr>
          <w:rFonts w:ascii="Times New Roman" w:hAnsi="Times New Roman" w:cs="Times New Roman"/>
          <w:sz w:val="20"/>
          <w:szCs w:val="20"/>
          <w:lang w:val="en-US"/>
        </w:rPr>
        <w:t>/changing diapers,</w:t>
      </w:r>
      <w:r w:rsidR="00567591" w:rsidRPr="00AB546F">
        <w:rPr>
          <w:rFonts w:ascii="Times New Roman" w:hAnsi="Times New Roman" w:cs="Times New Roman"/>
          <w:sz w:val="20"/>
          <w:szCs w:val="20"/>
          <w:lang w:val="en-US"/>
        </w:rPr>
        <w:t xml:space="preserve"> </w:t>
      </w:r>
      <w:proofErr w:type="spellStart"/>
      <w:r w:rsidR="00F72F10" w:rsidRPr="00AB546F">
        <w:rPr>
          <w:rFonts w:ascii="Times New Roman" w:hAnsi="Times New Roman" w:cs="Times New Roman"/>
          <w:i/>
          <w:sz w:val="20"/>
          <w:szCs w:val="20"/>
          <w:lang w:val="en-US"/>
        </w:rPr>
        <w:t>c</w:t>
      </w:r>
      <w:r w:rsidR="00733775" w:rsidRPr="00AB546F">
        <w:rPr>
          <w:rFonts w:ascii="Times New Roman" w:hAnsi="Times New Roman" w:cs="Times New Roman"/>
          <w:i/>
          <w:sz w:val="20"/>
          <w:szCs w:val="20"/>
          <w:vertAlign w:val="subscript"/>
          <w:lang w:val="en-US"/>
        </w:rPr>
        <w:t>cont</w:t>
      </w:r>
      <w:proofErr w:type="spellEnd"/>
      <w:r w:rsidR="00567591" w:rsidRPr="00AB546F">
        <w:rPr>
          <w:rFonts w:ascii="Times New Roman" w:hAnsi="Times New Roman" w:cs="Times New Roman"/>
          <w:sz w:val="20"/>
          <w:szCs w:val="20"/>
          <w:lang w:val="en-US"/>
        </w:rPr>
        <w:t>,</w:t>
      </w:r>
      <w:r w:rsidR="00567591" w:rsidRPr="00AB546F">
        <w:rPr>
          <w:rFonts w:ascii="Times New Roman" w:hAnsi="Times New Roman" w:cs="Times New Roman"/>
          <w:sz w:val="20"/>
          <w:szCs w:val="20"/>
          <w:vertAlign w:val="subscript"/>
          <w:lang w:val="en-US"/>
        </w:rPr>
        <w:t xml:space="preserve"> </w:t>
      </w:r>
      <w:r w:rsidR="000C023D" w:rsidRPr="00AB546F">
        <w:rPr>
          <w:rFonts w:ascii="Times New Roman" w:hAnsi="Times New Roman" w:cs="Times New Roman"/>
          <w:sz w:val="20"/>
          <w:szCs w:val="20"/>
          <w:lang w:val="en-US"/>
        </w:rPr>
        <w:t xml:space="preserve">probability of </w:t>
      </w:r>
      <w:r w:rsidR="005B3E54" w:rsidRPr="00AB546F">
        <w:rPr>
          <w:rFonts w:ascii="Times New Roman" w:hAnsi="Times New Roman" w:cs="Times New Roman"/>
          <w:sz w:val="20"/>
          <w:szCs w:val="20"/>
          <w:lang w:val="en-US"/>
        </w:rPr>
        <w:t>hand contamination after contact with the excrement (</w:t>
      </w:r>
      <w:proofErr w:type="spellStart"/>
      <w:r w:rsidR="005B3E54" w:rsidRPr="00AB546F">
        <w:rPr>
          <w:rFonts w:ascii="Times New Roman" w:hAnsi="Times New Roman" w:cs="Times New Roman"/>
          <w:i/>
          <w:sz w:val="20"/>
          <w:szCs w:val="20"/>
          <w:lang w:val="en-US"/>
        </w:rPr>
        <w:t>p</w:t>
      </w:r>
      <w:r w:rsidR="00733775" w:rsidRPr="00AB546F">
        <w:rPr>
          <w:rFonts w:ascii="Times New Roman" w:hAnsi="Times New Roman" w:cs="Times New Roman"/>
          <w:i/>
          <w:sz w:val="20"/>
          <w:szCs w:val="20"/>
          <w:vertAlign w:val="subscript"/>
          <w:lang w:val="en-US"/>
        </w:rPr>
        <w:t>cont</w:t>
      </w:r>
      <w:proofErr w:type="spellEnd"/>
      <w:r w:rsidR="005B3E54" w:rsidRPr="00AB546F">
        <w:rPr>
          <w:rFonts w:ascii="Times New Roman" w:hAnsi="Times New Roman" w:cs="Times New Roman"/>
          <w:sz w:val="20"/>
          <w:szCs w:val="20"/>
          <w:lang w:val="en-US"/>
        </w:rPr>
        <w:t xml:space="preserve">), </w:t>
      </w:r>
      <w:r w:rsidR="00567591" w:rsidRPr="00AB546F">
        <w:rPr>
          <w:rFonts w:ascii="Times New Roman" w:hAnsi="Times New Roman" w:cs="Times New Roman"/>
          <w:sz w:val="20"/>
          <w:szCs w:val="20"/>
          <w:lang w:val="en-US"/>
        </w:rPr>
        <w:t>and</w:t>
      </w:r>
      <w:r w:rsidR="000C023D" w:rsidRPr="00AB546F">
        <w:rPr>
          <w:rFonts w:ascii="Times New Roman" w:hAnsi="Times New Roman" w:cs="Times New Roman"/>
          <w:sz w:val="20"/>
          <w:szCs w:val="20"/>
          <w:lang w:val="en-US"/>
        </w:rPr>
        <w:t xml:space="preserve"> </w:t>
      </w:r>
      <w:r w:rsidR="005B3E54" w:rsidRPr="00AB546F">
        <w:rPr>
          <w:rFonts w:ascii="Times New Roman" w:hAnsi="Times New Roman" w:cs="Times New Roman"/>
          <w:sz w:val="20"/>
          <w:szCs w:val="20"/>
          <w:lang w:val="en-US"/>
        </w:rPr>
        <w:t>compliance with hand hygiene after contact with the excrement (</w:t>
      </w:r>
      <w:proofErr w:type="spellStart"/>
      <w:r w:rsidR="005B3E54" w:rsidRPr="00AB546F">
        <w:rPr>
          <w:rFonts w:ascii="Times New Roman" w:hAnsi="Times New Roman" w:cs="Times New Roman"/>
          <w:i/>
          <w:sz w:val="20"/>
          <w:szCs w:val="20"/>
          <w:lang w:val="en-US"/>
        </w:rPr>
        <w:t>hh</w:t>
      </w:r>
      <w:r w:rsidR="00733775" w:rsidRPr="00AB546F">
        <w:rPr>
          <w:rFonts w:ascii="Times New Roman" w:hAnsi="Times New Roman" w:cs="Times New Roman"/>
          <w:i/>
          <w:sz w:val="20"/>
          <w:szCs w:val="20"/>
          <w:vertAlign w:val="subscript"/>
          <w:lang w:val="en-US"/>
        </w:rPr>
        <w:t>cont</w:t>
      </w:r>
      <w:proofErr w:type="spellEnd"/>
      <w:r w:rsidR="005B3E54" w:rsidRPr="00AB546F">
        <w:rPr>
          <w:rFonts w:ascii="Times New Roman" w:hAnsi="Times New Roman" w:cs="Times New Roman"/>
          <w:sz w:val="20"/>
          <w:szCs w:val="20"/>
          <w:lang w:val="en-US"/>
        </w:rPr>
        <w:t>).</w:t>
      </w:r>
    </w:p>
    <w:p w:rsidR="00C02507" w:rsidRPr="00AB546F" w:rsidRDefault="005B3E54" w:rsidP="00AB546F">
      <w:pPr>
        <w:spacing w:line="240" w:lineRule="auto"/>
        <w:jc w:val="both"/>
        <w:rPr>
          <w:rFonts w:ascii="Times New Roman" w:hAnsi="Times New Roman" w:cs="Times New Roman"/>
          <w:sz w:val="20"/>
          <w:szCs w:val="20"/>
          <w:lang w:val="en-US"/>
        </w:rPr>
      </w:pPr>
      <w:proofErr w:type="spellStart"/>
      <w:r w:rsidRPr="00AB546F">
        <w:rPr>
          <w:rFonts w:ascii="Times New Roman" w:hAnsi="Times New Roman" w:cs="Times New Roman"/>
          <w:i/>
          <w:sz w:val="20"/>
          <w:szCs w:val="20"/>
          <w:lang w:val="en-US"/>
        </w:rPr>
        <w:t>P</w:t>
      </w:r>
      <w:r w:rsidR="00733775" w:rsidRPr="00AB546F">
        <w:rPr>
          <w:rFonts w:ascii="Times New Roman" w:hAnsi="Times New Roman" w:cs="Times New Roman"/>
          <w:i/>
          <w:sz w:val="20"/>
          <w:szCs w:val="20"/>
          <w:vertAlign w:val="subscript"/>
          <w:lang w:val="en-US"/>
        </w:rPr>
        <w:t>cont</w:t>
      </w:r>
      <w:proofErr w:type="spellEnd"/>
      <w:r w:rsidRPr="00AB546F">
        <w:rPr>
          <w:rFonts w:ascii="Times New Roman" w:hAnsi="Times New Roman" w:cs="Times New Roman"/>
          <w:sz w:val="20"/>
          <w:szCs w:val="20"/>
          <w:lang w:val="en-US"/>
        </w:rPr>
        <w:t xml:space="preserve">= [1 – (1- </w:t>
      </w:r>
      <w:proofErr w:type="spellStart"/>
      <w:r w:rsidRPr="00AB546F">
        <w:rPr>
          <w:rFonts w:ascii="Times New Roman" w:hAnsi="Times New Roman" w:cs="Times New Roman"/>
          <w:i/>
          <w:sz w:val="20"/>
          <w:szCs w:val="20"/>
          <w:lang w:val="en-US"/>
        </w:rPr>
        <w:t>p</w:t>
      </w:r>
      <w:r w:rsidR="00733775" w:rsidRPr="00AB546F">
        <w:rPr>
          <w:rFonts w:ascii="Times New Roman" w:hAnsi="Times New Roman" w:cs="Times New Roman"/>
          <w:i/>
          <w:sz w:val="20"/>
          <w:szCs w:val="20"/>
          <w:vertAlign w:val="subscript"/>
          <w:lang w:val="en-US"/>
        </w:rPr>
        <w:t>cont</w:t>
      </w:r>
      <w:proofErr w:type="spellEnd"/>
      <w:r w:rsidRPr="00AB546F">
        <w:rPr>
          <w:rFonts w:ascii="Times New Roman" w:hAnsi="Times New Roman" w:cs="Times New Roman"/>
          <w:sz w:val="20"/>
          <w:szCs w:val="20"/>
          <w:lang w:val="en-US"/>
        </w:rPr>
        <w:t>)</w:t>
      </w:r>
      <w:r w:rsidR="00733775" w:rsidRPr="00AB546F">
        <w:rPr>
          <w:rFonts w:ascii="Times New Roman" w:hAnsi="Times New Roman" w:cs="Times New Roman"/>
          <w:sz w:val="20"/>
          <w:szCs w:val="20"/>
          <w:vertAlign w:val="superscript"/>
          <w:lang w:val="en-US"/>
        </w:rPr>
        <w:t xml:space="preserve"> </w:t>
      </w:r>
      <w:proofErr w:type="spellStart"/>
      <w:proofErr w:type="gramStart"/>
      <w:r w:rsidR="00F72F10" w:rsidRPr="00AB546F">
        <w:rPr>
          <w:rFonts w:ascii="Times New Roman" w:hAnsi="Times New Roman" w:cs="Times New Roman"/>
          <w:i/>
          <w:sz w:val="20"/>
          <w:szCs w:val="20"/>
          <w:vertAlign w:val="superscript"/>
          <w:lang w:val="en-US"/>
        </w:rPr>
        <w:t>ccont</w:t>
      </w:r>
      <w:proofErr w:type="spellEnd"/>
      <w:r w:rsidRPr="00AB546F">
        <w:rPr>
          <w:rFonts w:ascii="Times New Roman" w:hAnsi="Times New Roman" w:cs="Times New Roman"/>
          <w:sz w:val="20"/>
          <w:szCs w:val="20"/>
          <w:lang w:val="en-US"/>
        </w:rPr>
        <w:t xml:space="preserve">  ]</w:t>
      </w:r>
      <w:proofErr w:type="gramEnd"/>
      <w:r w:rsidRPr="00AB546F">
        <w:rPr>
          <w:rFonts w:ascii="Times New Roman" w:hAnsi="Times New Roman" w:cs="Times New Roman"/>
          <w:sz w:val="20"/>
          <w:szCs w:val="20"/>
          <w:lang w:val="en-US"/>
        </w:rPr>
        <w:t>* (1-</w:t>
      </w:r>
      <w:r w:rsidRPr="00AB546F">
        <w:rPr>
          <w:rFonts w:ascii="Times New Roman" w:hAnsi="Times New Roman" w:cs="Times New Roman"/>
          <w:i/>
          <w:sz w:val="20"/>
          <w:szCs w:val="20"/>
          <w:lang w:val="en-US"/>
        </w:rPr>
        <w:t>hh</w:t>
      </w:r>
      <w:r w:rsidR="00733775" w:rsidRPr="00AB546F">
        <w:rPr>
          <w:rFonts w:ascii="Times New Roman" w:hAnsi="Times New Roman" w:cs="Times New Roman"/>
          <w:i/>
          <w:sz w:val="20"/>
          <w:szCs w:val="20"/>
          <w:vertAlign w:val="subscript"/>
          <w:lang w:val="en-US"/>
        </w:rPr>
        <w:t>cont</w:t>
      </w:r>
      <w:r w:rsidRPr="00AB546F">
        <w:rPr>
          <w:rFonts w:ascii="Times New Roman" w:hAnsi="Times New Roman" w:cs="Times New Roman"/>
          <w:sz w:val="20"/>
          <w:szCs w:val="20"/>
          <w:lang w:val="en-US"/>
        </w:rPr>
        <w:t>)</w:t>
      </w:r>
      <w:r w:rsidR="00EE1F47" w:rsidRPr="00AB546F">
        <w:rPr>
          <w:rFonts w:ascii="Times New Roman" w:hAnsi="Times New Roman" w:cs="Times New Roman"/>
          <w:sz w:val="20"/>
          <w:szCs w:val="20"/>
          <w:lang w:val="en-US"/>
        </w:rPr>
        <w:t xml:space="preserve">, </w:t>
      </w:r>
    </w:p>
    <w:p w:rsidR="0015356A" w:rsidRPr="00AB546F" w:rsidRDefault="009D2745" w:rsidP="00AB546F">
      <w:pPr>
        <w:spacing w:line="240" w:lineRule="auto"/>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t>O</w:t>
      </w:r>
      <w:r w:rsidR="00892C66" w:rsidRPr="00AB546F">
        <w:rPr>
          <w:rFonts w:ascii="Times New Roman" w:hAnsi="Times New Roman" w:cs="Times New Roman"/>
          <w:sz w:val="20"/>
          <w:szCs w:val="20"/>
          <w:lang w:val="en-US"/>
        </w:rPr>
        <w:t>n each day of the simulation</w:t>
      </w:r>
      <w:r w:rsidR="00B0255B" w:rsidRPr="00AB546F">
        <w:rPr>
          <w:rFonts w:ascii="Times New Roman" w:hAnsi="Times New Roman" w:cs="Times New Roman"/>
          <w:sz w:val="20"/>
          <w:szCs w:val="20"/>
          <w:lang w:val="en-US"/>
        </w:rPr>
        <w:t>,</w:t>
      </w:r>
      <w:r w:rsidR="00892C66" w:rsidRPr="00AB546F">
        <w:rPr>
          <w:rFonts w:ascii="Times New Roman" w:hAnsi="Times New Roman" w:cs="Times New Roman"/>
          <w:sz w:val="20"/>
          <w:szCs w:val="20"/>
          <w:lang w:val="en-US"/>
        </w:rPr>
        <w:t xml:space="preserve"> </w:t>
      </w:r>
      <w:r w:rsidR="0015356A" w:rsidRPr="00AB546F">
        <w:rPr>
          <w:rFonts w:ascii="Times New Roman" w:hAnsi="Times New Roman" w:cs="Times New Roman"/>
          <w:sz w:val="20"/>
          <w:szCs w:val="20"/>
          <w:lang w:val="en-US"/>
        </w:rPr>
        <w:t xml:space="preserve">contaminated </w:t>
      </w:r>
      <w:r w:rsidR="00B0255B" w:rsidRPr="00AB546F">
        <w:rPr>
          <w:rFonts w:ascii="Times New Roman" w:hAnsi="Times New Roman" w:cs="Times New Roman"/>
          <w:sz w:val="20"/>
          <w:szCs w:val="20"/>
          <w:lang w:val="en-US"/>
        </w:rPr>
        <w:t>individuals</w:t>
      </w:r>
      <w:r w:rsidR="00892C66" w:rsidRPr="00AB546F">
        <w:rPr>
          <w:rFonts w:ascii="Times New Roman" w:hAnsi="Times New Roman" w:cs="Times New Roman"/>
          <w:sz w:val="20"/>
          <w:szCs w:val="20"/>
          <w:lang w:val="en-US"/>
        </w:rPr>
        <w:t xml:space="preserve"> </w:t>
      </w:r>
      <w:proofErr w:type="gramStart"/>
      <w:r w:rsidR="00892C66" w:rsidRPr="00AB546F">
        <w:rPr>
          <w:rFonts w:ascii="Times New Roman" w:hAnsi="Times New Roman" w:cs="Times New Roman"/>
          <w:sz w:val="20"/>
          <w:szCs w:val="20"/>
          <w:lang w:val="en-US"/>
        </w:rPr>
        <w:t>c</w:t>
      </w:r>
      <w:r w:rsidR="00E1465B" w:rsidRPr="00AB546F">
        <w:rPr>
          <w:rFonts w:ascii="Times New Roman" w:hAnsi="Times New Roman" w:cs="Times New Roman"/>
          <w:sz w:val="20"/>
          <w:szCs w:val="20"/>
          <w:lang w:val="en-US"/>
        </w:rPr>
        <w:t>o</w:t>
      </w:r>
      <w:r w:rsidR="00892C66" w:rsidRPr="00AB546F">
        <w:rPr>
          <w:rFonts w:ascii="Times New Roman" w:hAnsi="Times New Roman" w:cs="Times New Roman"/>
          <w:sz w:val="20"/>
          <w:szCs w:val="20"/>
          <w:lang w:val="en-US"/>
        </w:rPr>
        <w:t>me into conta</w:t>
      </w:r>
      <w:r w:rsidR="00F87E0B" w:rsidRPr="00AB546F">
        <w:rPr>
          <w:rFonts w:ascii="Times New Roman" w:hAnsi="Times New Roman" w:cs="Times New Roman"/>
          <w:sz w:val="20"/>
          <w:szCs w:val="20"/>
          <w:lang w:val="en-US"/>
        </w:rPr>
        <w:t xml:space="preserve">ct </w:t>
      </w:r>
      <w:r w:rsidR="00B95678" w:rsidRPr="00AB546F">
        <w:rPr>
          <w:rFonts w:ascii="Times New Roman" w:hAnsi="Times New Roman" w:cs="Times New Roman"/>
          <w:sz w:val="20"/>
          <w:szCs w:val="20"/>
          <w:lang w:val="en-US"/>
        </w:rPr>
        <w:t>with</w:t>
      </w:r>
      <w:proofErr w:type="gramEnd"/>
      <w:r w:rsidR="00B95678" w:rsidRPr="00AB546F">
        <w:rPr>
          <w:rFonts w:ascii="Times New Roman" w:hAnsi="Times New Roman" w:cs="Times New Roman"/>
          <w:sz w:val="20"/>
          <w:szCs w:val="20"/>
          <w:lang w:val="en-US"/>
        </w:rPr>
        <w:t xml:space="preserve"> other family members</w:t>
      </w:r>
      <w:r w:rsidR="00920E27" w:rsidRPr="00AB546F">
        <w:rPr>
          <w:rFonts w:ascii="Times New Roman" w:hAnsi="Times New Roman" w:cs="Times New Roman"/>
          <w:sz w:val="20"/>
          <w:szCs w:val="20"/>
          <w:lang w:val="en-US"/>
        </w:rPr>
        <w:t>,</w:t>
      </w:r>
      <w:r w:rsidR="00823B69" w:rsidRPr="00AB546F">
        <w:rPr>
          <w:rFonts w:ascii="Times New Roman" w:hAnsi="Times New Roman" w:cs="Times New Roman"/>
          <w:sz w:val="20"/>
          <w:szCs w:val="20"/>
          <w:lang w:val="en-US"/>
        </w:rPr>
        <w:t xml:space="preserve"> </w:t>
      </w:r>
      <w:r w:rsidR="0015356A" w:rsidRPr="00AB546F">
        <w:rPr>
          <w:rFonts w:ascii="Times New Roman" w:hAnsi="Times New Roman" w:cs="Times New Roman"/>
          <w:sz w:val="20"/>
          <w:szCs w:val="20"/>
          <w:lang w:val="en-US"/>
        </w:rPr>
        <w:t>and then</w:t>
      </w:r>
      <w:r w:rsidR="001C63DE" w:rsidRPr="00AB546F">
        <w:rPr>
          <w:rFonts w:ascii="Times New Roman" w:hAnsi="Times New Roman" w:cs="Times New Roman"/>
          <w:sz w:val="20"/>
          <w:szCs w:val="20"/>
          <w:lang w:val="en-US"/>
        </w:rPr>
        <w:t xml:space="preserve"> the </w:t>
      </w:r>
      <w:r w:rsidR="000C023D" w:rsidRPr="00AB546F">
        <w:rPr>
          <w:rFonts w:ascii="Times New Roman" w:hAnsi="Times New Roman" w:cs="Times New Roman"/>
          <w:sz w:val="20"/>
          <w:szCs w:val="20"/>
          <w:lang w:val="en-US"/>
        </w:rPr>
        <w:t>cross-</w:t>
      </w:r>
      <w:r w:rsidR="001C63DE" w:rsidRPr="00AB546F">
        <w:rPr>
          <w:rFonts w:ascii="Times New Roman" w:hAnsi="Times New Roman" w:cs="Times New Roman"/>
          <w:sz w:val="20"/>
          <w:szCs w:val="20"/>
          <w:lang w:val="en-US"/>
        </w:rPr>
        <w:t xml:space="preserve">transmission of the pathogen </w:t>
      </w:r>
      <w:r w:rsidRPr="00AB546F">
        <w:rPr>
          <w:rFonts w:ascii="Times New Roman" w:hAnsi="Times New Roman" w:cs="Times New Roman"/>
          <w:sz w:val="20"/>
          <w:szCs w:val="20"/>
          <w:lang w:val="en-US"/>
        </w:rPr>
        <w:t>c</w:t>
      </w:r>
      <w:r w:rsidR="004953D5" w:rsidRPr="00AB546F">
        <w:rPr>
          <w:rFonts w:ascii="Times New Roman" w:hAnsi="Times New Roman" w:cs="Times New Roman"/>
          <w:sz w:val="20"/>
          <w:szCs w:val="20"/>
          <w:lang w:val="en-US"/>
        </w:rPr>
        <w:t>ould</w:t>
      </w:r>
      <w:r w:rsidRPr="00AB546F">
        <w:rPr>
          <w:rFonts w:ascii="Times New Roman" w:hAnsi="Times New Roman" w:cs="Times New Roman"/>
          <w:sz w:val="20"/>
          <w:szCs w:val="20"/>
          <w:lang w:val="en-US"/>
        </w:rPr>
        <w:t xml:space="preserve"> occur</w:t>
      </w:r>
      <w:r w:rsidR="001C63DE" w:rsidRPr="00AB546F">
        <w:rPr>
          <w:rFonts w:ascii="Times New Roman" w:hAnsi="Times New Roman" w:cs="Times New Roman"/>
          <w:sz w:val="20"/>
          <w:szCs w:val="20"/>
          <w:lang w:val="en-US"/>
        </w:rPr>
        <w:t>.</w:t>
      </w:r>
      <w:r w:rsidRPr="00AB546F">
        <w:rPr>
          <w:rFonts w:ascii="Times New Roman" w:hAnsi="Times New Roman" w:cs="Times New Roman"/>
          <w:sz w:val="20"/>
          <w:szCs w:val="20"/>
          <w:lang w:val="en-US"/>
        </w:rPr>
        <w:t xml:space="preserve"> </w:t>
      </w:r>
    </w:p>
    <w:p w:rsidR="0015356A" w:rsidRPr="00AB546F" w:rsidRDefault="0015356A" w:rsidP="00AB546F">
      <w:pPr>
        <w:spacing w:line="240" w:lineRule="auto"/>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t>Th</w:t>
      </w:r>
      <w:r w:rsidR="00C02507" w:rsidRPr="00AB546F">
        <w:rPr>
          <w:rFonts w:ascii="Times New Roman" w:hAnsi="Times New Roman" w:cs="Times New Roman"/>
          <w:sz w:val="20"/>
          <w:szCs w:val="20"/>
          <w:lang w:val="en-US"/>
        </w:rPr>
        <w:t>e</w:t>
      </w:r>
      <w:r w:rsidRPr="00AB546F">
        <w:rPr>
          <w:rFonts w:ascii="Times New Roman" w:hAnsi="Times New Roman" w:cs="Times New Roman"/>
          <w:sz w:val="20"/>
          <w:szCs w:val="20"/>
          <w:lang w:val="en-US"/>
        </w:rPr>
        <w:t xml:space="preserve"> probability</w:t>
      </w:r>
      <w:r w:rsidR="00C02507" w:rsidRPr="00AB546F">
        <w:rPr>
          <w:rFonts w:ascii="Times New Roman" w:hAnsi="Times New Roman" w:cs="Times New Roman"/>
          <w:sz w:val="20"/>
          <w:szCs w:val="20"/>
          <w:lang w:val="en-US"/>
        </w:rPr>
        <w:t xml:space="preserve"> of cross-transmission depends on the number of daily contacts with </w:t>
      </w:r>
      <w:proofErr w:type="gramStart"/>
      <w:r w:rsidR="00C02507" w:rsidRPr="00AB546F">
        <w:rPr>
          <w:rFonts w:ascii="Times New Roman" w:hAnsi="Times New Roman" w:cs="Times New Roman"/>
          <w:sz w:val="20"/>
          <w:szCs w:val="20"/>
          <w:lang w:val="en-US"/>
        </w:rPr>
        <w:t>a family members</w:t>
      </w:r>
      <w:proofErr w:type="gramEnd"/>
      <w:r w:rsidR="00C02507" w:rsidRPr="00AB546F">
        <w:rPr>
          <w:rFonts w:ascii="Times New Roman" w:hAnsi="Times New Roman" w:cs="Times New Roman"/>
          <w:sz w:val="20"/>
          <w:szCs w:val="20"/>
          <w:lang w:val="en-US"/>
        </w:rPr>
        <w:t xml:space="preserve"> (</w:t>
      </w:r>
      <w:r w:rsidR="00F72F10" w:rsidRPr="00AB546F">
        <w:rPr>
          <w:rFonts w:ascii="Times New Roman" w:hAnsi="Times New Roman" w:cs="Times New Roman"/>
          <w:i/>
          <w:sz w:val="20"/>
          <w:szCs w:val="20"/>
          <w:lang w:val="en-US"/>
        </w:rPr>
        <w:t>c</w:t>
      </w:r>
      <w:r w:rsidR="00533537" w:rsidRPr="00AB546F">
        <w:rPr>
          <w:rFonts w:ascii="Times New Roman" w:hAnsi="Times New Roman" w:cs="Times New Roman"/>
          <w:sz w:val="20"/>
          <w:szCs w:val="20"/>
          <w:lang w:val="en-US"/>
        </w:rPr>
        <w:t>) and the probability of pathogen transmission during contact (</w:t>
      </w:r>
      <w:proofErr w:type="spellStart"/>
      <w:r w:rsidR="00533537" w:rsidRPr="00AB546F">
        <w:rPr>
          <w:rFonts w:ascii="Times New Roman" w:hAnsi="Times New Roman" w:cs="Times New Roman"/>
          <w:i/>
          <w:sz w:val="20"/>
          <w:szCs w:val="20"/>
          <w:lang w:val="en-US"/>
        </w:rPr>
        <w:t>p</w:t>
      </w:r>
      <w:r w:rsidR="00930B8D" w:rsidRPr="00AB546F">
        <w:rPr>
          <w:rFonts w:ascii="Times New Roman" w:hAnsi="Times New Roman" w:cs="Times New Roman"/>
          <w:i/>
          <w:sz w:val="20"/>
          <w:szCs w:val="20"/>
          <w:vertAlign w:val="subscript"/>
          <w:lang w:val="en-US"/>
        </w:rPr>
        <w:t>tr</w:t>
      </w:r>
      <w:proofErr w:type="spellEnd"/>
      <w:r w:rsidR="00533537" w:rsidRPr="00AB546F">
        <w:rPr>
          <w:rFonts w:ascii="Times New Roman" w:hAnsi="Times New Roman" w:cs="Times New Roman"/>
          <w:sz w:val="20"/>
          <w:szCs w:val="20"/>
          <w:lang w:val="en-US"/>
        </w:rPr>
        <w:t>).</w:t>
      </w:r>
    </w:p>
    <w:p w:rsidR="00533537" w:rsidRPr="00AB546F" w:rsidRDefault="00533537" w:rsidP="00AB546F">
      <w:pPr>
        <w:spacing w:line="240" w:lineRule="auto"/>
        <w:jc w:val="both"/>
        <w:rPr>
          <w:rFonts w:ascii="Times New Roman" w:hAnsi="Times New Roman" w:cs="Times New Roman"/>
          <w:i/>
          <w:sz w:val="20"/>
          <w:szCs w:val="20"/>
          <w:lang w:val="en-US"/>
        </w:rPr>
      </w:pPr>
      <w:proofErr w:type="spellStart"/>
      <w:r w:rsidRPr="00AB546F">
        <w:rPr>
          <w:rFonts w:ascii="Times New Roman" w:hAnsi="Times New Roman" w:cs="Times New Roman"/>
          <w:i/>
          <w:sz w:val="20"/>
          <w:szCs w:val="20"/>
          <w:lang w:val="en-US"/>
        </w:rPr>
        <w:t>P</w:t>
      </w:r>
      <w:r w:rsidR="00930B8D" w:rsidRPr="00AB546F">
        <w:rPr>
          <w:rFonts w:ascii="Times New Roman" w:hAnsi="Times New Roman" w:cs="Times New Roman"/>
          <w:i/>
          <w:sz w:val="20"/>
          <w:szCs w:val="20"/>
          <w:vertAlign w:val="subscript"/>
          <w:lang w:val="en-US"/>
        </w:rPr>
        <w:t>tr</w:t>
      </w:r>
      <w:proofErr w:type="spellEnd"/>
      <w:r w:rsidRPr="00AB546F">
        <w:rPr>
          <w:rFonts w:ascii="Times New Roman" w:hAnsi="Times New Roman" w:cs="Times New Roman"/>
          <w:i/>
          <w:sz w:val="20"/>
          <w:szCs w:val="20"/>
          <w:lang w:val="en-US"/>
        </w:rPr>
        <w:t xml:space="preserve">= </w:t>
      </w:r>
      <w:r w:rsidRPr="00AB546F">
        <w:rPr>
          <w:rFonts w:ascii="Times New Roman" w:hAnsi="Times New Roman" w:cs="Times New Roman"/>
          <w:sz w:val="20"/>
          <w:szCs w:val="20"/>
          <w:lang w:val="en-US"/>
        </w:rPr>
        <w:t>[</w:t>
      </w:r>
      <w:proofErr w:type="gramStart"/>
      <w:r w:rsidRPr="00AB546F">
        <w:rPr>
          <w:rFonts w:ascii="Times New Roman" w:hAnsi="Times New Roman" w:cs="Times New Roman"/>
          <w:sz w:val="20"/>
          <w:szCs w:val="20"/>
          <w:lang w:val="en-US"/>
        </w:rPr>
        <w:t>1</w:t>
      </w:r>
      <w:proofErr w:type="gramEnd"/>
      <w:r w:rsidRPr="00AB546F">
        <w:rPr>
          <w:rFonts w:ascii="Times New Roman" w:hAnsi="Times New Roman" w:cs="Times New Roman"/>
          <w:sz w:val="20"/>
          <w:szCs w:val="20"/>
          <w:lang w:val="en-US"/>
        </w:rPr>
        <w:t xml:space="preserve"> – (1- </w:t>
      </w:r>
      <w:proofErr w:type="spellStart"/>
      <w:r w:rsidRPr="00AB546F">
        <w:rPr>
          <w:rFonts w:ascii="Times New Roman" w:hAnsi="Times New Roman" w:cs="Times New Roman"/>
          <w:i/>
          <w:sz w:val="20"/>
          <w:szCs w:val="20"/>
          <w:lang w:val="en-US"/>
        </w:rPr>
        <w:t>p</w:t>
      </w:r>
      <w:r w:rsidR="00930B8D" w:rsidRPr="00AB546F">
        <w:rPr>
          <w:rFonts w:ascii="Times New Roman" w:hAnsi="Times New Roman" w:cs="Times New Roman"/>
          <w:i/>
          <w:sz w:val="20"/>
          <w:szCs w:val="20"/>
          <w:vertAlign w:val="subscript"/>
          <w:lang w:val="en-US"/>
        </w:rPr>
        <w:t>tr</w:t>
      </w:r>
      <w:proofErr w:type="spellEnd"/>
      <w:r w:rsidRPr="00AB546F">
        <w:rPr>
          <w:rFonts w:ascii="Times New Roman" w:hAnsi="Times New Roman" w:cs="Times New Roman"/>
          <w:sz w:val="20"/>
          <w:szCs w:val="20"/>
          <w:lang w:val="en-US"/>
        </w:rPr>
        <w:t>)</w:t>
      </w:r>
      <w:r w:rsidRPr="00AB546F">
        <w:rPr>
          <w:rFonts w:ascii="Times New Roman" w:hAnsi="Times New Roman" w:cs="Times New Roman"/>
          <w:sz w:val="20"/>
          <w:szCs w:val="20"/>
          <w:vertAlign w:val="superscript"/>
          <w:lang w:val="en-US"/>
        </w:rPr>
        <w:t xml:space="preserve"> </w:t>
      </w:r>
      <w:r w:rsidR="00F72F10" w:rsidRPr="00AB546F">
        <w:rPr>
          <w:rFonts w:ascii="Times New Roman" w:hAnsi="Times New Roman" w:cs="Times New Roman"/>
          <w:i/>
          <w:sz w:val="20"/>
          <w:szCs w:val="20"/>
          <w:vertAlign w:val="superscript"/>
          <w:lang w:val="en-US"/>
        </w:rPr>
        <w:t>c</w:t>
      </w:r>
      <w:r w:rsidR="007E4CA0" w:rsidRPr="00AB546F">
        <w:rPr>
          <w:rFonts w:ascii="Times New Roman" w:hAnsi="Times New Roman" w:cs="Times New Roman"/>
          <w:sz w:val="20"/>
          <w:szCs w:val="20"/>
          <w:lang w:val="en-US"/>
        </w:rPr>
        <w:t>].</w:t>
      </w:r>
    </w:p>
    <w:p w:rsidR="00C04287" w:rsidRPr="00AB546F" w:rsidRDefault="00C97C7C" w:rsidP="00AB546F">
      <w:pPr>
        <w:spacing w:line="240" w:lineRule="auto"/>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t xml:space="preserve">Once a person </w:t>
      </w:r>
      <w:r w:rsidR="0074559C" w:rsidRPr="00AB546F">
        <w:rPr>
          <w:rFonts w:ascii="Times New Roman" w:hAnsi="Times New Roman" w:cs="Times New Roman"/>
          <w:sz w:val="20"/>
          <w:szCs w:val="20"/>
          <w:lang w:val="en-US"/>
        </w:rPr>
        <w:t>i</w:t>
      </w:r>
      <w:r w:rsidR="00BB4C62" w:rsidRPr="00AB546F">
        <w:rPr>
          <w:rFonts w:ascii="Times New Roman" w:hAnsi="Times New Roman" w:cs="Times New Roman"/>
          <w:sz w:val="20"/>
          <w:szCs w:val="20"/>
          <w:lang w:val="en-US"/>
        </w:rPr>
        <w:t>s</w:t>
      </w:r>
      <w:r w:rsidRPr="00AB546F">
        <w:rPr>
          <w:rFonts w:ascii="Times New Roman" w:hAnsi="Times New Roman" w:cs="Times New Roman"/>
          <w:sz w:val="20"/>
          <w:szCs w:val="20"/>
          <w:lang w:val="en-US"/>
        </w:rPr>
        <w:t xml:space="preserve"> contaminated, he </w:t>
      </w:r>
      <w:r w:rsidR="0074559C" w:rsidRPr="00AB546F">
        <w:rPr>
          <w:rFonts w:ascii="Times New Roman" w:hAnsi="Times New Roman" w:cs="Times New Roman"/>
          <w:sz w:val="20"/>
          <w:szCs w:val="20"/>
          <w:lang w:val="en-US"/>
        </w:rPr>
        <w:t>may</w:t>
      </w:r>
      <w:r w:rsidRPr="00AB546F">
        <w:rPr>
          <w:rFonts w:ascii="Times New Roman" w:hAnsi="Times New Roman" w:cs="Times New Roman"/>
          <w:sz w:val="20"/>
          <w:szCs w:val="20"/>
          <w:lang w:val="en-US"/>
        </w:rPr>
        <w:t xml:space="preserve"> become colonized (or colonize a baby by feeding)</w:t>
      </w:r>
      <w:r w:rsidR="00E311E9" w:rsidRPr="00AB546F">
        <w:rPr>
          <w:rFonts w:ascii="Times New Roman" w:hAnsi="Times New Roman" w:cs="Times New Roman"/>
          <w:sz w:val="20"/>
          <w:szCs w:val="20"/>
          <w:lang w:val="en-US"/>
        </w:rPr>
        <w:t xml:space="preserve"> with a probability that depend</w:t>
      </w:r>
      <w:r w:rsidR="00167C1A" w:rsidRPr="00AB546F">
        <w:rPr>
          <w:rFonts w:ascii="Times New Roman" w:hAnsi="Times New Roman" w:cs="Times New Roman"/>
          <w:sz w:val="20"/>
          <w:szCs w:val="20"/>
          <w:lang w:val="en-US"/>
        </w:rPr>
        <w:t>s</w:t>
      </w:r>
      <w:r w:rsidR="00E311E9" w:rsidRPr="00AB546F">
        <w:rPr>
          <w:rFonts w:ascii="Times New Roman" w:hAnsi="Times New Roman" w:cs="Times New Roman"/>
          <w:sz w:val="20"/>
          <w:szCs w:val="20"/>
          <w:lang w:val="en-US"/>
        </w:rPr>
        <w:t xml:space="preserve"> on the </w:t>
      </w:r>
      <w:r w:rsidR="00C04287" w:rsidRPr="00AB546F">
        <w:rPr>
          <w:rFonts w:ascii="Times New Roman" w:hAnsi="Times New Roman" w:cs="Times New Roman"/>
          <w:sz w:val="20"/>
          <w:szCs w:val="20"/>
          <w:lang w:val="en-US"/>
        </w:rPr>
        <w:t>daily frequency</w:t>
      </w:r>
      <w:r w:rsidR="00E311E9" w:rsidRPr="00AB546F">
        <w:rPr>
          <w:rFonts w:ascii="Times New Roman" w:hAnsi="Times New Roman" w:cs="Times New Roman"/>
          <w:sz w:val="20"/>
          <w:szCs w:val="20"/>
          <w:lang w:val="en-US"/>
        </w:rPr>
        <w:t xml:space="preserve"> of </w:t>
      </w:r>
      <w:r w:rsidR="0074559C" w:rsidRPr="00AB546F">
        <w:rPr>
          <w:rFonts w:ascii="Times New Roman" w:hAnsi="Times New Roman" w:cs="Times New Roman"/>
          <w:sz w:val="20"/>
          <w:szCs w:val="20"/>
          <w:lang w:val="en-US"/>
        </w:rPr>
        <w:t>feeding a baby/eating</w:t>
      </w:r>
      <w:r w:rsidR="00380089" w:rsidRPr="00AB546F">
        <w:rPr>
          <w:rFonts w:ascii="Times New Roman" w:hAnsi="Times New Roman" w:cs="Times New Roman"/>
          <w:sz w:val="20"/>
          <w:szCs w:val="20"/>
          <w:lang w:val="en-US"/>
        </w:rPr>
        <w:t xml:space="preserve"> (</w:t>
      </w:r>
      <w:proofErr w:type="spellStart"/>
      <w:r w:rsidR="00F72F10" w:rsidRPr="00AB546F">
        <w:rPr>
          <w:rFonts w:ascii="Times New Roman" w:hAnsi="Times New Roman" w:cs="Times New Roman"/>
          <w:sz w:val="20"/>
          <w:szCs w:val="20"/>
          <w:lang w:val="en-US"/>
        </w:rPr>
        <w:t>c</w:t>
      </w:r>
      <w:r w:rsidR="00380089" w:rsidRPr="00AB546F">
        <w:rPr>
          <w:rFonts w:ascii="Times New Roman" w:hAnsi="Times New Roman" w:cs="Times New Roman"/>
          <w:i/>
          <w:sz w:val="20"/>
          <w:szCs w:val="20"/>
          <w:vertAlign w:val="subscript"/>
          <w:lang w:val="en-US"/>
        </w:rPr>
        <w:t>col</w:t>
      </w:r>
      <w:proofErr w:type="spellEnd"/>
      <w:r w:rsidR="00380089" w:rsidRPr="00AB546F">
        <w:rPr>
          <w:rFonts w:ascii="Times New Roman" w:hAnsi="Times New Roman" w:cs="Times New Roman"/>
          <w:sz w:val="20"/>
          <w:szCs w:val="20"/>
          <w:lang w:val="en-US"/>
        </w:rPr>
        <w:t>)</w:t>
      </w:r>
      <w:r w:rsidR="00C04287" w:rsidRPr="00AB546F">
        <w:rPr>
          <w:rFonts w:ascii="Times New Roman" w:hAnsi="Times New Roman" w:cs="Times New Roman"/>
          <w:sz w:val="20"/>
          <w:szCs w:val="20"/>
          <w:lang w:val="en-US"/>
        </w:rPr>
        <w:t xml:space="preserve">, probability of hand hygiene before </w:t>
      </w:r>
      <w:r w:rsidR="00A70BE4" w:rsidRPr="00AB546F">
        <w:rPr>
          <w:rFonts w:ascii="Times New Roman" w:hAnsi="Times New Roman" w:cs="Times New Roman"/>
          <w:sz w:val="20"/>
          <w:szCs w:val="20"/>
          <w:lang w:val="en-US"/>
        </w:rPr>
        <w:t>feeding/eating</w:t>
      </w:r>
      <w:r w:rsidR="00C04287" w:rsidRPr="00AB546F">
        <w:rPr>
          <w:rFonts w:ascii="Times New Roman" w:hAnsi="Times New Roman" w:cs="Times New Roman"/>
          <w:sz w:val="20"/>
          <w:szCs w:val="20"/>
          <w:lang w:val="en-US"/>
        </w:rPr>
        <w:t xml:space="preserve"> </w:t>
      </w:r>
      <w:r w:rsidR="00380089" w:rsidRPr="00AB546F">
        <w:rPr>
          <w:rFonts w:ascii="Times New Roman" w:hAnsi="Times New Roman" w:cs="Times New Roman"/>
          <w:sz w:val="20"/>
          <w:szCs w:val="20"/>
          <w:lang w:val="en-US"/>
        </w:rPr>
        <w:t>(</w:t>
      </w:r>
      <w:proofErr w:type="spellStart"/>
      <w:r w:rsidR="00380089" w:rsidRPr="00AB546F">
        <w:rPr>
          <w:rFonts w:ascii="Times New Roman" w:hAnsi="Times New Roman" w:cs="Times New Roman"/>
          <w:sz w:val="20"/>
          <w:szCs w:val="20"/>
          <w:lang w:val="en-US"/>
        </w:rPr>
        <w:t>hh</w:t>
      </w:r>
      <w:r w:rsidR="00380089" w:rsidRPr="00AB546F">
        <w:rPr>
          <w:rFonts w:ascii="Times New Roman" w:hAnsi="Times New Roman" w:cs="Times New Roman"/>
          <w:i/>
          <w:sz w:val="20"/>
          <w:szCs w:val="20"/>
          <w:vertAlign w:val="subscript"/>
          <w:lang w:val="en-US"/>
        </w:rPr>
        <w:t>col</w:t>
      </w:r>
      <w:proofErr w:type="spellEnd"/>
      <w:r w:rsidR="00380089" w:rsidRPr="00AB546F">
        <w:rPr>
          <w:rFonts w:ascii="Times New Roman" w:hAnsi="Times New Roman" w:cs="Times New Roman"/>
          <w:sz w:val="20"/>
          <w:szCs w:val="20"/>
          <w:lang w:val="en-US"/>
        </w:rPr>
        <w:t>) and the</w:t>
      </w:r>
      <w:r w:rsidR="00E311E9" w:rsidRPr="00AB546F">
        <w:rPr>
          <w:rFonts w:ascii="Times New Roman" w:hAnsi="Times New Roman" w:cs="Times New Roman"/>
          <w:sz w:val="20"/>
          <w:szCs w:val="20"/>
          <w:lang w:val="en-US"/>
        </w:rPr>
        <w:t xml:space="preserve"> probability of gut colonization</w:t>
      </w:r>
      <w:r w:rsidR="00380089" w:rsidRPr="00AB546F">
        <w:rPr>
          <w:rFonts w:ascii="Times New Roman" w:hAnsi="Times New Roman" w:cs="Times New Roman"/>
          <w:sz w:val="20"/>
          <w:szCs w:val="20"/>
          <w:lang w:val="en-US"/>
        </w:rPr>
        <w:t xml:space="preserve"> (</w:t>
      </w:r>
      <w:proofErr w:type="spellStart"/>
      <w:r w:rsidR="00380089" w:rsidRPr="00AB546F">
        <w:rPr>
          <w:rFonts w:ascii="Times New Roman" w:hAnsi="Times New Roman" w:cs="Times New Roman"/>
          <w:sz w:val="20"/>
          <w:szCs w:val="20"/>
          <w:lang w:val="en-US"/>
        </w:rPr>
        <w:t>p</w:t>
      </w:r>
      <w:r w:rsidR="00380089" w:rsidRPr="00AB546F">
        <w:rPr>
          <w:rFonts w:ascii="Times New Roman" w:hAnsi="Times New Roman" w:cs="Times New Roman"/>
          <w:i/>
          <w:sz w:val="20"/>
          <w:szCs w:val="20"/>
          <w:vertAlign w:val="subscript"/>
          <w:lang w:val="en-US"/>
        </w:rPr>
        <w:t>col</w:t>
      </w:r>
      <w:proofErr w:type="spellEnd"/>
      <w:r w:rsidR="00380089" w:rsidRPr="00AB546F">
        <w:rPr>
          <w:rFonts w:ascii="Times New Roman" w:hAnsi="Times New Roman" w:cs="Times New Roman"/>
          <w:sz w:val="20"/>
          <w:szCs w:val="20"/>
          <w:lang w:val="en-US"/>
        </w:rPr>
        <w:t>)</w:t>
      </w:r>
      <w:r w:rsidR="00E311E9" w:rsidRPr="00AB546F">
        <w:rPr>
          <w:rFonts w:ascii="Times New Roman" w:hAnsi="Times New Roman" w:cs="Times New Roman"/>
          <w:sz w:val="20"/>
          <w:szCs w:val="20"/>
          <w:lang w:val="en-US"/>
        </w:rPr>
        <w:t xml:space="preserve">. </w:t>
      </w:r>
    </w:p>
    <w:p w:rsidR="00380089" w:rsidRPr="00AB546F" w:rsidRDefault="00380089" w:rsidP="00AB546F">
      <w:pPr>
        <w:spacing w:line="240" w:lineRule="auto"/>
        <w:jc w:val="both"/>
        <w:rPr>
          <w:rFonts w:ascii="Times New Roman" w:hAnsi="Times New Roman" w:cs="Times New Roman"/>
          <w:i/>
          <w:sz w:val="20"/>
          <w:szCs w:val="20"/>
          <w:lang w:val="en-US"/>
        </w:rPr>
      </w:pPr>
      <w:proofErr w:type="spellStart"/>
      <w:r w:rsidRPr="00AB546F">
        <w:rPr>
          <w:rFonts w:ascii="Times New Roman" w:hAnsi="Times New Roman" w:cs="Times New Roman"/>
          <w:i/>
          <w:sz w:val="20"/>
          <w:szCs w:val="20"/>
          <w:lang w:val="en-US"/>
        </w:rPr>
        <w:t>P</w:t>
      </w:r>
      <w:r w:rsidR="00A7261A" w:rsidRPr="00AB546F">
        <w:rPr>
          <w:rFonts w:ascii="Times New Roman" w:hAnsi="Times New Roman" w:cs="Times New Roman"/>
          <w:i/>
          <w:sz w:val="20"/>
          <w:szCs w:val="20"/>
          <w:vertAlign w:val="subscript"/>
          <w:lang w:val="en-US"/>
        </w:rPr>
        <w:t>col</w:t>
      </w:r>
      <w:proofErr w:type="spellEnd"/>
      <w:proofErr w:type="gramStart"/>
      <w:r w:rsidR="002856C9" w:rsidRPr="00AB546F">
        <w:rPr>
          <w:rFonts w:ascii="Times New Roman" w:hAnsi="Times New Roman" w:cs="Times New Roman"/>
          <w:i/>
          <w:sz w:val="20"/>
          <w:szCs w:val="20"/>
          <w:lang w:val="en-US"/>
        </w:rPr>
        <w:t>=</w:t>
      </w:r>
      <w:r w:rsidR="006007F3" w:rsidRPr="00AB546F">
        <w:rPr>
          <w:rFonts w:ascii="Times New Roman" w:hAnsi="Times New Roman" w:cs="Times New Roman"/>
          <w:sz w:val="20"/>
          <w:szCs w:val="20"/>
          <w:lang w:val="en-US"/>
        </w:rPr>
        <w:t>[</w:t>
      </w:r>
      <w:proofErr w:type="gramEnd"/>
      <w:r w:rsidR="006007F3" w:rsidRPr="00AB546F">
        <w:rPr>
          <w:rFonts w:ascii="Times New Roman" w:hAnsi="Times New Roman" w:cs="Times New Roman"/>
          <w:sz w:val="20"/>
          <w:szCs w:val="20"/>
          <w:lang w:val="en-US"/>
        </w:rPr>
        <w:t xml:space="preserve">1 – (1- </w:t>
      </w:r>
      <w:proofErr w:type="spellStart"/>
      <w:r w:rsidR="006007F3" w:rsidRPr="00AB546F">
        <w:rPr>
          <w:rFonts w:ascii="Times New Roman" w:hAnsi="Times New Roman" w:cs="Times New Roman"/>
          <w:i/>
          <w:sz w:val="20"/>
          <w:szCs w:val="20"/>
          <w:lang w:val="en-US"/>
        </w:rPr>
        <w:t>p</w:t>
      </w:r>
      <w:r w:rsidR="006007F3" w:rsidRPr="00AB546F">
        <w:rPr>
          <w:rFonts w:ascii="Times New Roman" w:hAnsi="Times New Roman" w:cs="Times New Roman"/>
          <w:i/>
          <w:sz w:val="20"/>
          <w:szCs w:val="20"/>
          <w:vertAlign w:val="subscript"/>
          <w:lang w:val="en-US"/>
        </w:rPr>
        <w:t>col</w:t>
      </w:r>
      <w:proofErr w:type="spellEnd"/>
      <w:r w:rsidR="006007F3" w:rsidRPr="00AB546F">
        <w:rPr>
          <w:rFonts w:ascii="Times New Roman" w:hAnsi="Times New Roman" w:cs="Times New Roman"/>
          <w:sz w:val="20"/>
          <w:szCs w:val="20"/>
          <w:lang w:val="en-US"/>
        </w:rPr>
        <w:t>)</w:t>
      </w:r>
      <w:r w:rsidR="006007F3" w:rsidRPr="00AB546F">
        <w:rPr>
          <w:rFonts w:ascii="Times New Roman" w:hAnsi="Times New Roman" w:cs="Times New Roman"/>
          <w:sz w:val="20"/>
          <w:szCs w:val="20"/>
          <w:vertAlign w:val="superscript"/>
          <w:lang w:val="en-US"/>
        </w:rPr>
        <w:t xml:space="preserve"> </w:t>
      </w:r>
      <w:proofErr w:type="spellStart"/>
      <w:r w:rsidR="00F72F10" w:rsidRPr="00AB546F">
        <w:rPr>
          <w:rFonts w:ascii="Times New Roman" w:hAnsi="Times New Roman" w:cs="Times New Roman"/>
          <w:i/>
          <w:sz w:val="20"/>
          <w:szCs w:val="20"/>
          <w:vertAlign w:val="superscript"/>
          <w:lang w:val="en-US"/>
        </w:rPr>
        <w:t>c</w:t>
      </w:r>
      <w:r w:rsidR="006007F3" w:rsidRPr="00AB546F">
        <w:rPr>
          <w:rFonts w:ascii="Times New Roman" w:hAnsi="Times New Roman" w:cs="Times New Roman"/>
          <w:i/>
          <w:sz w:val="20"/>
          <w:szCs w:val="20"/>
          <w:vertAlign w:val="superscript"/>
          <w:lang w:val="en-US"/>
        </w:rPr>
        <w:t>col</w:t>
      </w:r>
      <w:proofErr w:type="spellEnd"/>
      <w:r w:rsidR="006007F3" w:rsidRPr="00AB546F">
        <w:rPr>
          <w:rFonts w:ascii="Times New Roman" w:hAnsi="Times New Roman" w:cs="Times New Roman"/>
          <w:sz w:val="20"/>
          <w:szCs w:val="20"/>
          <w:lang w:val="en-US"/>
        </w:rPr>
        <w:t xml:space="preserve">  ]* (1-</w:t>
      </w:r>
      <w:r w:rsidR="006007F3" w:rsidRPr="00AB546F">
        <w:rPr>
          <w:rFonts w:ascii="Times New Roman" w:hAnsi="Times New Roman" w:cs="Times New Roman"/>
          <w:i/>
          <w:sz w:val="20"/>
          <w:szCs w:val="20"/>
          <w:lang w:val="en-US"/>
        </w:rPr>
        <w:t>hh</w:t>
      </w:r>
      <w:r w:rsidR="006007F3" w:rsidRPr="00AB546F">
        <w:rPr>
          <w:rFonts w:ascii="Times New Roman" w:hAnsi="Times New Roman" w:cs="Times New Roman"/>
          <w:i/>
          <w:sz w:val="20"/>
          <w:szCs w:val="20"/>
          <w:vertAlign w:val="subscript"/>
          <w:lang w:val="en-US"/>
        </w:rPr>
        <w:t>col</w:t>
      </w:r>
      <w:r w:rsidR="006007F3" w:rsidRPr="00AB546F">
        <w:rPr>
          <w:rFonts w:ascii="Times New Roman" w:hAnsi="Times New Roman" w:cs="Times New Roman"/>
          <w:sz w:val="20"/>
          <w:szCs w:val="20"/>
          <w:lang w:val="en-US"/>
        </w:rPr>
        <w:t>)</w:t>
      </w:r>
    </w:p>
    <w:p w:rsidR="00113D5E" w:rsidRPr="00AB546F" w:rsidRDefault="00FF46C5" w:rsidP="00AB546F">
      <w:pPr>
        <w:spacing w:line="240" w:lineRule="auto"/>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t xml:space="preserve">Exposure to antibiotics may facilitate the transmission of ESBL-EC in two ways: 1) </w:t>
      </w:r>
      <w:r w:rsidR="00E206A3" w:rsidRPr="00AB546F">
        <w:rPr>
          <w:rFonts w:ascii="Times New Roman" w:hAnsi="Times New Roman" w:cs="Times New Roman"/>
          <w:sz w:val="20"/>
          <w:szCs w:val="20"/>
          <w:lang w:val="en-US"/>
        </w:rPr>
        <w:t>increase the probability of transmission from colonized person treated with antibiotics</w:t>
      </w:r>
      <w:r w:rsidR="00022E86" w:rsidRPr="00AB546F">
        <w:rPr>
          <w:rFonts w:ascii="Times New Roman" w:hAnsi="Times New Roman" w:cs="Times New Roman"/>
          <w:sz w:val="20"/>
          <w:szCs w:val="20"/>
          <w:lang w:val="en-US"/>
        </w:rPr>
        <w:t xml:space="preserve"> (by the relative risk of contamination </w:t>
      </w:r>
      <w:proofErr w:type="spellStart"/>
      <w:r w:rsidR="00022E86" w:rsidRPr="00AB546F">
        <w:rPr>
          <w:rFonts w:ascii="Times New Roman" w:hAnsi="Times New Roman" w:cs="Times New Roman"/>
          <w:i/>
          <w:sz w:val="20"/>
          <w:szCs w:val="20"/>
          <w:lang w:val="en-GB"/>
        </w:rPr>
        <w:t>rr</w:t>
      </w:r>
      <w:r w:rsidR="00022E86" w:rsidRPr="00AB546F">
        <w:rPr>
          <w:rFonts w:ascii="Times New Roman" w:hAnsi="Times New Roman" w:cs="Times New Roman"/>
          <w:i/>
          <w:sz w:val="20"/>
          <w:szCs w:val="20"/>
          <w:vertAlign w:val="subscript"/>
          <w:lang w:val="en-GB"/>
        </w:rPr>
        <w:t>cont</w:t>
      </w:r>
      <w:proofErr w:type="spellEnd"/>
      <w:proofErr w:type="gramStart"/>
      <w:r w:rsidR="00022E86" w:rsidRPr="00AB546F">
        <w:rPr>
          <w:rFonts w:ascii="Times New Roman" w:hAnsi="Times New Roman" w:cs="Times New Roman"/>
          <w:sz w:val="20"/>
          <w:szCs w:val="20"/>
          <w:lang w:val="en-US"/>
        </w:rPr>
        <w:t xml:space="preserve">) </w:t>
      </w:r>
      <w:r w:rsidR="00E206A3" w:rsidRPr="00AB546F">
        <w:rPr>
          <w:rFonts w:ascii="Times New Roman" w:hAnsi="Times New Roman" w:cs="Times New Roman"/>
          <w:sz w:val="20"/>
          <w:szCs w:val="20"/>
          <w:lang w:val="en-US"/>
        </w:rPr>
        <w:t xml:space="preserve"> </w:t>
      </w:r>
      <w:r w:rsidRPr="00AB546F">
        <w:rPr>
          <w:rFonts w:ascii="Times New Roman" w:hAnsi="Times New Roman" w:cs="Times New Roman"/>
          <w:sz w:val="20"/>
          <w:szCs w:val="20"/>
          <w:lang w:val="en-US"/>
        </w:rPr>
        <w:t>and</w:t>
      </w:r>
      <w:proofErr w:type="gramEnd"/>
      <w:r w:rsidRPr="00AB546F">
        <w:rPr>
          <w:rFonts w:ascii="Times New Roman" w:hAnsi="Times New Roman" w:cs="Times New Roman"/>
          <w:sz w:val="20"/>
          <w:szCs w:val="20"/>
          <w:lang w:val="en-US"/>
        </w:rPr>
        <w:t xml:space="preserve"> 2)</w:t>
      </w:r>
      <w:r w:rsidR="00E206A3" w:rsidRPr="00AB546F">
        <w:rPr>
          <w:rFonts w:ascii="Times New Roman" w:hAnsi="Times New Roman" w:cs="Times New Roman"/>
          <w:sz w:val="20"/>
          <w:szCs w:val="20"/>
          <w:lang w:val="en-US"/>
        </w:rPr>
        <w:t xml:space="preserve"> increase the probability of </w:t>
      </w:r>
      <w:proofErr w:type="spellStart"/>
      <w:r w:rsidR="00E206A3" w:rsidRPr="00AB546F">
        <w:rPr>
          <w:rFonts w:ascii="Times New Roman" w:hAnsi="Times New Roman" w:cs="Times New Roman"/>
          <w:sz w:val="20"/>
          <w:szCs w:val="20"/>
          <w:lang w:val="en-US"/>
        </w:rPr>
        <w:t>colonisation</w:t>
      </w:r>
      <w:proofErr w:type="spellEnd"/>
      <w:r w:rsidR="00E206A3" w:rsidRPr="00AB546F">
        <w:rPr>
          <w:rFonts w:ascii="Times New Roman" w:hAnsi="Times New Roman" w:cs="Times New Roman"/>
          <w:sz w:val="20"/>
          <w:szCs w:val="20"/>
          <w:lang w:val="en-US"/>
        </w:rPr>
        <w:t xml:space="preserve"> in contaminated persons receiving antibiotic</w:t>
      </w:r>
      <w:r w:rsidR="00022E86" w:rsidRPr="00AB546F">
        <w:rPr>
          <w:rFonts w:ascii="Times New Roman" w:hAnsi="Times New Roman" w:cs="Times New Roman"/>
          <w:sz w:val="20"/>
          <w:szCs w:val="20"/>
          <w:lang w:val="en-US"/>
        </w:rPr>
        <w:t xml:space="preserve"> (by the relative risk of colonization </w:t>
      </w:r>
      <w:proofErr w:type="spellStart"/>
      <w:r w:rsidR="00022E86" w:rsidRPr="00AB546F">
        <w:rPr>
          <w:rFonts w:ascii="Times New Roman" w:hAnsi="Times New Roman" w:cs="Times New Roman"/>
          <w:i/>
          <w:sz w:val="20"/>
          <w:szCs w:val="20"/>
          <w:lang w:val="en-GB"/>
        </w:rPr>
        <w:t>rr</w:t>
      </w:r>
      <w:r w:rsidR="00022E86" w:rsidRPr="00AB546F">
        <w:rPr>
          <w:rFonts w:ascii="Times New Roman" w:hAnsi="Times New Roman" w:cs="Times New Roman"/>
          <w:i/>
          <w:sz w:val="20"/>
          <w:szCs w:val="20"/>
          <w:vertAlign w:val="subscript"/>
          <w:lang w:val="en-GB"/>
        </w:rPr>
        <w:t>col</w:t>
      </w:r>
      <w:proofErr w:type="spellEnd"/>
      <w:r w:rsidR="00022E86" w:rsidRPr="00AB546F">
        <w:rPr>
          <w:rFonts w:ascii="Times New Roman" w:hAnsi="Times New Roman" w:cs="Times New Roman"/>
          <w:sz w:val="20"/>
          <w:szCs w:val="20"/>
          <w:lang w:val="en-US"/>
        </w:rPr>
        <w:t>)</w:t>
      </w:r>
      <w:r w:rsidR="00E206A3" w:rsidRPr="00AB546F">
        <w:rPr>
          <w:rFonts w:ascii="Times New Roman" w:hAnsi="Times New Roman" w:cs="Times New Roman"/>
          <w:sz w:val="20"/>
          <w:szCs w:val="20"/>
          <w:lang w:val="en-US"/>
        </w:rPr>
        <w:t>.</w:t>
      </w:r>
    </w:p>
    <w:p w:rsidR="002451FA" w:rsidRPr="00AB546F" w:rsidRDefault="00FA024A" w:rsidP="00AB546F">
      <w:pPr>
        <w:spacing w:line="240" w:lineRule="auto"/>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t xml:space="preserve">During the simulation, when an individual enters a new infectious state, the duration for which he will remain in this state </w:t>
      </w:r>
      <w:proofErr w:type="gramStart"/>
      <w:r w:rsidRPr="00AB546F">
        <w:rPr>
          <w:rFonts w:ascii="Times New Roman" w:hAnsi="Times New Roman" w:cs="Times New Roman"/>
          <w:sz w:val="20"/>
          <w:szCs w:val="20"/>
          <w:lang w:val="en-US"/>
        </w:rPr>
        <w:t>is drawn</w:t>
      </w:r>
      <w:proofErr w:type="gramEnd"/>
      <w:r w:rsidRPr="00AB546F">
        <w:rPr>
          <w:rFonts w:ascii="Times New Roman" w:hAnsi="Times New Roman" w:cs="Times New Roman"/>
          <w:sz w:val="20"/>
          <w:szCs w:val="20"/>
          <w:lang w:val="en-US"/>
        </w:rPr>
        <w:t xml:space="preserve"> from a Gamma distribution, with a mean value set by the user. </w:t>
      </w:r>
    </w:p>
    <w:p w:rsidR="007456F2" w:rsidRPr="00AB546F" w:rsidRDefault="007456F2" w:rsidP="007456F2">
      <w:pPr>
        <w:jc w:val="both"/>
        <w:rPr>
          <w:rFonts w:ascii="Times New Roman" w:hAnsi="Times New Roman" w:cs="Times New Roman"/>
          <w:b/>
          <w:sz w:val="20"/>
          <w:szCs w:val="20"/>
          <w:lang w:val="en-GB"/>
        </w:rPr>
      </w:pPr>
      <w:r w:rsidRPr="00AB546F">
        <w:rPr>
          <w:rFonts w:ascii="Times New Roman" w:hAnsi="Times New Roman" w:cs="Times New Roman"/>
          <w:b/>
          <w:sz w:val="20"/>
          <w:szCs w:val="20"/>
          <w:lang w:val="en-GB"/>
        </w:rPr>
        <w:t>Model calibration</w:t>
      </w:r>
    </w:p>
    <w:p w:rsidR="00FF0184" w:rsidRPr="00AB546F" w:rsidRDefault="00EE22B2" w:rsidP="00AB546F">
      <w:pPr>
        <w:spacing w:line="240" w:lineRule="auto"/>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t>For the unknown parameter, the daily probability of gut colonization in a contaminated person (</w:t>
      </w:r>
      <w:proofErr w:type="spellStart"/>
      <w:r w:rsidRPr="00AB546F">
        <w:rPr>
          <w:rFonts w:ascii="Times New Roman" w:hAnsi="Times New Roman" w:cs="Times New Roman"/>
          <w:i/>
          <w:sz w:val="20"/>
          <w:szCs w:val="20"/>
          <w:lang w:val="en-US"/>
        </w:rPr>
        <w:t>p</w:t>
      </w:r>
      <w:r w:rsidRPr="00AB546F">
        <w:rPr>
          <w:rFonts w:ascii="Times New Roman" w:hAnsi="Times New Roman" w:cs="Times New Roman"/>
          <w:i/>
          <w:sz w:val="20"/>
          <w:szCs w:val="20"/>
          <w:vertAlign w:val="subscript"/>
          <w:lang w:val="en-US"/>
        </w:rPr>
        <w:t>col</w:t>
      </w:r>
      <w:proofErr w:type="spellEnd"/>
      <w:r w:rsidRPr="00AB546F">
        <w:rPr>
          <w:rFonts w:ascii="Times New Roman" w:hAnsi="Times New Roman" w:cs="Times New Roman"/>
          <w:i/>
          <w:sz w:val="20"/>
          <w:szCs w:val="20"/>
          <w:lang w:val="en-US"/>
        </w:rPr>
        <w:t>)</w:t>
      </w:r>
      <w:r w:rsidRPr="00AB546F">
        <w:rPr>
          <w:rFonts w:ascii="Times New Roman" w:hAnsi="Times New Roman" w:cs="Times New Roman"/>
          <w:sz w:val="20"/>
          <w:szCs w:val="20"/>
          <w:lang w:val="en-US"/>
        </w:rPr>
        <w:t xml:space="preserve">, we tested a range of values from </w:t>
      </w:r>
      <w:proofErr w:type="gramStart"/>
      <w:r w:rsidR="004F259B" w:rsidRPr="00AB546F">
        <w:rPr>
          <w:rFonts w:ascii="Times New Roman" w:hAnsi="Times New Roman" w:cs="Times New Roman"/>
          <w:sz w:val="20"/>
          <w:szCs w:val="20"/>
          <w:lang w:val="en-US"/>
        </w:rPr>
        <w:t>0</w:t>
      </w:r>
      <w:proofErr w:type="gramEnd"/>
      <w:r w:rsidR="00E44375" w:rsidRPr="00AB546F">
        <w:rPr>
          <w:rFonts w:ascii="Times New Roman" w:hAnsi="Times New Roman" w:cs="Times New Roman"/>
          <w:sz w:val="20"/>
          <w:szCs w:val="20"/>
          <w:lang w:val="en-US"/>
        </w:rPr>
        <w:t xml:space="preserve"> to </w:t>
      </w:r>
      <w:r w:rsidR="004F259B" w:rsidRPr="00AB546F">
        <w:rPr>
          <w:rFonts w:ascii="Times New Roman" w:hAnsi="Times New Roman" w:cs="Times New Roman"/>
          <w:sz w:val="20"/>
          <w:szCs w:val="20"/>
          <w:lang w:val="en-US"/>
        </w:rPr>
        <w:t>1</w:t>
      </w:r>
      <w:r w:rsidRPr="00AB546F">
        <w:rPr>
          <w:rFonts w:ascii="Times New Roman" w:hAnsi="Times New Roman" w:cs="Times New Roman"/>
          <w:sz w:val="20"/>
          <w:szCs w:val="20"/>
          <w:lang w:val="en-US"/>
        </w:rPr>
        <w:t xml:space="preserve">.  For </w:t>
      </w:r>
      <w:r w:rsidR="004F259B" w:rsidRPr="00AB546F">
        <w:rPr>
          <w:rFonts w:ascii="Times New Roman" w:hAnsi="Times New Roman" w:cs="Times New Roman"/>
          <w:sz w:val="20"/>
          <w:szCs w:val="20"/>
          <w:lang w:val="en-US"/>
        </w:rPr>
        <w:t>e</w:t>
      </w:r>
      <w:r w:rsidRPr="00AB546F">
        <w:rPr>
          <w:rFonts w:ascii="Times New Roman" w:hAnsi="Times New Roman" w:cs="Times New Roman"/>
          <w:sz w:val="20"/>
          <w:szCs w:val="20"/>
          <w:lang w:val="en-US"/>
        </w:rPr>
        <w:t xml:space="preserve">ach combination of model parameters </w:t>
      </w:r>
      <w:r w:rsidR="004F259B" w:rsidRPr="00AB546F">
        <w:rPr>
          <w:rFonts w:ascii="Times New Roman" w:hAnsi="Times New Roman" w:cs="Times New Roman"/>
          <w:sz w:val="20"/>
          <w:szCs w:val="20"/>
          <w:lang w:val="en-US"/>
        </w:rPr>
        <w:t xml:space="preserve">with </w:t>
      </w:r>
      <w:proofErr w:type="spellStart"/>
      <w:r w:rsidR="004F259B" w:rsidRPr="00AB546F">
        <w:rPr>
          <w:rFonts w:ascii="Times New Roman" w:hAnsi="Times New Roman" w:cs="Times New Roman"/>
          <w:i/>
          <w:sz w:val="20"/>
          <w:szCs w:val="20"/>
          <w:lang w:val="en-US"/>
        </w:rPr>
        <w:t>p</w:t>
      </w:r>
      <w:r w:rsidR="004F259B" w:rsidRPr="00AB546F">
        <w:rPr>
          <w:rFonts w:ascii="Times New Roman" w:hAnsi="Times New Roman" w:cs="Times New Roman"/>
          <w:i/>
          <w:sz w:val="20"/>
          <w:szCs w:val="20"/>
          <w:vertAlign w:val="subscript"/>
          <w:lang w:val="en-US"/>
        </w:rPr>
        <w:t>col</w:t>
      </w:r>
      <w:proofErr w:type="spellEnd"/>
      <w:r w:rsidRPr="00AB546F">
        <w:rPr>
          <w:rFonts w:ascii="Times New Roman" w:hAnsi="Times New Roman" w:cs="Times New Roman"/>
          <w:sz w:val="20"/>
          <w:szCs w:val="20"/>
          <w:lang w:val="en-US"/>
        </w:rPr>
        <w:t xml:space="preserve">, we </w:t>
      </w:r>
      <w:r w:rsidR="004F259B" w:rsidRPr="00AB546F">
        <w:rPr>
          <w:rFonts w:ascii="Times New Roman" w:hAnsi="Times New Roman" w:cs="Times New Roman"/>
          <w:sz w:val="20"/>
          <w:szCs w:val="20"/>
          <w:lang w:val="en-US"/>
        </w:rPr>
        <w:t>ran</w:t>
      </w:r>
      <w:r w:rsidR="001827A9" w:rsidRPr="00AB546F">
        <w:rPr>
          <w:rFonts w:ascii="Times New Roman" w:hAnsi="Times New Roman" w:cs="Times New Roman"/>
          <w:sz w:val="20"/>
          <w:szCs w:val="20"/>
          <w:lang w:val="en-US"/>
        </w:rPr>
        <w:t xml:space="preserve"> 30 </w:t>
      </w:r>
      <w:r w:rsidRPr="00AB546F">
        <w:rPr>
          <w:rFonts w:ascii="Times New Roman" w:hAnsi="Times New Roman" w:cs="Times New Roman"/>
          <w:sz w:val="20"/>
          <w:szCs w:val="20"/>
          <w:lang w:val="en-US"/>
        </w:rPr>
        <w:t xml:space="preserve">000 </w:t>
      </w:r>
      <w:r w:rsidR="004F259B" w:rsidRPr="00AB546F">
        <w:rPr>
          <w:rFonts w:ascii="Times New Roman" w:hAnsi="Times New Roman" w:cs="Times New Roman"/>
          <w:sz w:val="20"/>
          <w:szCs w:val="20"/>
          <w:lang w:val="en-US"/>
        </w:rPr>
        <w:t>Monte Carlo simulations</w:t>
      </w:r>
      <w:r w:rsidRPr="00AB546F">
        <w:rPr>
          <w:rFonts w:ascii="Times New Roman" w:hAnsi="Times New Roman" w:cs="Times New Roman"/>
          <w:sz w:val="20"/>
          <w:szCs w:val="20"/>
          <w:lang w:val="en-US"/>
        </w:rPr>
        <w:t>. Then, u</w:t>
      </w:r>
      <w:r w:rsidR="007456F2" w:rsidRPr="00AB546F">
        <w:rPr>
          <w:rFonts w:ascii="Times New Roman" w:hAnsi="Times New Roman" w:cs="Times New Roman"/>
          <w:sz w:val="20"/>
          <w:szCs w:val="20"/>
          <w:lang w:val="en-US"/>
        </w:rPr>
        <w:t xml:space="preserve">sing a least square criterion, we calibrated the </w:t>
      </w:r>
      <w:proofErr w:type="spellStart"/>
      <w:r w:rsidR="004F259B" w:rsidRPr="00AB546F">
        <w:rPr>
          <w:rFonts w:ascii="Times New Roman" w:hAnsi="Times New Roman" w:cs="Times New Roman"/>
          <w:i/>
          <w:sz w:val="20"/>
          <w:szCs w:val="20"/>
          <w:lang w:val="en-US"/>
        </w:rPr>
        <w:t>p</w:t>
      </w:r>
      <w:r w:rsidR="004F259B" w:rsidRPr="00AB546F">
        <w:rPr>
          <w:rFonts w:ascii="Times New Roman" w:hAnsi="Times New Roman" w:cs="Times New Roman"/>
          <w:i/>
          <w:sz w:val="20"/>
          <w:szCs w:val="20"/>
          <w:vertAlign w:val="subscript"/>
          <w:lang w:val="en-US"/>
        </w:rPr>
        <w:t>col</w:t>
      </w:r>
      <w:proofErr w:type="spellEnd"/>
      <w:r w:rsidR="004F259B" w:rsidRPr="00AB546F">
        <w:rPr>
          <w:rFonts w:ascii="Times New Roman" w:hAnsi="Times New Roman" w:cs="Times New Roman"/>
          <w:sz w:val="20"/>
          <w:szCs w:val="20"/>
          <w:lang w:val="en-US"/>
        </w:rPr>
        <w:t xml:space="preserve"> </w:t>
      </w:r>
      <w:r w:rsidR="007456F2" w:rsidRPr="00AB546F">
        <w:rPr>
          <w:rFonts w:ascii="Times New Roman" w:hAnsi="Times New Roman" w:cs="Times New Roman"/>
          <w:sz w:val="20"/>
          <w:szCs w:val="20"/>
          <w:lang w:val="en-US"/>
        </w:rPr>
        <w:t xml:space="preserve">in order to best reproduce observed person-to-person transmission rate </w:t>
      </w:r>
      <w:r w:rsidR="004F259B" w:rsidRPr="00AB546F">
        <w:rPr>
          <w:rFonts w:ascii="Times New Roman" w:hAnsi="Times New Roman" w:cs="Times New Roman"/>
          <w:sz w:val="20"/>
          <w:szCs w:val="20"/>
          <w:lang w:val="en-US"/>
        </w:rPr>
        <w:t xml:space="preserve">from </w:t>
      </w:r>
      <w:r w:rsidR="00954DAA" w:rsidRPr="00AB546F">
        <w:rPr>
          <w:rFonts w:ascii="Times New Roman" w:hAnsi="Times New Roman" w:cs="Times New Roman"/>
          <w:sz w:val="20"/>
          <w:szCs w:val="20"/>
          <w:lang w:val="en-US"/>
        </w:rPr>
        <w:t xml:space="preserve">the study of </w:t>
      </w:r>
      <w:proofErr w:type="spellStart"/>
      <w:r w:rsidR="004F259B" w:rsidRPr="00AB546F">
        <w:rPr>
          <w:rFonts w:ascii="Times New Roman" w:hAnsi="Times New Roman" w:cs="Times New Roman"/>
          <w:sz w:val="20"/>
          <w:szCs w:val="20"/>
          <w:lang w:val="en-US"/>
        </w:rPr>
        <w:t>Arcilla</w:t>
      </w:r>
      <w:proofErr w:type="spellEnd"/>
      <w:r w:rsidR="004F259B" w:rsidRPr="00AB546F">
        <w:rPr>
          <w:rFonts w:ascii="Times New Roman" w:hAnsi="Times New Roman" w:cs="Times New Roman"/>
          <w:sz w:val="20"/>
          <w:szCs w:val="20"/>
          <w:lang w:val="en-US"/>
        </w:rPr>
        <w:t xml:space="preserve"> et al. </w:t>
      </w:r>
      <w:r w:rsidR="00954DAA" w:rsidRPr="00AB546F">
        <w:rPr>
          <w:rFonts w:ascii="Times New Roman" w:hAnsi="Times New Roman" w:cs="Times New Roman"/>
          <w:sz w:val="20"/>
          <w:szCs w:val="20"/>
          <w:lang w:val="en-US"/>
        </w:rPr>
        <w:fldChar w:fldCharType="begin"/>
      </w:r>
      <w:r w:rsidR="008C5DFA">
        <w:rPr>
          <w:rFonts w:ascii="Times New Roman" w:hAnsi="Times New Roman" w:cs="Times New Roman"/>
          <w:sz w:val="20"/>
          <w:szCs w:val="20"/>
          <w:lang w:val="en-US"/>
        </w:rPr>
        <w:instrText xml:space="preserve"> ADDIN ZOTERO_ITEM CSL_CITATION {"citationID":"17skktrt36","properties":{"formattedCitation":"[1]","plainCitation":"[1]"},"citationItems":[{"id":457,"uris":["http://zotero.org/users/local/hjvuTSYk/items/EQ2CM7GZ"],"uri":["http://zotero.org/users/local/hjvuTSYk/items/EQ2CM7GZ"],"itemData":{"id":457,"type":"article-journal","title":"Import and spread of extended-spectrum β-lactamase-producing Enterobacteriaceae by international travellers (COMBAT study): a prospective, multicentre cohort study","container-title":"The Lancet Infectious Diseases","page":"78-85","volume":"17","issue":"1","source":"www.thelancet.com","abstract":"&lt;h2&gt;Summary&lt;/h2&gt;&lt;h3&gt;Background&lt;/h3&gt;&lt;p&gt;International travel contributes to the dissemination of antimicrobial resistance. We investigated the acquisition of extended-spectrum β-lactamase-producing Enterobacteriaceae (ESBL-E) during international travel, with a focus on predictive factors for acquisition, duration of colonisation, and probability of onward transmission.&lt;/p&gt;&lt;h3&gt;Methods&lt;/h3&gt;&lt;p&gt;Within the prospective, multicentre COMBAT study, 2001 Dutch travellers and 215 non-travelling household members were enrolled. Faecal samples and questionnaires on demographics, illnesses, and behaviour were collected before travel and immediately and 1, 3, 6, and 12 months after return. Samples were screened for the presence of ESBL-E. In post-travel samples, ESBL genes were sequenced and PCR with specific primers for plasmid-encoded β-lactamase enzymes TEM, SHV, and CTX-M group 1, 2, 8, 9, and 25 was used to confirm the presence of ESBL genes in follow-up samples. Multivariable regression analyses and mathematical modelling were used to identify predictors for acquisition and sustained carriage, and to determine household transmission rates. This study is registered with ClinicalTrials.gov, number NCT01676974.&lt;/p&gt;&lt;h3&gt;Findings&lt;/h3&gt;&lt;p&gt;633 (34·3%) of 1847 travellers who were ESBL negative before travel and had available samples after return had acquired ESBL-E during international travel (95% CI 32·1–36·5), with the highest number of acquisitions being among those who travelled to southern Asia in 136 of 181 (75·1%, 95% CI 68·4–80·9). Important predictors for acquisition of ESBL-E were antibiotic use during travel (adjusted odds ratio 2·69, 95% CI 1·79–4·05), traveller's diarrhoea that persisted after return (2·31, 1·42–3·76), and pre-existing chronic bowel disease (2·10, 1·13–3·90). The median duration of colonisation after travel was 30 days (95% CI 29–33). 65 (11·3%) of 577 remained colonised at 12 months. CTX-M enzyme group 9 ESBLs were associated with a significantly increased risk of sustained carriage (median duration 75 days, 95% CI 48–102, p=0·0001). Onward transmission was found in 13 (7·7%) of 168 household members. The probability of transmitting ESBL-E to another household member was 12% (95% CI 5–18).&lt;/p&gt;&lt;h3&gt;Interpretation&lt;/h3&gt;&lt;p&gt;Acquisition and spread of ESBL-E during and after international travel was substantial and worrisome. Travellers to areas with a high risk of ESBL-E acquisition should be viewed as potential carriers of ESBL-E for up to 12 months after return.&lt;/p&gt;&lt;h3&gt;Funding&lt;/h3&gt;&lt;p&gt;Netherlands Organisation for Health Research and Development (ZonMw).&lt;/p&gt;","DOI":"10.1016/S1473-3099(16)30319-X","ISSN":"1473-3099, 1474-4457","note":"PMID: 27751772, 27751772","shortTitle":"Import and spread of extended-spectrum β-lactamase-producing Enterobacteriaceae by international travellers (COMBAT study)","journalAbbreviation":"The Lancet Infectious Diseases","language":"English","author":[{"family":"Arcilla","given":"Maris S."},{"family":"Hattem","given":"Jarne M.","dropping-particle":"van"},{"family":"Haverkate","given":"Manon R."},{"family":"Bootsma","given":"Martin C. J."},{"family":"Genderen","given":"Perry J. J.","dropping-particle":"van"},{"family":"Goorhuis","given":"Abraham"},{"family":"Grobusch","given":"Martin P."},{"family":"Lashof","given":"Astrid M. Oude"},{"family":"Molhoek","given":"Nicky"},{"family":"Schultsz","given":"Constance"},{"family":"Stobberingh","given":"Ellen E."},{"family":"Verbrugh","given":"Henri A."},{"family":"Jong","given":"Menno D.","dropping-particle":"de"},{"family":"Melles","given":"Damian C."},{"family":"Penders","given":"John"}],"issued":{"date-parts":[["2017",1,1]]},"PMID":"27751772"}}],"schema":"https://github.com/citation-style-language/schema/raw/master/csl-citation.json"} </w:instrText>
      </w:r>
      <w:r w:rsidR="00954DAA" w:rsidRPr="00AB546F">
        <w:rPr>
          <w:rFonts w:ascii="Times New Roman" w:hAnsi="Times New Roman" w:cs="Times New Roman"/>
          <w:sz w:val="20"/>
          <w:szCs w:val="20"/>
          <w:lang w:val="en-US"/>
        </w:rPr>
        <w:fldChar w:fldCharType="separate"/>
      </w:r>
      <w:r w:rsidR="008C5DFA" w:rsidRPr="008C5DFA">
        <w:rPr>
          <w:rFonts w:ascii="Times New Roman" w:hAnsi="Times New Roman" w:cs="Times New Roman"/>
          <w:sz w:val="20"/>
          <w:lang w:val="en-US"/>
        </w:rPr>
        <w:t>[1]</w:t>
      </w:r>
      <w:r w:rsidR="00954DAA" w:rsidRPr="00AB546F">
        <w:rPr>
          <w:rFonts w:ascii="Times New Roman" w:hAnsi="Times New Roman" w:cs="Times New Roman"/>
          <w:sz w:val="20"/>
          <w:szCs w:val="20"/>
          <w:lang w:val="en-US"/>
        </w:rPr>
        <w:fldChar w:fldCharType="end"/>
      </w:r>
      <w:r w:rsidR="008C5DFA">
        <w:rPr>
          <w:rFonts w:ascii="Times New Roman" w:hAnsi="Times New Roman" w:cs="Times New Roman"/>
          <w:sz w:val="20"/>
          <w:szCs w:val="20"/>
          <w:lang w:val="en-US"/>
        </w:rPr>
        <w:t>.</w:t>
      </w:r>
    </w:p>
    <w:p w:rsidR="009A2EB7" w:rsidRPr="00AB546F" w:rsidRDefault="009A2EB7" w:rsidP="007456F2">
      <w:pPr>
        <w:jc w:val="both"/>
        <w:rPr>
          <w:rFonts w:ascii="Times New Roman" w:hAnsi="Times New Roman" w:cs="Times New Roman"/>
          <w:b/>
          <w:sz w:val="20"/>
          <w:szCs w:val="20"/>
          <w:lang w:val="en-GB"/>
        </w:rPr>
      </w:pPr>
      <w:r w:rsidRPr="00AB546F">
        <w:rPr>
          <w:rFonts w:ascii="Times New Roman" w:hAnsi="Times New Roman" w:cs="Times New Roman"/>
          <w:b/>
          <w:sz w:val="20"/>
          <w:szCs w:val="20"/>
          <w:lang w:val="en-GB"/>
        </w:rPr>
        <w:t>Main model parameters</w:t>
      </w:r>
    </w:p>
    <w:p w:rsidR="003B7DFE" w:rsidRPr="00AB546F" w:rsidRDefault="005F1961" w:rsidP="003B7DFE">
      <w:pPr>
        <w:pStyle w:val="Lgende"/>
        <w:keepNext/>
        <w:jc w:val="both"/>
        <w:rPr>
          <w:rFonts w:ascii="Times New Roman" w:hAnsi="Times New Roman" w:cs="Times New Roman"/>
          <w:b/>
          <w:i w:val="0"/>
          <w:color w:val="auto"/>
          <w:sz w:val="20"/>
          <w:szCs w:val="20"/>
          <w:lang w:val="en-GB"/>
        </w:rPr>
      </w:pPr>
      <w:r w:rsidRPr="00AB546F">
        <w:rPr>
          <w:rFonts w:ascii="Times New Roman" w:hAnsi="Times New Roman" w:cs="Times New Roman"/>
          <w:b/>
          <w:i w:val="0"/>
          <w:color w:val="auto"/>
          <w:sz w:val="20"/>
          <w:szCs w:val="20"/>
          <w:lang w:val="en-GB"/>
        </w:rPr>
        <w:t>Supplementary Table S1</w:t>
      </w:r>
      <w:r w:rsidR="003B7DFE" w:rsidRPr="00AB546F">
        <w:rPr>
          <w:rFonts w:ascii="Times New Roman" w:hAnsi="Times New Roman" w:cs="Times New Roman"/>
          <w:b/>
          <w:i w:val="0"/>
          <w:color w:val="auto"/>
          <w:sz w:val="20"/>
          <w:szCs w:val="20"/>
          <w:lang w:val="en-GB"/>
        </w:rPr>
        <w:t xml:space="preserve">. </w:t>
      </w:r>
      <w:r w:rsidR="003B7DFE" w:rsidRPr="00AB546F">
        <w:rPr>
          <w:rFonts w:ascii="Times New Roman" w:hAnsi="Times New Roman" w:cs="Times New Roman"/>
          <w:i w:val="0"/>
          <w:color w:val="auto"/>
          <w:sz w:val="20"/>
          <w:szCs w:val="20"/>
          <w:lang w:val="en-GB"/>
        </w:rPr>
        <w:t>Base case values of input parameters used in the model of ESBL-EC transmission in a household</w:t>
      </w:r>
      <w:r w:rsidR="00BE1A11" w:rsidRPr="00AB546F">
        <w:rPr>
          <w:rFonts w:ascii="Times New Roman" w:hAnsi="Times New Roman" w:cs="Times New Roman"/>
          <w:i w:val="0"/>
          <w:color w:val="auto"/>
          <w:sz w:val="20"/>
          <w:szCs w:val="20"/>
          <w:lang w:val="en-GB"/>
        </w:rPr>
        <w:t xml:space="preserve"> and ranges for the sensitivity analysis.</w:t>
      </w:r>
      <w:r w:rsidR="003B7DFE" w:rsidRPr="00AB546F">
        <w:rPr>
          <w:rFonts w:ascii="Times New Roman" w:hAnsi="Times New Roman" w:cs="Times New Roman"/>
          <w:i w:val="0"/>
          <w:color w:val="auto"/>
          <w:sz w:val="20"/>
          <w:szCs w:val="20"/>
          <w:lang w:val="en-GB"/>
        </w:rPr>
        <w:t xml:space="preserve"> </w:t>
      </w:r>
    </w:p>
    <w:tbl>
      <w:tblPr>
        <w:tblStyle w:val="Grilledutableau"/>
        <w:tblpPr w:leftFromText="141" w:rightFromText="141" w:vertAnchor="text" w:horzAnchor="page" w:tblpX="984" w:tblpY="241"/>
        <w:tblW w:w="10485" w:type="dxa"/>
        <w:tblLook w:val="04A0" w:firstRow="1" w:lastRow="0" w:firstColumn="1" w:lastColumn="0" w:noHBand="0" w:noVBand="1"/>
      </w:tblPr>
      <w:tblGrid>
        <w:gridCol w:w="1413"/>
        <w:gridCol w:w="3865"/>
        <w:gridCol w:w="1309"/>
        <w:gridCol w:w="1354"/>
        <w:gridCol w:w="2544"/>
      </w:tblGrid>
      <w:tr w:rsidR="00DC431D" w:rsidRPr="002C7656" w:rsidTr="00CC6CAC">
        <w:tc>
          <w:tcPr>
            <w:tcW w:w="1413" w:type="dxa"/>
            <w:shd w:val="clear" w:color="auto" w:fill="DEEAF6" w:themeFill="accent1" w:themeFillTint="33"/>
          </w:tcPr>
          <w:p w:rsidR="00DC431D" w:rsidRPr="00D54669" w:rsidRDefault="00DC431D" w:rsidP="00DC431D">
            <w:pPr>
              <w:jc w:val="center"/>
              <w:rPr>
                <w:rFonts w:ascii="Times New Roman" w:hAnsi="Times New Roman" w:cs="Times New Roman"/>
                <w:b/>
                <w:sz w:val="20"/>
                <w:szCs w:val="20"/>
                <w:lang w:val="en-GB"/>
              </w:rPr>
            </w:pPr>
            <w:r w:rsidRPr="00D54669">
              <w:rPr>
                <w:rFonts w:ascii="Times New Roman" w:hAnsi="Times New Roman" w:cs="Times New Roman"/>
                <w:b/>
                <w:sz w:val="20"/>
                <w:szCs w:val="20"/>
                <w:lang w:val="en-GB"/>
              </w:rPr>
              <w:t>Parameters</w:t>
            </w:r>
          </w:p>
        </w:tc>
        <w:tc>
          <w:tcPr>
            <w:tcW w:w="3865" w:type="dxa"/>
            <w:shd w:val="clear" w:color="auto" w:fill="DEEAF6" w:themeFill="accent1" w:themeFillTint="33"/>
          </w:tcPr>
          <w:p w:rsidR="00DC431D" w:rsidRPr="00D54669" w:rsidRDefault="00DC431D" w:rsidP="00DC431D">
            <w:pPr>
              <w:jc w:val="center"/>
              <w:rPr>
                <w:rFonts w:ascii="Times New Roman" w:hAnsi="Times New Roman" w:cs="Times New Roman"/>
                <w:b/>
                <w:sz w:val="20"/>
                <w:szCs w:val="20"/>
                <w:lang w:val="en-GB"/>
              </w:rPr>
            </w:pPr>
            <w:r w:rsidRPr="00D54669">
              <w:rPr>
                <w:rFonts w:ascii="Times New Roman" w:hAnsi="Times New Roman" w:cs="Times New Roman"/>
                <w:b/>
                <w:sz w:val="20"/>
                <w:szCs w:val="20"/>
                <w:lang w:val="en-GB"/>
              </w:rPr>
              <w:t>Description</w:t>
            </w:r>
          </w:p>
        </w:tc>
        <w:tc>
          <w:tcPr>
            <w:tcW w:w="1309" w:type="dxa"/>
            <w:shd w:val="clear" w:color="auto" w:fill="DEEAF6" w:themeFill="accent1" w:themeFillTint="33"/>
          </w:tcPr>
          <w:p w:rsidR="00DC431D" w:rsidRPr="00D54669" w:rsidRDefault="00DC431D" w:rsidP="00DC431D">
            <w:pPr>
              <w:jc w:val="center"/>
              <w:rPr>
                <w:rFonts w:ascii="Times New Roman" w:hAnsi="Times New Roman" w:cs="Times New Roman"/>
                <w:b/>
                <w:sz w:val="20"/>
                <w:szCs w:val="20"/>
                <w:lang w:val="en-GB"/>
              </w:rPr>
            </w:pPr>
            <w:r w:rsidRPr="00D54669">
              <w:rPr>
                <w:rFonts w:ascii="Times New Roman" w:hAnsi="Times New Roman" w:cs="Times New Roman"/>
                <w:b/>
                <w:sz w:val="20"/>
                <w:szCs w:val="20"/>
                <w:lang w:val="en-GB"/>
              </w:rPr>
              <w:t>Base case values</w:t>
            </w:r>
          </w:p>
        </w:tc>
        <w:tc>
          <w:tcPr>
            <w:tcW w:w="1354" w:type="dxa"/>
            <w:shd w:val="clear" w:color="auto" w:fill="DEEAF6" w:themeFill="accent1" w:themeFillTint="33"/>
          </w:tcPr>
          <w:p w:rsidR="00DC431D" w:rsidRPr="00D54669" w:rsidRDefault="00DC431D" w:rsidP="00DC431D">
            <w:pPr>
              <w:jc w:val="center"/>
              <w:rPr>
                <w:rFonts w:ascii="Times New Roman" w:hAnsi="Times New Roman" w:cs="Times New Roman"/>
                <w:b/>
                <w:sz w:val="20"/>
                <w:szCs w:val="20"/>
                <w:lang w:val="en-GB"/>
              </w:rPr>
            </w:pPr>
            <w:r w:rsidRPr="00D54669">
              <w:rPr>
                <w:rFonts w:ascii="Times New Roman" w:hAnsi="Times New Roman" w:cs="Times New Roman"/>
                <w:b/>
                <w:sz w:val="20"/>
                <w:szCs w:val="20"/>
                <w:lang w:val="en-GB"/>
              </w:rPr>
              <w:t>Sources</w:t>
            </w:r>
          </w:p>
        </w:tc>
        <w:tc>
          <w:tcPr>
            <w:tcW w:w="2544" w:type="dxa"/>
            <w:shd w:val="clear" w:color="auto" w:fill="DEEAF6" w:themeFill="accent1" w:themeFillTint="33"/>
          </w:tcPr>
          <w:p w:rsidR="00DC431D" w:rsidRPr="00D54669" w:rsidRDefault="00DC431D" w:rsidP="00904291">
            <w:pPr>
              <w:jc w:val="center"/>
              <w:rPr>
                <w:rFonts w:ascii="Times New Roman" w:hAnsi="Times New Roman" w:cs="Times New Roman"/>
                <w:b/>
                <w:sz w:val="20"/>
                <w:szCs w:val="20"/>
                <w:lang w:val="en-GB"/>
              </w:rPr>
            </w:pPr>
            <w:r w:rsidRPr="00D54669">
              <w:rPr>
                <w:rFonts w:ascii="Times New Roman" w:hAnsi="Times New Roman" w:cs="Times New Roman"/>
                <w:b/>
                <w:sz w:val="20"/>
                <w:szCs w:val="20"/>
                <w:lang w:val="en-GB"/>
              </w:rPr>
              <w:t>Range tested for  the sensitivity analysis</w:t>
            </w:r>
          </w:p>
        </w:tc>
      </w:tr>
      <w:tr w:rsidR="00DC431D" w:rsidRPr="002C7656" w:rsidTr="00CC6CAC">
        <w:tc>
          <w:tcPr>
            <w:tcW w:w="1413" w:type="dxa"/>
            <w:shd w:val="clear" w:color="auto" w:fill="F2F2F2" w:themeFill="background1" w:themeFillShade="F2"/>
          </w:tcPr>
          <w:p w:rsidR="00DC431D" w:rsidRPr="00C54618" w:rsidRDefault="00DC431D" w:rsidP="00DC431D">
            <w:pPr>
              <w:jc w:val="both"/>
              <w:rPr>
                <w:rFonts w:ascii="Times New Roman" w:hAnsi="Times New Roman" w:cs="Times New Roman"/>
                <w:b/>
                <w:sz w:val="16"/>
                <w:szCs w:val="16"/>
                <w:lang w:val="en-GB"/>
              </w:rPr>
            </w:pPr>
          </w:p>
        </w:tc>
        <w:tc>
          <w:tcPr>
            <w:tcW w:w="3865" w:type="dxa"/>
            <w:shd w:val="clear" w:color="auto" w:fill="F2F2F2" w:themeFill="background1" w:themeFillShade="F2"/>
          </w:tcPr>
          <w:p w:rsidR="00DC431D" w:rsidRPr="00C54618" w:rsidRDefault="00DC431D" w:rsidP="00DC431D">
            <w:pPr>
              <w:jc w:val="both"/>
              <w:rPr>
                <w:rFonts w:ascii="Times New Roman" w:hAnsi="Times New Roman" w:cs="Times New Roman"/>
                <w:b/>
                <w:sz w:val="16"/>
                <w:szCs w:val="16"/>
                <w:lang w:val="en-GB"/>
              </w:rPr>
            </w:pPr>
            <w:r w:rsidRPr="00C54618">
              <w:rPr>
                <w:rFonts w:ascii="Times New Roman" w:hAnsi="Times New Roman" w:cs="Times New Roman"/>
                <w:b/>
                <w:sz w:val="16"/>
                <w:szCs w:val="16"/>
                <w:lang w:val="en-GB"/>
              </w:rPr>
              <w:t>Population</w:t>
            </w:r>
          </w:p>
        </w:tc>
        <w:tc>
          <w:tcPr>
            <w:tcW w:w="1309" w:type="dxa"/>
            <w:shd w:val="clear" w:color="auto" w:fill="F2F2F2" w:themeFill="background1" w:themeFillShade="F2"/>
          </w:tcPr>
          <w:p w:rsidR="00DC431D" w:rsidRPr="00C54618" w:rsidRDefault="00DC431D" w:rsidP="00DC431D">
            <w:pPr>
              <w:jc w:val="center"/>
              <w:rPr>
                <w:rFonts w:ascii="Times New Roman" w:hAnsi="Times New Roman" w:cs="Times New Roman"/>
                <w:sz w:val="16"/>
                <w:szCs w:val="16"/>
                <w:lang w:val="en-GB"/>
              </w:rPr>
            </w:pPr>
          </w:p>
        </w:tc>
        <w:tc>
          <w:tcPr>
            <w:tcW w:w="1354" w:type="dxa"/>
            <w:shd w:val="clear" w:color="auto" w:fill="F2F2F2" w:themeFill="background1" w:themeFillShade="F2"/>
          </w:tcPr>
          <w:p w:rsidR="00DC431D" w:rsidRPr="00C54618" w:rsidRDefault="00DC431D" w:rsidP="00DC431D">
            <w:pPr>
              <w:jc w:val="both"/>
              <w:rPr>
                <w:rFonts w:ascii="Times New Roman" w:hAnsi="Times New Roman" w:cs="Times New Roman"/>
                <w:sz w:val="16"/>
                <w:szCs w:val="16"/>
                <w:lang w:val="en-GB"/>
              </w:rPr>
            </w:pPr>
          </w:p>
        </w:tc>
        <w:tc>
          <w:tcPr>
            <w:tcW w:w="2544" w:type="dxa"/>
            <w:shd w:val="clear" w:color="auto" w:fill="F2F2F2" w:themeFill="background1" w:themeFillShade="F2"/>
          </w:tcPr>
          <w:p w:rsidR="00DC431D" w:rsidRPr="00C54618" w:rsidRDefault="00DC431D" w:rsidP="00904291">
            <w:pPr>
              <w:jc w:val="center"/>
              <w:rPr>
                <w:rFonts w:ascii="Times New Roman" w:hAnsi="Times New Roman" w:cs="Times New Roman"/>
                <w:sz w:val="16"/>
                <w:szCs w:val="16"/>
                <w:lang w:val="en-GB"/>
              </w:rPr>
            </w:pPr>
          </w:p>
        </w:tc>
      </w:tr>
      <w:tr w:rsidR="00DC431D" w:rsidRPr="002C7656"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N</w:t>
            </w:r>
            <w:r w:rsidRPr="00C54618">
              <w:rPr>
                <w:rFonts w:ascii="Times New Roman" w:hAnsi="Times New Roman" w:cs="Times New Roman"/>
                <w:i/>
                <w:sz w:val="16"/>
                <w:szCs w:val="16"/>
                <w:vertAlign w:val="subscript"/>
                <w:lang w:val="en-GB"/>
              </w:rPr>
              <w:t>h</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Household size</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2-4</w:t>
            </w:r>
          </w:p>
        </w:tc>
        <w:tc>
          <w:tcPr>
            <w:tcW w:w="1354"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assumed</w:t>
            </w:r>
          </w:p>
        </w:tc>
        <w:tc>
          <w:tcPr>
            <w:tcW w:w="2544" w:type="dxa"/>
          </w:tcPr>
          <w:p w:rsidR="00DC431D" w:rsidRPr="00C54618" w:rsidRDefault="00DC431D" w:rsidP="00904291">
            <w:pPr>
              <w:jc w:val="center"/>
              <w:rPr>
                <w:rFonts w:ascii="Times New Roman" w:hAnsi="Times New Roman" w:cs="Times New Roman"/>
                <w:sz w:val="16"/>
                <w:szCs w:val="16"/>
                <w:lang w:val="en-GB"/>
              </w:rPr>
            </w:pPr>
          </w:p>
        </w:tc>
      </w:tr>
      <w:tr w:rsidR="00DC431D" w:rsidRPr="002C7656" w:rsidTr="00CC6CAC">
        <w:tc>
          <w:tcPr>
            <w:tcW w:w="1413" w:type="dxa"/>
            <w:shd w:val="clear" w:color="auto" w:fill="F2F2F2" w:themeFill="background1" w:themeFillShade="F2"/>
          </w:tcPr>
          <w:p w:rsidR="00DC431D" w:rsidRPr="00C54618" w:rsidRDefault="00DC431D" w:rsidP="00DC431D">
            <w:pPr>
              <w:jc w:val="both"/>
              <w:rPr>
                <w:rFonts w:ascii="Times New Roman" w:hAnsi="Times New Roman" w:cs="Times New Roman"/>
                <w:b/>
                <w:i/>
                <w:sz w:val="16"/>
                <w:szCs w:val="16"/>
                <w:lang w:val="en-GB"/>
              </w:rPr>
            </w:pPr>
          </w:p>
        </w:tc>
        <w:tc>
          <w:tcPr>
            <w:tcW w:w="3865" w:type="dxa"/>
            <w:shd w:val="clear" w:color="auto" w:fill="F2F2F2" w:themeFill="background1" w:themeFillShade="F2"/>
          </w:tcPr>
          <w:p w:rsidR="00DC431D" w:rsidRPr="00C54618" w:rsidRDefault="00DC431D" w:rsidP="00DC431D">
            <w:pPr>
              <w:jc w:val="both"/>
              <w:rPr>
                <w:rFonts w:ascii="Times New Roman" w:hAnsi="Times New Roman" w:cs="Times New Roman"/>
                <w:b/>
                <w:sz w:val="16"/>
                <w:szCs w:val="16"/>
                <w:lang w:val="en-GB"/>
              </w:rPr>
            </w:pPr>
            <w:r w:rsidRPr="00C54618">
              <w:rPr>
                <w:rFonts w:ascii="Times New Roman" w:hAnsi="Times New Roman" w:cs="Times New Roman"/>
                <w:b/>
                <w:sz w:val="16"/>
                <w:szCs w:val="16"/>
                <w:lang w:val="en-GB"/>
              </w:rPr>
              <w:t>Antibiotic treatment</w:t>
            </w:r>
          </w:p>
        </w:tc>
        <w:tc>
          <w:tcPr>
            <w:tcW w:w="1309" w:type="dxa"/>
            <w:shd w:val="clear" w:color="auto" w:fill="F2F2F2" w:themeFill="background1" w:themeFillShade="F2"/>
          </w:tcPr>
          <w:p w:rsidR="00DC431D" w:rsidRPr="00C54618" w:rsidRDefault="00DC431D" w:rsidP="00DC431D">
            <w:pPr>
              <w:jc w:val="center"/>
              <w:rPr>
                <w:rFonts w:ascii="Times New Roman" w:hAnsi="Times New Roman" w:cs="Times New Roman"/>
                <w:sz w:val="16"/>
                <w:szCs w:val="16"/>
                <w:lang w:val="en-GB"/>
              </w:rPr>
            </w:pPr>
          </w:p>
        </w:tc>
        <w:tc>
          <w:tcPr>
            <w:tcW w:w="1354" w:type="dxa"/>
            <w:shd w:val="clear" w:color="auto" w:fill="F2F2F2" w:themeFill="background1" w:themeFillShade="F2"/>
          </w:tcPr>
          <w:p w:rsidR="00DC431D" w:rsidRPr="00C54618" w:rsidRDefault="00DC431D" w:rsidP="00DC431D">
            <w:pPr>
              <w:jc w:val="both"/>
              <w:rPr>
                <w:rFonts w:ascii="Times New Roman" w:hAnsi="Times New Roman" w:cs="Times New Roman"/>
                <w:sz w:val="16"/>
                <w:szCs w:val="16"/>
                <w:lang w:val="en-GB"/>
              </w:rPr>
            </w:pPr>
          </w:p>
        </w:tc>
        <w:tc>
          <w:tcPr>
            <w:tcW w:w="2544" w:type="dxa"/>
            <w:shd w:val="clear" w:color="auto" w:fill="F2F2F2" w:themeFill="background1" w:themeFillShade="F2"/>
          </w:tcPr>
          <w:p w:rsidR="00DC431D" w:rsidRPr="00C54618" w:rsidRDefault="00DC431D" w:rsidP="00904291">
            <w:pPr>
              <w:jc w:val="center"/>
              <w:rPr>
                <w:rFonts w:ascii="Times New Roman" w:hAnsi="Times New Roman" w:cs="Times New Roman"/>
                <w:sz w:val="16"/>
                <w:szCs w:val="16"/>
                <w:lang w:val="en-GB"/>
              </w:rPr>
            </w:pPr>
          </w:p>
        </w:tc>
      </w:tr>
      <w:tr w:rsidR="00DC431D" w:rsidRPr="002C7656" w:rsidTr="00CC6CAC">
        <w:tc>
          <w:tcPr>
            <w:tcW w:w="1413" w:type="dxa"/>
          </w:tcPr>
          <w:p w:rsidR="00DC431D" w:rsidRPr="00C54618" w:rsidRDefault="00DC431D" w:rsidP="00DC431D">
            <w:pPr>
              <w:jc w:val="both"/>
              <w:rPr>
                <w:rFonts w:ascii="Times New Roman" w:hAnsi="Times New Roman" w:cs="Times New Roman"/>
                <w:i/>
                <w:sz w:val="16"/>
                <w:szCs w:val="16"/>
                <w:lang w:val="en-GB"/>
              </w:rPr>
            </w:pPr>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Daily probability of antibiotic prescription :</w:t>
            </w:r>
          </w:p>
        </w:tc>
        <w:tc>
          <w:tcPr>
            <w:tcW w:w="1309" w:type="dxa"/>
          </w:tcPr>
          <w:p w:rsidR="00DC431D" w:rsidRPr="00C54618" w:rsidRDefault="00DC431D" w:rsidP="00DC431D">
            <w:pPr>
              <w:jc w:val="center"/>
              <w:rPr>
                <w:rFonts w:ascii="Times New Roman" w:hAnsi="Times New Roman" w:cs="Times New Roman"/>
                <w:sz w:val="16"/>
                <w:szCs w:val="16"/>
                <w:lang w:val="en-GB"/>
              </w:rPr>
            </w:pPr>
          </w:p>
        </w:tc>
        <w:tc>
          <w:tcPr>
            <w:tcW w:w="1354" w:type="dxa"/>
          </w:tcPr>
          <w:p w:rsidR="00DC431D" w:rsidRPr="00C54618" w:rsidRDefault="00DC431D" w:rsidP="00DC431D">
            <w:pPr>
              <w:jc w:val="both"/>
              <w:rPr>
                <w:rFonts w:ascii="Times New Roman" w:hAnsi="Times New Roman" w:cs="Times New Roman"/>
                <w:sz w:val="16"/>
                <w:szCs w:val="16"/>
                <w:lang w:val="en-GB"/>
              </w:rPr>
            </w:pPr>
          </w:p>
        </w:tc>
        <w:tc>
          <w:tcPr>
            <w:tcW w:w="2544" w:type="dxa"/>
          </w:tcPr>
          <w:p w:rsidR="00DC431D" w:rsidRPr="00C54618" w:rsidRDefault="00DC431D" w:rsidP="00904291">
            <w:pPr>
              <w:jc w:val="center"/>
              <w:rPr>
                <w:rFonts w:ascii="Times New Roman" w:hAnsi="Times New Roman" w:cs="Times New Roman"/>
                <w:sz w:val="16"/>
                <w:szCs w:val="16"/>
                <w:lang w:val="en-GB"/>
              </w:rPr>
            </w:pPr>
          </w:p>
        </w:tc>
      </w:tr>
      <w:tr w:rsidR="00DC431D" w:rsidRPr="00D54669" w:rsidTr="00CC6CAC">
        <w:tc>
          <w:tcPr>
            <w:tcW w:w="1413" w:type="dxa"/>
          </w:tcPr>
          <w:p w:rsidR="00DC431D" w:rsidRPr="002C7656" w:rsidRDefault="00DC431D" w:rsidP="00DC431D">
            <w:pPr>
              <w:jc w:val="both"/>
              <w:rPr>
                <w:rFonts w:ascii="Times New Roman" w:hAnsi="Times New Roman" w:cs="Times New Roman"/>
                <w:i/>
                <w:sz w:val="16"/>
                <w:szCs w:val="16"/>
                <w:vertAlign w:val="subscript"/>
                <w:lang w:val="en-US"/>
              </w:rPr>
            </w:pPr>
            <w:proofErr w:type="spellStart"/>
            <w:r w:rsidRPr="002C7656">
              <w:rPr>
                <w:rFonts w:ascii="Times New Roman" w:hAnsi="Times New Roman" w:cs="Times New Roman"/>
                <w:i/>
                <w:sz w:val="16"/>
                <w:szCs w:val="16"/>
                <w:lang w:val="en-US"/>
              </w:rPr>
              <w:t>p</w:t>
            </w:r>
            <w:r w:rsidRPr="002C7656">
              <w:rPr>
                <w:rFonts w:ascii="Times New Roman" w:hAnsi="Times New Roman" w:cs="Times New Roman"/>
                <w:i/>
                <w:sz w:val="16"/>
                <w:szCs w:val="16"/>
                <w:vertAlign w:val="subscript"/>
                <w:lang w:val="en-US"/>
              </w:rPr>
              <w:t>atb,m</w:t>
            </w:r>
            <w:proofErr w:type="spellEnd"/>
          </w:p>
          <w:p w:rsidR="00DC431D" w:rsidRPr="002C7656" w:rsidRDefault="00DC431D" w:rsidP="00DC431D">
            <w:pPr>
              <w:jc w:val="both"/>
              <w:rPr>
                <w:rFonts w:ascii="Times New Roman" w:hAnsi="Times New Roman" w:cs="Times New Roman"/>
                <w:i/>
                <w:sz w:val="16"/>
                <w:szCs w:val="16"/>
                <w:vertAlign w:val="subscript"/>
                <w:lang w:val="en-US"/>
              </w:rPr>
            </w:pPr>
            <w:proofErr w:type="spellStart"/>
            <w:r w:rsidRPr="002C7656">
              <w:rPr>
                <w:rFonts w:ascii="Times New Roman" w:hAnsi="Times New Roman" w:cs="Times New Roman"/>
                <w:i/>
                <w:sz w:val="16"/>
                <w:szCs w:val="16"/>
                <w:lang w:val="en-US"/>
              </w:rPr>
              <w:t>p</w:t>
            </w:r>
            <w:r w:rsidRPr="002C7656">
              <w:rPr>
                <w:rFonts w:ascii="Times New Roman" w:hAnsi="Times New Roman" w:cs="Times New Roman"/>
                <w:i/>
                <w:sz w:val="16"/>
                <w:szCs w:val="16"/>
                <w:vertAlign w:val="subscript"/>
                <w:lang w:val="en-US"/>
              </w:rPr>
              <w:t>atb,w</w:t>
            </w:r>
            <w:proofErr w:type="spellEnd"/>
          </w:p>
          <w:p w:rsidR="00DC431D" w:rsidRPr="002C7656" w:rsidRDefault="00DC431D" w:rsidP="00DC431D">
            <w:pPr>
              <w:jc w:val="both"/>
              <w:rPr>
                <w:rFonts w:ascii="Times New Roman" w:hAnsi="Times New Roman" w:cs="Times New Roman"/>
                <w:i/>
                <w:sz w:val="16"/>
                <w:szCs w:val="16"/>
                <w:vertAlign w:val="subscript"/>
                <w:lang w:val="en-US"/>
              </w:rPr>
            </w:pPr>
            <w:proofErr w:type="spellStart"/>
            <w:r w:rsidRPr="002C7656">
              <w:rPr>
                <w:rFonts w:ascii="Times New Roman" w:hAnsi="Times New Roman" w:cs="Times New Roman"/>
                <w:i/>
                <w:sz w:val="16"/>
                <w:szCs w:val="16"/>
                <w:lang w:val="en-US"/>
              </w:rPr>
              <w:t>p</w:t>
            </w:r>
            <w:r w:rsidRPr="002C7656">
              <w:rPr>
                <w:rFonts w:ascii="Times New Roman" w:hAnsi="Times New Roman" w:cs="Times New Roman"/>
                <w:i/>
                <w:sz w:val="16"/>
                <w:szCs w:val="16"/>
                <w:vertAlign w:val="subscript"/>
                <w:lang w:val="en-US"/>
              </w:rPr>
              <w:t>atb,ch</w:t>
            </w:r>
            <w:proofErr w:type="spellEnd"/>
          </w:p>
          <w:p w:rsidR="00DC431D" w:rsidRPr="00C54618" w:rsidRDefault="00DC431D" w:rsidP="00DC431D">
            <w:pPr>
              <w:jc w:val="both"/>
              <w:rPr>
                <w:rFonts w:ascii="Times New Roman" w:hAnsi="Times New Roman" w:cs="Times New Roman"/>
                <w:i/>
                <w:sz w:val="16"/>
                <w:szCs w:val="16"/>
                <w:vertAlign w:val="subscript"/>
                <w:lang w:val="en-GB"/>
              </w:rPr>
            </w:pPr>
            <w:proofErr w:type="spellStart"/>
            <w:r w:rsidRPr="00C54618">
              <w:rPr>
                <w:rFonts w:ascii="Times New Roman" w:hAnsi="Times New Roman" w:cs="Times New Roman"/>
                <w:i/>
                <w:sz w:val="16"/>
                <w:szCs w:val="16"/>
                <w:lang w:val="en-GB"/>
              </w:rPr>
              <w:t>p</w:t>
            </w:r>
            <w:r w:rsidRPr="00C54618">
              <w:rPr>
                <w:rFonts w:ascii="Times New Roman" w:hAnsi="Times New Roman" w:cs="Times New Roman"/>
                <w:i/>
                <w:sz w:val="16"/>
                <w:szCs w:val="16"/>
                <w:vertAlign w:val="subscript"/>
                <w:lang w:val="en-GB"/>
              </w:rPr>
              <w:t>atb,bb</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M</w:t>
            </w:r>
            <w:r w:rsidR="004D7625" w:rsidRPr="00C54618">
              <w:rPr>
                <w:rFonts w:ascii="Times New Roman" w:hAnsi="Times New Roman" w:cs="Times New Roman"/>
                <w:sz w:val="16"/>
                <w:szCs w:val="16"/>
                <w:lang w:val="en-GB"/>
              </w:rPr>
              <w:t>e</w:t>
            </w:r>
            <w:r w:rsidRPr="00C54618">
              <w:rPr>
                <w:rFonts w:ascii="Times New Roman" w:hAnsi="Times New Roman" w:cs="Times New Roman"/>
                <w:sz w:val="16"/>
                <w:szCs w:val="16"/>
                <w:lang w:val="en-GB"/>
              </w:rPr>
              <w:t>n</w:t>
            </w:r>
          </w:p>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Wom</w:t>
            </w:r>
            <w:r w:rsidR="004D7625" w:rsidRPr="00C54618">
              <w:rPr>
                <w:rFonts w:ascii="Times New Roman" w:hAnsi="Times New Roman" w:cs="Times New Roman"/>
                <w:sz w:val="16"/>
                <w:szCs w:val="16"/>
                <w:lang w:val="en-GB"/>
              </w:rPr>
              <w:t>e</w:t>
            </w:r>
            <w:r w:rsidRPr="00C54618">
              <w:rPr>
                <w:rFonts w:ascii="Times New Roman" w:hAnsi="Times New Roman" w:cs="Times New Roman"/>
                <w:sz w:val="16"/>
                <w:szCs w:val="16"/>
                <w:lang w:val="en-GB"/>
              </w:rPr>
              <w:t>n</w:t>
            </w:r>
          </w:p>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Children </w:t>
            </w:r>
          </w:p>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Babies </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2</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86 * 10</w:t>
            </w:r>
            <w:r w:rsidRPr="00C54618">
              <w:rPr>
                <w:rFonts w:ascii="Times New Roman" w:hAnsi="Times New Roman" w:cs="Times New Roman"/>
                <w:sz w:val="16"/>
                <w:szCs w:val="16"/>
                <w:vertAlign w:val="superscript"/>
                <w:lang w:val="en-GB"/>
              </w:rPr>
              <w:t>-3</w:t>
            </w:r>
          </w:p>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2</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86 * 10</w:t>
            </w:r>
            <w:r w:rsidRPr="00C54618">
              <w:rPr>
                <w:rFonts w:ascii="Times New Roman" w:hAnsi="Times New Roman" w:cs="Times New Roman"/>
                <w:sz w:val="16"/>
                <w:szCs w:val="16"/>
                <w:vertAlign w:val="superscript"/>
                <w:lang w:val="en-GB"/>
              </w:rPr>
              <w:t>-3</w:t>
            </w:r>
          </w:p>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5</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30 * 10</w:t>
            </w:r>
            <w:r w:rsidRPr="00C54618">
              <w:rPr>
                <w:rFonts w:ascii="Times New Roman" w:hAnsi="Times New Roman" w:cs="Times New Roman"/>
                <w:sz w:val="16"/>
                <w:szCs w:val="16"/>
                <w:vertAlign w:val="superscript"/>
                <w:lang w:val="en-GB"/>
              </w:rPr>
              <w:t>-3</w:t>
            </w:r>
          </w:p>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8</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52 * 10</w:t>
            </w:r>
            <w:r w:rsidRPr="00C54618">
              <w:rPr>
                <w:rFonts w:ascii="Times New Roman" w:hAnsi="Times New Roman" w:cs="Times New Roman"/>
                <w:sz w:val="16"/>
                <w:szCs w:val="16"/>
                <w:vertAlign w:val="superscript"/>
                <w:lang w:val="en-GB"/>
              </w:rPr>
              <w:t>-3</w:t>
            </w:r>
          </w:p>
        </w:tc>
        <w:tc>
          <w:tcPr>
            <w:tcW w:w="1354"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EQKw1giG","properties":{"formattedCitation":"[2]","plainCitation":"[2]"},"citationItems":[{"id":876,"uris":["http://zotero.org/users/local/hjvuTSYk/items/NBQB7C8Q"],"uri":["http://zotero.org/users/local/hjvuTSYk/items/NBQB7C8Q"],"itemData":{"id":876,"type":"article-journal","title":"Significant reduction of antibiotic use in the community after a nationwide campaign in France, 2002-2007","container-title":"PLoS medicine","page":"e1000084","volume":"6","issue":"6","source":"PubMed","abstract":"BACKGROUND: Overuse of antibiotics is the main force driving the emergence and dissemination of bacterial resistance in the community. France consumes more antibiotics and has the highest rate of beta-lactam resistance in Streptococcus pneumoniae than any other European country. In 2001, the government initiated \"Keep Antibiotics Working\"; the program's main component was a campaign entitled \"Les antibiotiques c'est pas automatique\" (\"Antibiotics are not automatic\") launched in 2002. We report the evaluation of this campaign by analyzing the evolution of outpatient antibiotic use in France 2000-2007, according to therapeutic class and geographic and age-group patterns.\nMETHODS AND FINDINGS: This evaluation is based on 2000-2007 data, including 453,407,458 individual reimbursement data records and incidence of flu-like syndromes (FLSs). Data were obtained from the computerized French National Health Insurance database and provided by the French Sentinel Network. As compared to the preintervention period (2000-2002), the total number of antibiotic prescriptions per 100 inhabitants, adjusted for FLS frequency during the winter season, changed by -26.5% (95% confidence interval [CI] -33.5% to -19.6%) over 5 years. The decline occurred in all 22 regions of France and affected all antibiotic therapeutic classes except quinolones. The greatest decrease, -35.8% (95% CI -48.3% to -23.2%), was observed among young children aged 6-15 years. A significant change of -45% in the relationship between the incidence of flu-like syndromes and antibiotic prescriptions was observed.\nCONCLUSIONS: The French national campaign was associated with a marked reduction of unnecessary antibiotic prescriptions, particularly in children. This study provides a useful method for assessing public-health strategies designed to reduce antibiotic use.","DOI":"10.1371/journal.pmed.1000084","ISSN":"1549-1676","note":"PMID: 19492093\nPMCID: PMC2683932","journalAbbreviation":"PLoS Med.","language":"eng","author":[{"family":"Sabuncu","given":"Elifsu"},{"family":"David","given":"Julie"},{"family":"Bernède-Bauduin","given":"Claire"},{"family":"Pépin","given":"Sophie"},{"family":"Leroy","given":"Michel"},{"family":"Boëlle","given":"Pierre-Yves"},{"family":"Watier","given":"Laurence"},{"family":"Guillemot","given":"Didier"}],"issued":{"date-parts":[["2009",6,2]]},"PMID":"19492093","PMCID":"PMC2683932"}}],"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[2]</w:t>
            </w:r>
            <w:r w:rsidRPr="00C54618">
              <w:rPr>
                <w:rFonts w:ascii="Times New Roman" w:hAnsi="Times New Roman" w:cs="Times New Roman"/>
                <w:sz w:val="16"/>
                <w:szCs w:val="16"/>
                <w:lang w:val="en-GB"/>
              </w:rPr>
              <w:fldChar w:fldCharType="end"/>
            </w:r>
            <w:r w:rsidRPr="00C54618">
              <w:rPr>
                <w:rFonts w:ascii="Times New Roman" w:hAnsi="Times New Roman" w:cs="Times New Roman"/>
                <w:sz w:val="16"/>
                <w:szCs w:val="16"/>
                <w:lang w:val="en-GB"/>
              </w:rPr>
              <w:t xml:space="preserve"> </w:t>
            </w:r>
          </w:p>
        </w:tc>
        <w:tc>
          <w:tcPr>
            <w:tcW w:w="2544" w:type="dxa"/>
          </w:tcPr>
          <w:p w:rsidR="00DC431D" w:rsidRPr="00C54618" w:rsidRDefault="00DC431D" w:rsidP="00904291">
            <w:pPr>
              <w:jc w:val="center"/>
              <w:rPr>
                <w:rFonts w:ascii="Times New Roman" w:hAnsi="Times New Roman" w:cs="Times New Roman"/>
                <w:sz w:val="16"/>
                <w:szCs w:val="16"/>
                <w:vertAlign w:val="superscript"/>
                <w:lang w:val="en-GB"/>
              </w:rPr>
            </w:pPr>
            <w:r w:rsidRPr="00C54618">
              <w:rPr>
                <w:rFonts w:ascii="Times New Roman" w:hAnsi="Times New Roman" w:cs="Times New Roman"/>
                <w:sz w:val="16"/>
                <w:szCs w:val="16"/>
                <w:lang w:val="en-GB"/>
              </w:rPr>
              <w:t>1</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w:t>
            </w:r>
            <w:r w:rsidR="00904291" w:rsidRPr="00C54618">
              <w:rPr>
                <w:rFonts w:ascii="Times New Roman" w:hAnsi="Times New Roman" w:cs="Times New Roman"/>
                <w:sz w:val="16"/>
                <w:szCs w:val="16"/>
                <w:lang w:val="en-GB"/>
              </w:rPr>
              <w:t>0</w:t>
            </w:r>
            <w:r w:rsidRPr="00C54618">
              <w:rPr>
                <w:rFonts w:ascii="Times New Roman" w:hAnsi="Times New Roman" w:cs="Times New Roman"/>
                <w:sz w:val="16"/>
                <w:szCs w:val="16"/>
                <w:lang w:val="en-GB"/>
              </w:rPr>
              <w:t>* 10</w:t>
            </w:r>
            <w:r w:rsidRPr="00C54618">
              <w:rPr>
                <w:rFonts w:ascii="Times New Roman" w:hAnsi="Times New Roman" w:cs="Times New Roman"/>
                <w:sz w:val="16"/>
                <w:szCs w:val="16"/>
                <w:vertAlign w:val="superscript"/>
                <w:lang w:val="en-GB"/>
              </w:rPr>
              <w:t xml:space="preserve">-3 </w:t>
            </w:r>
            <w:r w:rsidRPr="00C54618">
              <w:rPr>
                <w:rFonts w:ascii="Times New Roman" w:hAnsi="Times New Roman" w:cs="Times New Roman"/>
                <w:sz w:val="16"/>
                <w:szCs w:val="16"/>
                <w:lang w:val="en-GB"/>
              </w:rPr>
              <w:t>– 4</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 10</w:t>
            </w:r>
            <w:r w:rsidRPr="00C54618">
              <w:rPr>
                <w:rFonts w:ascii="Times New Roman" w:hAnsi="Times New Roman" w:cs="Times New Roman"/>
                <w:sz w:val="16"/>
                <w:szCs w:val="16"/>
                <w:vertAlign w:val="superscript"/>
                <w:lang w:val="en-GB"/>
              </w:rPr>
              <w:t>-3</w:t>
            </w:r>
          </w:p>
          <w:p w:rsidR="00DC431D" w:rsidRPr="00C54618" w:rsidRDefault="00DC431D" w:rsidP="00904291">
            <w:pPr>
              <w:jc w:val="center"/>
              <w:rPr>
                <w:rFonts w:ascii="Times New Roman" w:hAnsi="Times New Roman" w:cs="Times New Roman"/>
                <w:sz w:val="16"/>
                <w:szCs w:val="16"/>
                <w:vertAlign w:val="superscript"/>
                <w:lang w:val="en-GB"/>
              </w:rPr>
            </w:pPr>
            <w:r w:rsidRPr="00C54618">
              <w:rPr>
                <w:rFonts w:ascii="Times New Roman" w:hAnsi="Times New Roman" w:cs="Times New Roman"/>
                <w:sz w:val="16"/>
                <w:szCs w:val="16"/>
                <w:lang w:val="en-GB"/>
              </w:rPr>
              <w:t>1</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w:t>
            </w:r>
            <w:r w:rsidR="00904291" w:rsidRPr="00C54618">
              <w:rPr>
                <w:rFonts w:ascii="Times New Roman" w:hAnsi="Times New Roman" w:cs="Times New Roman"/>
                <w:sz w:val="16"/>
                <w:szCs w:val="16"/>
                <w:lang w:val="en-GB"/>
              </w:rPr>
              <w:t>0</w:t>
            </w:r>
            <w:r w:rsidRPr="00C54618">
              <w:rPr>
                <w:rFonts w:ascii="Times New Roman" w:hAnsi="Times New Roman" w:cs="Times New Roman"/>
                <w:sz w:val="16"/>
                <w:szCs w:val="16"/>
                <w:lang w:val="en-GB"/>
              </w:rPr>
              <w:t>* 10</w:t>
            </w:r>
            <w:r w:rsidRPr="00C54618">
              <w:rPr>
                <w:rFonts w:ascii="Times New Roman" w:hAnsi="Times New Roman" w:cs="Times New Roman"/>
                <w:sz w:val="16"/>
                <w:szCs w:val="16"/>
                <w:vertAlign w:val="superscript"/>
                <w:lang w:val="en-GB"/>
              </w:rPr>
              <w:t xml:space="preserve">-3 </w:t>
            </w:r>
            <w:r w:rsidRPr="00C54618">
              <w:rPr>
                <w:rFonts w:ascii="Times New Roman" w:hAnsi="Times New Roman" w:cs="Times New Roman"/>
                <w:sz w:val="16"/>
                <w:szCs w:val="16"/>
                <w:lang w:val="en-GB"/>
              </w:rPr>
              <w:t>– 4</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 10</w:t>
            </w:r>
            <w:r w:rsidRPr="00C54618">
              <w:rPr>
                <w:rFonts w:ascii="Times New Roman" w:hAnsi="Times New Roman" w:cs="Times New Roman"/>
                <w:sz w:val="16"/>
                <w:szCs w:val="16"/>
                <w:vertAlign w:val="superscript"/>
                <w:lang w:val="en-GB"/>
              </w:rPr>
              <w:t>-3</w:t>
            </w:r>
          </w:p>
          <w:p w:rsidR="00DC431D" w:rsidRPr="00C54618" w:rsidRDefault="00904291"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   </w:t>
            </w:r>
            <w:r w:rsidR="00DC431D" w:rsidRPr="00C54618">
              <w:rPr>
                <w:rFonts w:ascii="Times New Roman" w:hAnsi="Times New Roman" w:cs="Times New Roman"/>
                <w:sz w:val="16"/>
                <w:szCs w:val="16"/>
                <w:lang w:val="en-GB"/>
              </w:rPr>
              <w:t>2</w:t>
            </w:r>
            <w:r w:rsidR="002C7656">
              <w:rPr>
                <w:rFonts w:ascii="Times New Roman" w:hAnsi="Times New Roman" w:cs="Times New Roman"/>
                <w:sz w:val="16"/>
                <w:szCs w:val="16"/>
                <w:lang w:val="en-GB"/>
              </w:rPr>
              <w:t>.</w:t>
            </w:r>
            <w:r w:rsidR="00DC431D" w:rsidRPr="00C54618">
              <w:rPr>
                <w:rFonts w:ascii="Times New Roman" w:hAnsi="Times New Roman" w:cs="Times New Roman"/>
                <w:sz w:val="16"/>
                <w:szCs w:val="16"/>
                <w:lang w:val="en-GB"/>
              </w:rPr>
              <w:t>65* 10</w:t>
            </w:r>
            <w:r w:rsidR="00DC431D" w:rsidRPr="00C54618">
              <w:rPr>
                <w:rFonts w:ascii="Times New Roman" w:hAnsi="Times New Roman" w:cs="Times New Roman"/>
                <w:sz w:val="16"/>
                <w:szCs w:val="16"/>
                <w:vertAlign w:val="superscript"/>
                <w:lang w:val="en-GB"/>
              </w:rPr>
              <w:t>-3</w:t>
            </w:r>
            <w:r w:rsidR="00DC431D" w:rsidRPr="00C54618">
              <w:rPr>
                <w:rFonts w:ascii="Times New Roman" w:hAnsi="Times New Roman" w:cs="Times New Roman"/>
                <w:sz w:val="16"/>
                <w:szCs w:val="16"/>
                <w:lang w:val="en-GB"/>
              </w:rPr>
              <w:t xml:space="preserve"> </w:t>
            </w:r>
            <w:r w:rsidRPr="00C54618">
              <w:rPr>
                <w:rFonts w:ascii="Times New Roman" w:hAnsi="Times New Roman" w:cs="Times New Roman"/>
                <w:sz w:val="16"/>
                <w:szCs w:val="16"/>
                <w:lang w:val="en-GB"/>
              </w:rPr>
              <w:t>–</w:t>
            </w:r>
            <w:r w:rsidR="00DC431D" w:rsidRPr="00C54618">
              <w:rPr>
                <w:rFonts w:ascii="Times New Roman" w:hAnsi="Times New Roman" w:cs="Times New Roman"/>
                <w:sz w:val="16"/>
                <w:szCs w:val="16"/>
                <w:lang w:val="en-GB"/>
              </w:rPr>
              <w:t>7</w:t>
            </w:r>
            <w:r w:rsidR="002C7656">
              <w:rPr>
                <w:rFonts w:ascii="Times New Roman" w:hAnsi="Times New Roman" w:cs="Times New Roman"/>
                <w:sz w:val="16"/>
                <w:szCs w:val="16"/>
                <w:lang w:val="en-GB"/>
              </w:rPr>
              <w:t>.</w:t>
            </w:r>
            <w:r w:rsidR="00DC431D" w:rsidRPr="00C54618">
              <w:rPr>
                <w:rFonts w:ascii="Times New Roman" w:hAnsi="Times New Roman" w:cs="Times New Roman"/>
                <w:sz w:val="16"/>
                <w:szCs w:val="16"/>
                <w:lang w:val="en-GB"/>
              </w:rPr>
              <w:t>95* 10</w:t>
            </w:r>
            <w:r w:rsidR="00DC431D" w:rsidRPr="00C54618">
              <w:rPr>
                <w:rFonts w:ascii="Times New Roman" w:hAnsi="Times New Roman" w:cs="Times New Roman"/>
                <w:sz w:val="16"/>
                <w:szCs w:val="16"/>
                <w:vertAlign w:val="superscript"/>
                <w:lang w:val="en-GB"/>
              </w:rPr>
              <w:t>-3</w:t>
            </w:r>
          </w:p>
          <w:p w:rsidR="00DC431D" w:rsidRPr="00C54618" w:rsidRDefault="00904291"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  </w:t>
            </w:r>
            <w:r w:rsidR="00DC431D" w:rsidRPr="00C54618">
              <w:rPr>
                <w:rFonts w:ascii="Times New Roman" w:hAnsi="Times New Roman" w:cs="Times New Roman"/>
                <w:sz w:val="16"/>
                <w:szCs w:val="16"/>
                <w:lang w:val="en-GB"/>
              </w:rPr>
              <w:t>4</w:t>
            </w:r>
            <w:r w:rsidR="002C7656">
              <w:rPr>
                <w:rFonts w:ascii="Times New Roman" w:hAnsi="Times New Roman" w:cs="Times New Roman"/>
                <w:sz w:val="16"/>
                <w:szCs w:val="16"/>
                <w:lang w:val="en-GB"/>
              </w:rPr>
              <w:t>.</w:t>
            </w:r>
            <w:r w:rsidR="00DC431D" w:rsidRPr="00C54618">
              <w:rPr>
                <w:rFonts w:ascii="Times New Roman" w:hAnsi="Times New Roman" w:cs="Times New Roman"/>
                <w:sz w:val="16"/>
                <w:szCs w:val="16"/>
                <w:lang w:val="en-GB"/>
              </w:rPr>
              <w:t>26* 10</w:t>
            </w:r>
            <w:r w:rsidR="00DC431D" w:rsidRPr="00C54618">
              <w:rPr>
                <w:rFonts w:ascii="Times New Roman" w:hAnsi="Times New Roman" w:cs="Times New Roman"/>
                <w:sz w:val="16"/>
                <w:szCs w:val="16"/>
                <w:vertAlign w:val="superscript"/>
                <w:lang w:val="en-GB"/>
              </w:rPr>
              <w:t>-3</w:t>
            </w:r>
            <w:r w:rsidRPr="00C54618">
              <w:rPr>
                <w:rFonts w:ascii="Times New Roman" w:hAnsi="Times New Roman" w:cs="Times New Roman"/>
                <w:sz w:val="16"/>
                <w:szCs w:val="16"/>
                <w:vertAlign w:val="superscript"/>
                <w:lang w:val="en-GB"/>
              </w:rPr>
              <w:t xml:space="preserve"> </w:t>
            </w:r>
            <w:r w:rsidRPr="00C54618">
              <w:rPr>
                <w:rFonts w:ascii="Times New Roman" w:hAnsi="Times New Roman" w:cs="Times New Roman"/>
                <w:sz w:val="16"/>
                <w:szCs w:val="16"/>
                <w:lang w:val="en-GB"/>
              </w:rPr>
              <w:t xml:space="preserve">– </w:t>
            </w:r>
            <w:r w:rsidR="00DC431D" w:rsidRPr="00C54618">
              <w:rPr>
                <w:rFonts w:ascii="Times New Roman" w:hAnsi="Times New Roman" w:cs="Times New Roman"/>
                <w:sz w:val="16"/>
                <w:szCs w:val="16"/>
                <w:lang w:val="en-GB"/>
              </w:rPr>
              <w:t>1</w:t>
            </w:r>
            <w:r w:rsidR="002C7656">
              <w:rPr>
                <w:rFonts w:ascii="Times New Roman" w:hAnsi="Times New Roman" w:cs="Times New Roman"/>
                <w:sz w:val="16"/>
                <w:szCs w:val="16"/>
                <w:lang w:val="en-GB"/>
              </w:rPr>
              <w:t>.</w:t>
            </w:r>
            <w:r w:rsidR="00DC431D" w:rsidRPr="00C54618">
              <w:rPr>
                <w:rFonts w:ascii="Times New Roman" w:hAnsi="Times New Roman" w:cs="Times New Roman"/>
                <w:sz w:val="16"/>
                <w:szCs w:val="16"/>
                <w:lang w:val="en-GB"/>
              </w:rPr>
              <w:t>28* 10</w:t>
            </w:r>
            <w:r w:rsidR="00DC431D" w:rsidRPr="00C54618">
              <w:rPr>
                <w:rFonts w:ascii="Times New Roman" w:hAnsi="Times New Roman" w:cs="Times New Roman"/>
                <w:sz w:val="16"/>
                <w:szCs w:val="16"/>
                <w:vertAlign w:val="superscript"/>
                <w:lang w:val="en-GB"/>
              </w:rPr>
              <w:t>-2</w:t>
            </w:r>
          </w:p>
        </w:tc>
      </w:tr>
      <w:tr w:rsidR="00DC431D" w:rsidRPr="00D54669"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d</w:t>
            </w:r>
            <w:r w:rsidRPr="00C54618">
              <w:rPr>
                <w:rFonts w:ascii="Times New Roman" w:hAnsi="Times New Roman" w:cs="Times New Roman"/>
                <w:i/>
                <w:sz w:val="16"/>
                <w:szCs w:val="16"/>
                <w:vertAlign w:val="subscript"/>
                <w:lang w:val="en-GB"/>
              </w:rPr>
              <w:t>atb</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Duration of treatment (days)</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6</w:t>
            </w:r>
          </w:p>
        </w:tc>
        <w:tc>
          <w:tcPr>
            <w:tcW w:w="1354"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16qltequad","properties":{"formattedCitation":"[3]","plainCitation":"[3]"},"citationItems":[{"id":606,"uris":["http://zotero.org/users/local/hjvuTSYk/items/T2S2PPSW"],"uri":["http://zotero.org/users/local/hjvuTSYk/items/T2S2PPSW"],"itemData":{"id":606,"type":"webpage","title":"L’évolution des consommations  d’antibiotiques en France  entre 2000 et 2015","URL":"https://ansm.sante.fr/var/ansm_site/storage/original/application/188a6b5cf9cde90848ae9e3419bc3d3f.pdf","author":[{"literal":"ANSM"}],"issued":{"date-parts":[["2017"]]},"accessed":{"date-parts":[["2019",1,15]]}}}],"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[3]</w:t>
            </w:r>
            <w:r w:rsidRPr="00C54618">
              <w:rPr>
                <w:rFonts w:ascii="Times New Roman" w:hAnsi="Times New Roman" w:cs="Times New Roman"/>
                <w:sz w:val="16"/>
                <w:szCs w:val="16"/>
                <w:lang w:val="en-GB"/>
              </w:rPr>
              <w:fldChar w:fldCharType="end"/>
            </w:r>
          </w:p>
        </w:tc>
        <w:tc>
          <w:tcPr>
            <w:tcW w:w="2544" w:type="dxa"/>
          </w:tcPr>
          <w:p w:rsidR="00DC431D"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5-8 </w:t>
            </w: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NVWeGF1f","properties":{"formattedCitation":"[3]","plainCitation":"[3]"},"citationItems":[{"id":606,"uris":["http://zotero.org/users/local/hjvuTSYk/items/T2S2PPSW"],"uri":["http://zotero.org/users/local/hjvuTSYk/items/T2S2PPSW"],"itemData":{"id":606,"type":"webpage","title":"L’évolution des consommations  d’antibiotiques en France  entre 2000 et 2015","URL":"https://ansm.sante.fr/var/ansm_site/storage/original/application/188a6b5cf9cde90848ae9e3419bc3d3f.pdf","author":[{"literal":"ANSM"}],"issued":{"date-parts":[["2017"]]},"accessed":{"date-parts":[["2019",1,15]]}}}],"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[3]</w:t>
            </w:r>
            <w:r w:rsidRPr="00C54618">
              <w:rPr>
                <w:rFonts w:ascii="Times New Roman" w:hAnsi="Times New Roman" w:cs="Times New Roman"/>
                <w:sz w:val="16"/>
                <w:szCs w:val="16"/>
                <w:lang w:val="en-GB"/>
              </w:rPr>
              <w:fldChar w:fldCharType="end"/>
            </w:r>
          </w:p>
        </w:tc>
      </w:tr>
      <w:tr w:rsidR="00DC431D" w:rsidRPr="002C7656" w:rsidTr="00CC6CAC">
        <w:tc>
          <w:tcPr>
            <w:tcW w:w="1413" w:type="dxa"/>
            <w:shd w:val="clear" w:color="auto" w:fill="F2F2F2" w:themeFill="background1" w:themeFillShade="F2"/>
          </w:tcPr>
          <w:p w:rsidR="00DC431D" w:rsidRPr="00C54618" w:rsidRDefault="00DC431D" w:rsidP="00DC431D">
            <w:pPr>
              <w:rPr>
                <w:rFonts w:ascii="Times New Roman" w:hAnsi="Times New Roman" w:cs="Times New Roman"/>
                <w:b/>
                <w:i/>
                <w:sz w:val="16"/>
                <w:szCs w:val="16"/>
                <w:lang w:val="en-GB"/>
              </w:rPr>
            </w:pPr>
          </w:p>
        </w:tc>
        <w:tc>
          <w:tcPr>
            <w:tcW w:w="3865" w:type="dxa"/>
            <w:shd w:val="clear" w:color="auto" w:fill="F2F2F2" w:themeFill="background1" w:themeFillShade="F2"/>
          </w:tcPr>
          <w:p w:rsidR="00DC431D" w:rsidRPr="00C54618" w:rsidRDefault="00DC431D" w:rsidP="00DC431D">
            <w:pPr>
              <w:rPr>
                <w:rFonts w:ascii="Times New Roman" w:hAnsi="Times New Roman" w:cs="Times New Roman"/>
                <w:b/>
                <w:sz w:val="16"/>
                <w:szCs w:val="16"/>
                <w:lang w:val="en-GB"/>
              </w:rPr>
            </w:pPr>
            <w:r w:rsidRPr="00C54618">
              <w:rPr>
                <w:rFonts w:ascii="Times New Roman" w:hAnsi="Times New Roman" w:cs="Times New Roman"/>
                <w:b/>
                <w:sz w:val="16"/>
                <w:szCs w:val="16"/>
                <w:lang w:val="en-GB"/>
              </w:rPr>
              <w:t>Contamination during person-to-person contact</w:t>
            </w:r>
          </w:p>
        </w:tc>
        <w:tc>
          <w:tcPr>
            <w:tcW w:w="1309" w:type="dxa"/>
            <w:shd w:val="clear" w:color="auto" w:fill="F2F2F2" w:themeFill="background1" w:themeFillShade="F2"/>
          </w:tcPr>
          <w:p w:rsidR="00DC431D" w:rsidRPr="00C54618" w:rsidRDefault="00DC431D" w:rsidP="00DC431D">
            <w:pPr>
              <w:jc w:val="center"/>
              <w:rPr>
                <w:rFonts w:ascii="Times New Roman" w:hAnsi="Times New Roman" w:cs="Times New Roman"/>
                <w:sz w:val="16"/>
                <w:szCs w:val="16"/>
                <w:lang w:val="en-GB"/>
              </w:rPr>
            </w:pPr>
          </w:p>
        </w:tc>
        <w:tc>
          <w:tcPr>
            <w:tcW w:w="1354" w:type="dxa"/>
            <w:shd w:val="clear" w:color="auto" w:fill="F2F2F2" w:themeFill="background1" w:themeFillShade="F2"/>
          </w:tcPr>
          <w:p w:rsidR="00DC431D" w:rsidRPr="00C54618" w:rsidRDefault="00DC431D" w:rsidP="00DC431D">
            <w:pPr>
              <w:jc w:val="both"/>
              <w:rPr>
                <w:rFonts w:ascii="Times New Roman" w:hAnsi="Times New Roman" w:cs="Times New Roman"/>
                <w:sz w:val="16"/>
                <w:szCs w:val="16"/>
                <w:lang w:val="en-GB"/>
              </w:rPr>
            </w:pPr>
          </w:p>
        </w:tc>
        <w:tc>
          <w:tcPr>
            <w:tcW w:w="2544" w:type="dxa"/>
            <w:shd w:val="clear" w:color="auto" w:fill="F2F2F2" w:themeFill="background1" w:themeFillShade="F2"/>
          </w:tcPr>
          <w:p w:rsidR="00DC431D" w:rsidRPr="00C54618" w:rsidRDefault="00DC431D" w:rsidP="00904291">
            <w:pPr>
              <w:jc w:val="center"/>
              <w:rPr>
                <w:rFonts w:ascii="Times New Roman" w:hAnsi="Times New Roman" w:cs="Times New Roman"/>
                <w:sz w:val="16"/>
                <w:szCs w:val="16"/>
                <w:lang w:val="en-GB"/>
              </w:rPr>
            </w:pPr>
          </w:p>
        </w:tc>
      </w:tr>
      <w:tr w:rsidR="00DC431D" w:rsidRPr="00D54669"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p</w:t>
            </w:r>
            <w:r w:rsidRPr="00C54618">
              <w:rPr>
                <w:rFonts w:ascii="Times New Roman" w:hAnsi="Times New Roman" w:cs="Times New Roman"/>
                <w:i/>
                <w:sz w:val="16"/>
                <w:szCs w:val="16"/>
                <w:vertAlign w:val="subscript"/>
                <w:lang w:val="en-GB"/>
              </w:rPr>
              <w:t>tr</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Probability of transmission (per contact)</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1</w:t>
            </w:r>
          </w:p>
        </w:tc>
        <w:tc>
          <w:tcPr>
            <w:tcW w:w="1354" w:type="dxa"/>
          </w:tcPr>
          <w:p w:rsidR="00DC431D" w:rsidRPr="00C54618" w:rsidRDefault="00DC431D" w:rsidP="00DC431D">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XH7jcqjI","properties":{"formattedCitation":"[4,5]","plainCitation":"[4,5]"},"citationItems":[{"id":878,"uris":["http://zotero.org/users/local/hjvuTSYk/items/VGHAEANS"],"uri":["http://zotero.org/users/local/hjvuTSYk/items/VGHAEANS"],"itemData":{"id":878,"type":"article-journal","title":"Dynamics of bacterial hand contamination during routine neonatal care","container-title":"Infection Control and Hospital Epidemiology","page":"192-197","volume":"25","issue":"3","source":"PubMed","abstract":"OBJECTIVE: To evaluate the dynamics of bacterial contamination of healthcare workers' (HCWs) hands during neonatal care.\nSETTING: The 20-bed neonatal unit of a large acute care teaching hospital in Geneva, Switzerland.\nMETHODS: Structured observation sessions were conducted. A sequence of care began when the HCW performed hand hygiene and ended when the activity changed or hand hygiene was performed again. Alcohol-based handrub was the standard procedure for hand hygiene. An imprint of the five fingertips of the dominant hand was obtained before and after hand hygiene and at the end of a sequence of care. Regression methods were used to model the final bacterial count according to the type and duration of care and the use of gloves.\nRESULTS: One hundred forty-nine sequences of care were observed. Commensal skin flora comprised 72.4% of all culture-positive specimens (n = 360). Other microorganisms identified were Enterobacteriaceae (n = 55, 13.8%); Staphylococcus aureus (n = 10, 2.5%); and fungi (n = 7, 1.8%). Skin contact, respiratory care, and diaper change were independently associated with an increased bacterial count; the use of gloves did not fully protect HCWs' hands from bacterial contamination.\nCONCLUSIONS: These data confirm that hands become progressively contaminated with commensal flora and potential pathogens during neonatal care, and identify activities at higher risk for hand contamination. They also reinforce the need for hand hygiene after a sequence of care, before starting a different task, and after glove removal.","DOI":"10.1086/502376","ISSN":"0899-823X","note":"PMID: 15061408","journalAbbreviation":"Infect Control Hosp Epidemiol","language":"eng","author":[{"family":"Pessoa-Silva","given":"Carmem Lúcia"},{"family":"Dharan","given":"Sasi"},{"family":"Hugonnet","given":"Stéphane"},{"family":"Touveneau","given":"Sylvie"},{"family":"Posfay-Barbe","given":"Klara"},{"family":"Pfister","given":"Riccardo"},{"family":"Pittet","given":"Didier"}],"issued":{"date-parts":[["2004",3]]},"PMID":"15061408"}},{"id":882,"uris":["http://zotero.org/users/local/hjvuTSYk/items/P5VPE8BU"],"uri":["http://zotero.org/users/local/hjvuTSYk/items/P5VPE8BU"],"itemData":{"id":882,"type":"article-journal","title":"Assessing the Likelihood of Hand-to-Hand Cross-Transmission of Bacteria: An Experimental Study","container-title":"Infection Control and Hospital Epidemiology","page":"553-558","volume":"38","issue":"5","source":"PubMed","abstract":"BACKGROUND Although the hands of healthcare workers (HCWs) are implicated in most episodes of healthcare-associated infections, the correlation between hand contamination and the likelihood of cross-transmission remains unknown. METHODS We conducted a laboratory-based study involving pairs of HCWs. The hands of a HCW (transmitter) were contaminated with Escherichia coli ATCC 10536 before holding hands with another HCW (host) for 1 minute. Meanwhile, the unheld hand of the transmitter was sampled. Afterward, the host's held hand was also sampled. Each experiment consisted of 4 trials with increasing concentrations of E. coli (103-106 colony-forming units [cfu]/mL). The primary outcome was the likelihood of transmission of at least 1 cfu from transmitter to host. We used a mixed logistic regression model with a random effect on the subject to assess the association between transmission and bacterial count on the transmitter's hands. RESULTS In total, 6 HCWs performed 30 experiments and 120 trials. The bacterial counts recovered from host hands were directly associated with the bacterial counts on transmitter hands (P1 and ≤3 log10 cfu compared to ≤1 log10. When transmitter contamination was &lt;1 log10 cfu, no cross-transmission was detected. CONCLUSION There is a direct relationship between the bacterial burden on HCWs hands and the likelihood of cross-transmission. Under the described conditions, at least 1 log10 cfu must be present on HCW hands to be potentially transmitted. Further studies are needed at the low contamination range. Infect Control Hosp Epidemiol 2017;38:553-558.","DOI":"10.1017/ice.2017.9","ISSN":"1559-6834","note":"PMID: 28222829","shortTitle":"Assessing the Likelihood of Hand-to-Hand Cross-Transmission of Bacteria","journalAbbreviation":"Infect Control Hosp Epidemiol","language":"eng","author":[{"family":"Bellissimo-Rodrigues","given":"Fernando"},{"family":"Pires","given":"Daniela"},{"family":"Soule","given":"Hervé"},{"family":"Gayet-Ageron","given":"Angèle"},{"family":"Pittet","given":"Didier"}],"issued":{"date-parts":[["2017"]]},"PMID":"28222829"}}],"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[4,5]</w:t>
            </w:r>
            <w:r w:rsidRPr="00C54618">
              <w:rPr>
                <w:rFonts w:ascii="Times New Roman" w:hAnsi="Times New Roman" w:cs="Times New Roman"/>
                <w:sz w:val="16"/>
                <w:szCs w:val="16"/>
                <w:lang w:val="en-GB"/>
              </w:rPr>
              <w:fldChar w:fldCharType="end"/>
            </w:r>
          </w:p>
        </w:tc>
        <w:tc>
          <w:tcPr>
            <w:tcW w:w="2544" w:type="dxa"/>
          </w:tcPr>
          <w:p w:rsidR="00DC431D"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05- 0</w:t>
            </w:r>
            <w:r w:rsidR="002C7656">
              <w:rPr>
                <w:rFonts w:ascii="Times New Roman" w:hAnsi="Times New Roman" w:cs="Times New Roman"/>
                <w:sz w:val="16"/>
                <w:szCs w:val="16"/>
                <w:lang w:val="en-GB"/>
              </w:rPr>
              <w:t>.</w:t>
            </w:r>
            <w:r w:rsidR="00EE68D1" w:rsidRPr="00C54618">
              <w:rPr>
                <w:rFonts w:ascii="Times New Roman" w:hAnsi="Times New Roman" w:cs="Times New Roman"/>
                <w:sz w:val="16"/>
                <w:szCs w:val="16"/>
                <w:lang w:val="en-GB"/>
              </w:rPr>
              <w:t>3</w:t>
            </w:r>
            <w:r w:rsidRPr="00C54618">
              <w:rPr>
                <w:rFonts w:ascii="Times New Roman" w:hAnsi="Times New Roman" w:cs="Times New Roman"/>
                <w:sz w:val="16"/>
                <w:szCs w:val="16"/>
                <w:lang w:val="en-GB"/>
              </w:rPr>
              <w:t>5</w:t>
            </w:r>
            <w:r w:rsidR="00EE68D1"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krf73ywx","properties":{"formattedCitation":"[4,5]","plainCitation":"[4,5]"},"citationItems":[{"id":878,"uris":["http://zotero.org/users/local/hjvuTSYk/items/VGHAEANS"],"uri":["http://zotero.org/users/local/hjvuTSYk/items/VGHAEANS"],"itemData":{"id":878,"type":"article-journal","title":"Dynamics of bacterial hand contamination during routine neonatal care","container-title":"Infection Control and Hospital Epidemiology","page":"192-197","volume":"25","issue":"3","source":"PubMed","abstract":"OBJECTIVE: To evaluate the dynamics of bacterial contamination of healthcare workers' (HCWs) hands during neonatal care.\nSETTING: The 20-bed neonatal unit of a large acute care teaching hospital in Geneva, Switzerland.\nMETHODS: Structured observation sessions were conducted. A sequence of care began when the HCW performed hand hygiene and ended when the activity changed or hand hygiene was performed again. Alcohol-based handrub was the standard procedure for hand hygiene. An imprint of the five fingertips of the dominant hand was obtained before and after hand hygiene and at the end of a sequence of care. Regression methods were used to model the final bacterial count according to the type and duration of care and the use of gloves.\nRESULTS: One hundred forty-nine sequences of care were observed. Commensal skin flora comprised 72.4% of all culture-positive specimens (n = 360). Other microorganisms identified were Enterobacteriaceae (n = 55, 13.8%); Staphylococcus aureus (n = 10, 2.5%); and fungi (n = 7, 1.8%). Skin contact, respiratory care, and diaper change were independently associated with an increased bacterial count; the use of gloves did not fully protect HCWs' hands from bacterial contamination.\nCONCLUSIONS: These data confirm that hands become progressively contaminated with commensal flora and potential pathogens during neonatal care, and identify activities at higher risk for hand contamination. They also reinforce the need for hand hygiene after a sequence of care, before starting a different task, and after glove removal.","DOI":"10.1086/502376","ISSN":"0899-823X","note":"PMID: 15061408","journalAbbreviation":"Infect Control Hosp Epidemiol","language":"eng","author":[{"family":"Pessoa-Silva","given":"Carmem Lúcia"},{"family":"Dharan","given":"Sasi"},{"family":"Hugonnet","given":"Stéphane"},{"family":"Touveneau","given":"Sylvie"},{"family":"Posfay-Barbe","given":"Klara"},{"family":"Pfister","given":"Riccardo"},{"family":"Pittet","given":"Didier"}],"issued":{"date-parts":[["2004",3]]},"PMID":"15061408"}},{"id":882,"uris":["http://zotero.org/users/local/hjvuTSYk/items/P5VPE8BU"],"uri":["http://zotero.org/users/local/hjvuTSYk/items/P5VPE8BU"],"itemData":{"id":882,"type":"article-journal","title":"Assessing the Likelihood of Hand-to-Hand Cross-Transmission of Bacteria: An Experimental Study","container-title":"Infection Control and Hospital Epidemiology","page":"553-558","volume":"38","issue":"5","source":"PubMed","abstract":"BACKGROUND Although the hands of healthcare workers (HCWs) are implicated in most episodes of healthcare-associated infections, the correlation between hand contamination and the likelihood of cross-transmission remains unknown. METHODS We conducted a laboratory-based study involving pairs of HCWs. The hands of a HCW (transmitter) were contaminated with Escherichia coli ATCC 10536 before holding hands with another HCW (host) for 1 minute. Meanwhile, the unheld hand of the transmitter was sampled. Afterward, the host's held hand was also sampled. Each experiment consisted of 4 trials with increasing concentrations of E. coli (103-106 colony-forming units [cfu]/mL). The primary outcome was the likelihood of transmission of at least 1 cfu from transmitter to host. We used a mixed logistic regression model with a random effect on the subject to assess the association between transmission and bacterial count on the transmitter's hands. RESULTS In total, 6 HCWs performed 30 experiments and 120 trials. The bacterial counts recovered from host hands were directly associated with the bacterial counts on transmitter hands (P1 and ≤3 log10 cfu compared to ≤1 log10. When transmitter contamination was &lt;1 log10 cfu, no cross-transmission was detected. CONCLUSION There is a direct relationship between the bacterial burden on HCWs hands and the likelihood of cross-transmission. Under the described conditions, at least 1 log10 cfu must be present on HCW hands to be potentially transmitted. Further studies are needed at the low contamination range. Infect Control Hosp Epidemiol 2017;38:553-558.","DOI":"10.1017/ice.2017.9","ISSN":"1559-6834","note":"PMID: 28222829","shortTitle":"Assessing the Likelihood of Hand-to-Hand Cross-Transmission of Bacteria","journalAbbreviation":"Infect Control Hosp Epidemiol","language":"eng","author":[{"family":"Bellissimo-Rodrigues","given":"Fernando"},{"family":"Pires","given":"Daniela"},{"family":"Soule","given":"Hervé"},{"family":"Gayet-Ageron","given":"Angèle"},{"family":"Pittet","given":"Didier"}],"issued":{"date-parts":[["2017"]]},"PMID":"28222829"}}],"schema":"https://github.com/citation-style-language/schema/raw/master/csl-citation.json"} </w:instrText>
            </w:r>
            <w:r w:rsidR="00EE68D1"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[4,5]</w:t>
            </w:r>
            <w:r w:rsidR="00EE68D1" w:rsidRPr="00C54618">
              <w:rPr>
                <w:rFonts w:ascii="Times New Roman" w:hAnsi="Times New Roman" w:cs="Times New Roman"/>
                <w:sz w:val="16"/>
                <w:szCs w:val="16"/>
                <w:lang w:val="en-GB"/>
              </w:rPr>
              <w:fldChar w:fldCharType="end"/>
            </w:r>
          </w:p>
        </w:tc>
      </w:tr>
      <w:tr w:rsidR="00DC431D" w:rsidRPr="00D54669"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lastRenderedPageBreak/>
              <w:t>d</w:t>
            </w:r>
            <w:r w:rsidRPr="00C54618">
              <w:rPr>
                <w:rFonts w:ascii="Times New Roman" w:hAnsi="Times New Roman" w:cs="Times New Roman"/>
                <w:i/>
                <w:sz w:val="16"/>
                <w:szCs w:val="16"/>
                <w:vertAlign w:val="subscript"/>
                <w:lang w:val="en-GB"/>
              </w:rPr>
              <w:t>cont</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Duration of contamination (independent of HH)(hours)</w:t>
            </w:r>
          </w:p>
          <w:p w:rsidR="00DC431D" w:rsidRPr="00C54618" w:rsidRDefault="00DC431D" w:rsidP="00DC431D">
            <w:pPr>
              <w:jc w:val="both"/>
              <w:rPr>
                <w:rFonts w:ascii="Times New Roman" w:hAnsi="Times New Roman" w:cs="Times New Roman"/>
                <w:sz w:val="16"/>
                <w:szCs w:val="16"/>
                <w:lang w:val="en-GB"/>
              </w:rPr>
            </w:pPr>
          </w:p>
          <w:p w:rsidR="00DC431D" w:rsidRPr="00C54618" w:rsidRDefault="00DC431D" w:rsidP="00DC431D">
            <w:pPr>
              <w:jc w:val="both"/>
              <w:rPr>
                <w:rFonts w:ascii="Times New Roman" w:hAnsi="Times New Roman" w:cs="Times New Roman"/>
                <w:sz w:val="16"/>
                <w:szCs w:val="16"/>
                <w:lang w:val="en-GB"/>
              </w:rPr>
            </w:pPr>
          </w:p>
          <w:p w:rsidR="00DC431D" w:rsidRPr="00C54618" w:rsidRDefault="00DC431D" w:rsidP="00DC431D">
            <w:pPr>
              <w:jc w:val="both"/>
              <w:rPr>
                <w:rFonts w:ascii="Times New Roman" w:hAnsi="Times New Roman" w:cs="Times New Roman"/>
                <w:sz w:val="16"/>
                <w:szCs w:val="16"/>
                <w:lang w:val="en-GB"/>
              </w:rPr>
            </w:pP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24 </w:t>
            </w:r>
          </w:p>
        </w:tc>
        <w:tc>
          <w:tcPr>
            <w:tcW w:w="1354" w:type="dxa"/>
          </w:tcPr>
          <w:p w:rsidR="00DC431D" w:rsidRPr="00C54618" w:rsidRDefault="00DC431D" w:rsidP="00DC431D">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zgepjRJE","properties":{"formattedCitation":"[6]","plainCitation":"[6]"},"citationItems":[{"id":884,"uris":["http://zotero.org/users/local/hjvuTSYk/items/TUIQF9RH"],"uri":["http://zotero.org/users/local/hjvuTSYk/items/TUIQF9RH"],"itemData":{"id":884,"type":"article-journal","title":"The survival and transfer of microbial contamination via cloths, hands and utensils","container-title":"The Journal of Applied Bacteriology","page":"271-278","volume":"68","issue":"3","source":"PubMed","abstract":"Survival and transfer of bacteria from laminated surfaces and cleaning cloths were investigated under laboratory conditions. Drying produced substantial reductions in numbers of recoverable organisms and achieved satisfactory decontamination of clean laminate surfaces. On soiled surfaces and on clean and soiled cloths, Gram-positive and some Gram-negative species survived for up to 4 h, and in some cases up to 24 h. Where contaminated surfaces or cloths came into contact with the fingers, a stainless steel bowl, or a clean laminate surface, organisms were transferred in sufficient numbers to represent a potential hazard if in contact with food.","DOI":"10.1111/j.1365-2672.1990.tb02574.x","ISSN":"0021-8847","note":"PMID: 2111304","journalAbbreviation":"J. Appl. Bacteriol.","language":"eng","author":[{"family":"Scott","given":"E."},{"family":"Bloomfield","given":"S. F."}],"issued":{"date-parts":[["1990",3]]},"PMID":"2111304"}}],"schema":"https://github.com/citation-style-language/schema/raw/master/csl-citation.json"}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[6]</w:t>
            </w:r>
            <w:r w:rsidRPr="00C54618">
              <w:rPr>
                <w:rFonts w:ascii="Times New Roman" w:hAnsi="Times New Roman" w:cs="Times New Roman"/>
                <w:sz w:val="16"/>
                <w:szCs w:val="16"/>
                <w:lang w:val="en-GB"/>
              </w:rPr>
              <w:fldChar w:fldCharType="end"/>
            </w:r>
          </w:p>
        </w:tc>
        <w:tc>
          <w:tcPr>
            <w:tcW w:w="2544" w:type="dxa"/>
          </w:tcPr>
          <w:p w:rsidR="00DC431D"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1-24</w:t>
            </w:r>
            <w:r w:rsidR="006841E4"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say90Nam","properties":{"formattedCitation":"[6]","plainCitation":"[6]"},"citationItems":[{"id":884,"uris":["http://zotero.org/users/local/hjvuTSYk/items/TUIQF9RH"],"uri":["http://zotero.org/users/local/hjvuTSYk/items/TUIQF9RH"],"itemData":{"id":884,"type":"article-journal","title":"The survival and transfer of microbial contamination via cloths, hands and utensils","container-title":"The Journal of Applied Bacteriology","page":"271-278","volume":"68","issue":"3","source":"PubMed","abstract":"Survival and transfer of bacteria from laminated surfaces and cleaning cloths were investigated under laboratory conditions. Drying produced substantial reductions in numbers of recoverable organisms and achieved satisfactory decontamination of clean laminate surfaces. On soiled surfaces and on clean and soiled cloths, Gram-positive and some Gram-negative species survived for up to 4 h, and in some cases up to 24 h. Where contaminated surfaces or cloths came into contact with the fingers, a stainless steel bowl, or a clean laminate surface, organisms were transferred in sufficient numbers to represent a potential hazard if in contact with food.","DOI":"10.1111/j.1365-2672.1990.tb02574.x","ISSN":"0021-8847","note":"PMID: 2111304","journalAbbreviation":"J. Appl. Bacteriol.","language":"eng","author":[{"family":"Scott","given":"E."},{"family":"Bloomfield","given":"S. F."}],"issued":{"date-parts":[["1990",3]]},"PMID":"2111304"}}],"schema":"https://github.com/citation-style-language/schema/raw/master/csl-citation.json"} </w:instrText>
            </w:r>
            <w:r w:rsidR="006841E4"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[6]</w:t>
            </w:r>
            <w:r w:rsidR="006841E4" w:rsidRPr="00C54618">
              <w:rPr>
                <w:rFonts w:ascii="Times New Roman" w:hAnsi="Times New Roman" w:cs="Times New Roman"/>
                <w:sz w:val="16"/>
                <w:szCs w:val="16"/>
                <w:lang w:val="en-GB"/>
              </w:rPr>
              <w:fldChar w:fldCharType="end"/>
            </w:r>
          </w:p>
        </w:tc>
      </w:tr>
      <w:tr w:rsidR="00DC431D" w:rsidRPr="00D54669" w:rsidTr="00CC6CAC">
        <w:tc>
          <w:tcPr>
            <w:tcW w:w="1413" w:type="dxa"/>
            <w:shd w:val="clear" w:color="auto" w:fill="F2F2F2" w:themeFill="background1" w:themeFillShade="F2"/>
          </w:tcPr>
          <w:p w:rsidR="00DC431D" w:rsidRPr="00C54618" w:rsidRDefault="00DC431D" w:rsidP="00DC431D">
            <w:pPr>
              <w:jc w:val="both"/>
              <w:rPr>
                <w:rFonts w:ascii="Times New Roman" w:hAnsi="Times New Roman" w:cs="Times New Roman"/>
                <w:b/>
                <w:i/>
                <w:sz w:val="16"/>
                <w:szCs w:val="16"/>
                <w:lang w:val="en-GB"/>
              </w:rPr>
            </w:pPr>
          </w:p>
        </w:tc>
        <w:tc>
          <w:tcPr>
            <w:tcW w:w="3865" w:type="dxa"/>
            <w:shd w:val="clear" w:color="auto" w:fill="F2F2F2" w:themeFill="background1" w:themeFillShade="F2"/>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b/>
                <w:sz w:val="16"/>
                <w:szCs w:val="16"/>
                <w:lang w:val="en-GB"/>
              </w:rPr>
              <w:t>Contamination by changing diapers</w:t>
            </w:r>
          </w:p>
        </w:tc>
        <w:tc>
          <w:tcPr>
            <w:tcW w:w="1309" w:type="dxa"/>
            <w:shd w:val="clear" w:color="auto" w:fill="F2F2F2" w:themeFill="background1" w:themeFillShade="F2"/>
          </w:tcPr>
          <w:p w:rsidR="00DC431D" w:rsidRPr="00C54618" w:rsidRDefault="00DC431D" w:rsidP="00DC431D">
            <w:pPr>
              <w:jc w:val="center"/>
              <w:rPr>
                <w:rFonts w:ascii="Times New Roman" w:hAnsi="Times New Roman" w:cs="Times New Roman"/>
                <w:sz w:val="16"/>
                <w:szCs w:val="16"/>
                <w:lang w:val="en-GB"/>
              </w:rPr>
            </w:pPr>
          </w:p>
        </w:tc>
        <w:tc>
          <w:tcPr>
            <w:tcW w:w="1354" w:type="dxa"/>
            <w:shd w:val="clear" w:color="auto" w:fill="F2F2F2" w:themeFill="background1" w:themeFillShade="F2"/>
          </w:tcPr>
          <w:p w:rsidR="00DC431D" w:rsidRPr="00C54618" w:rsidRDefault="00DC431D" w:rsidP="00DC431D">
            <w:pPr>
              <w:rPr>
                <w:rFonts w:ascii="Times New Roman" w:hAnsi="Times New Roman" w:cs="Times New Roman"/>
                <w:sz w:val="16"/>
                <w:szCs w:val="16"/>
                <w:lang w:val="en-GB"/>
              </w:rPr>
            </w:pPr>
          </w:p>
        </w:tc>
        <w:tc>
          <w:tcPr>
            <w:tcW w:w="2544" w:type="dxa"/>
            <w:shd w:val="clear" w:color="auto" w:fill="F2F2F2" w:themeFill="background1" w:themeFillShade="F2"/>
          </w:tcPr>
          <w:p w:rsidR="00DC431D" w:rsidRPr="00C54618" w:rsidRDefault="00DC431D" w:rsidP="00904291">
            <w:pPr>
              <w:jc w:val="center"/>
              <w:rPr>
                <w:rFonts w:ascii="Times New Roman" w:hAnsi="Times New Roman" w:cs="Times New Roman"/>
                <w:sz w:val="16"/>
                <w:szCs w:val="16"/>
                <w:lang w:val="en-GB"/>
              </w:rPr>
            </w:pPr>
          </w:p>
        </w:tc>
      </w:tr>
      <w:tr w:rsidR="00DC431D" w:rsidRPr="00D54669"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p</w:t>
            </w:r>
            <w:r w:rsidRPr="00C54618">
              <w:rPr>
                <w:rFonts w:ascii="Times New Roman" w:hAnsi="Times New Roman" w:cs="Times New Roman"/>
                <w:i/>
                <w:sz w:val="16"/>
                <w:szCs w:val="16"/>
                <w:vertAlign w:val="subscript"/>
                <w:lang w:val="en-GB"/>
              </w:rPr>
              <w:t>cont,d</w:t>
            </w:r>
            <w:proofErr w:type="spellEnd"/>
          </w:p>
        </w:tc>
        <w:tc>
          <w:tcPr>
            <w:tcW w:w="3865" w:type="dxa"/>
          </w:tcPr>
          <w:p w:rsidR="00DC431D" w:rsidRPr="00C54618" w:rsidRDefault="00DC431D" w:rsidP="00DC431D">
            <w:pPr>
              <w:jc w:val="both"/>
              <w:rPr>
                <w:rFonts w:ascii="Times New Roman" w:hAnsi="Times New Roman" w:cs="Times New Roman"/>
                <w:b/>
                <w:sz w:val="16"/>
                <w:szCs w:val="16"/>
                <w:lang w:val="en-GB"/>
              </w:rPr>
            </w:pPr>
            <w:r w:rsidRPr="00C54618">
              <w:rPr>
                <w:rFonts w:ascii="Times New Roman" w:hAnsi="Times New Roman" w:cs="Times New Roman"/>
                <w:sz w:val="16"/>
                <w:szCs w:val="16"/>
                <w:lang w:val="en-GB"/>
              </w:rPr>
              <w:t>Probability of hand contamination during changing diapers of a colonized baby not receiving antibiotics (per change)</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3</w:t>
            </w:r>
          </w:p>
        </w:tc>
        <w:tc>
          <w:tcPr>
            <w:tcW w:w="1354" w:type="dxa"/>
          </w:tcPr>
          <w:p w:rsidR="00DC431D" w:rsidRPr="00C54618" w:rsidRDefault="00DC431D" w:rsidP="00DC431D">
            <w:pPr>
              <w:rPr>
                <w:rFonts w:ascii="Times New Roman" w:hAnsi="Times New Roman" w:cs="Times New Roman"/>
                <w:sz w:val="16"/>
                <w:szCs w:val="16"/>
                <w:lang w:val="en-GB"/>
              </w:rPr>
            </w:pPr>
            <w:r w:rsidRPr="00C54618">
              <w:rPr>
                <w:rFonts w:ascii="Times New Roman" w:hAnsi="Times New Roman" w:cs="Times New Roman"/>
                <w:sz w:val="16"/>
                <w:szCs w:val="16"/>
                <w:lang w:val="en-GB"/>
              </w:rPr>
              <w:t>Assumed 3 times higher than during person-to-person contact</w:t>
            </w:r>
          </w:p>
        </w:tc>
        <w:tc>
          <w:tcPr>
            <w:tcW w:w="2544" w:type="dxa"/>
          </w:tcPr>
          <w:p w:rsidR="00DC431D"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001F746A" w:rsidRPr="00C54618">
              <w:rPr>
                <w:rFonts w:ascii="Times New Roman" w:hAnsi="Times New Roman" w:cs="Times New Roman"/>
                <w:sz w:val="16"/>
                <w:szCs w:val="16"/>
                <w:lang w:val="en-GB"/>
              </w:rPr>
              <w:t xml:space="preserve">1-1 </w:t>
            </w:r>
            <w:r w:rsidR="001F746A"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gdbgj0m3s","properties":{"formattedCitation":"[7]","plainCitation":"[7]"},"citationItems":[{"id":650,"uris":["http://zotero.org/users/local/hjvuTSYk/items/FXH3KQTA"],"uri":["http://zotero.org/users/local/hjvuTSYk/items/FXH3KQTA"],"itemData":{"id":650,"type":"article-journal","title":"Quantitative assessment of risk reduction from hand washing with antibacterial soaps","container-title":"Journal of Applied Microbiology","page":"136S-43S","volume":"92 Suppl","source":"PubMed","abstract":"The Centers for Disease Control and Prevention have estimated that there are 3,713,000 cases of infectious disease associated with day care facilities each year. The objective of this study was to examine the risk reduction achieved from using different soap formulations after diaper changing using a microbial quantitative risk assessment approach. To achieve this, a probability of infection model and an exposure assessment based on micro-organism transfer were used to evaluate the efficacy of different soap formulations in reducing the probability of disease following hand contact with an enteric pathogen. Based on this model, it was determined that the probability of infection ranged from 24/100 to 91/100 for those changing diapers of babies with symptomatic shigellosis who used a control product (soap without an antibacterial ingredient), 22/100 to 91/100 for those who used an antibacterial soap (chlorohexadine 4%), and 15/100 to 90/100 for those who used a triclosan (1.5%) antibacterial soap. Those with asymptomatic shigellosis who used a non-antibacterial control soap had a risk between 49/100,000 and 53/100, those who used the 4% chlorohexadine-containing soap had a risk between 43/100,000 and 51/100, and for those who used a 1.5% triclosan soap had a risk between 21/100,000 and 43/100. The adequate washing of hands after diapering reduces risk and can be further reduced by a factor of 20% by the use of an antibacterial soap. Quantitative risk assessment is a valuable tool in the evaluation of household sanitizing agents and low risk outcomes.","ISSN":"1364-5072","note":"PMID: 12000622","journalAbbreviation":"J. Appl. Microbiol.","language":"eng","author":[{"family":"Gibson","given":"L. L."},{"family":"Rose","given":"J. B."},{"family":"Haas","given":"C. N."},{"family":"Gerba","given":"C. P."},{"family":"Rusin","given":"P. A."}],"issued":{"date-parts":[["2002"]]},"PMID":"12000622"}}],"schema":"https://github.com/citation-style-language/schema/raw/master/csl-citation.json"} </w:instrText>
            </w:r>
            <w:r w:rsidR="001F746A"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[7]</w:t>
            </w:r>
            <w:r w:rsidR="001F746A" w:rsidRPr="00C54618">
              <w:rPr>
                <w:rFonts w:ascii="Times New Roman" w:hAnsi="Times New Roman" w:cs="Times New Roman"/>
                <w:sz w:val="16"/>
                <w:szCs w:val="16"/>
                <w:lang w:val="en-GB"/>
              </w:rPr>
              <w:fldChar w:fldCharType="end"/>
            </w:r>
          </w:p>
        </w:tc>
      </w:tr>
      <w:tr w:rsidR="00DC431D" w:rsidRPr="002C7656"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rr</w:t>
            </w:r>
            <w:r w:rsidRPr="00C54618">
              <w:rPr>
                <w:rFonts w:ascii="Times New Roman" w:hAnsi="Times New Roman" w:cs="Times New Roman"/>
                <w:i/>
                <w:sz w:val="16"/>
                <w:szCs w:val="16"/>
                <w:vertAlign w:val="subscript"/>
                <w:lang w:val="en-GB"/>
              </w:rPr>
              <w:t>cont</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Relative risk of hand contamination during changing diapers from a colonized baby receiving antibiotics</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3 </w:t>
            </w:r>
          </w:p>
        </w:tc>
        <w:tc>
          <w:tcPr>
            <w:tcW w:w="1354" w:type="dxa"/>
          </w:tcPr>
          <w:p w:rsidR="00DC431D" w:rsidRPr="00C54618" w:rsidRDefault="007C16C9" w:rsidP="007C16C9">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2nt5siah5n","properties":{"formattedCitation":"[8,9]","plainCitation":"[8,9]"},"citationItems":[{"id":648,"uris":["http://zotero.org/users/local/hjvuTSYk/items/W5U52C8K"],"uri":["http://zotero.org/users/local/hjvuTSYk/items/W5U52C8K"],"itemData":{"id":648,"type":"article-journal","title":"Effect of antibiotics on the bacterial load of meticillin-resistant Staphylococcus aureus colonisation in anterior nares","container-title":"The Journal of Hospital Infection","page":"27-34","volume":"70","issue":"1","source":"PubMed","abstract":"Prevalence of hospital-acquired meticillin-resistant Staphylococcus aureus (MRSA) infection or colonisation has been associated with antimicrobial consumption. The impact of antibiotic treatment on nasal colonisation is unknown. We conducted a three-month prospective study of 116 patients with extranasal MRSA infection or colonisation, whose nasal MRSA bacterial loads were determined during and after various antibiotic courses over a period of three weeks. Environmental swabs were also taken from the near patient environment. Concomitant nasal MRSA carriage was observed in 76.7% of extranasal MRSA-colonised or -infected patients. The median nasal MRSA bacterial load increased significantly from 2.78 (range 0-6.15) to 5.30 (range 2.90-8.41) log(10) cfu per swab (cfu/swab) (P&lt;0.001) over 21 days during beta-lactam therapy. It also increased from 0 (range 0-4.00) to 4.30 (range 0-7.46) log(10)cfu/swab (P=0.039) over 14 days during fluoroquinolone therapy. Median bacterial loads were significantly higher for beta-lactam- and fluoroquinolone-treated patients on day 7 [4.78, range 0-7.30], day 14 [4.30, range 0-7.60] and day 21 [5.30, range 2.90-8.41] than controls not receiving antibiotics (P&lt;0.05). These loads then decreased by 2-5log(10)cfu/swab 2 weeks after discontinuation of antibiotics. The environment of patients receiving beta-lactam agents (relative risk: 3.55; 95% confidence interval: 1.30-9.62; P=0.018) or fluoroquinolones (4.32; 1.52-12.31; P=0.008) demonstrated more MRSA contamination than the environment around control patients (0.79; 0.67-0.93; P=0.002). Patients on beta-lactam or fluoroquinolone therapy have increased incidence of MRSA colonisation and higher nasal bacterial loads, and appear to spread their MRSA into the near patient environment.","DOI":"10.1016/j.jhin.2008.05.019","ISSN":"0195-6701","note":"PMID: 18632184","journalAbbreviation":"J. Hosp. Infect.","language":"eng","author":[{"family":"Cheng","given":"V. C. C."},{"family":"Li","given":"I. W. S."},{"family":"Wu","given":"A. K. L."},{"family":"Tang","given":"B. S. F."},{"family":"Ng","given":"K. H. L."},{"family":"To","given":"K. K. W."},{"family":"Tse","given":"H."},{"family":"Que","given":"T. L."},{"family":"Ho","given":"P. L."},{"family":"Yuen","given":"K. Y."}],"issued":{"date-parts":[["2008",9]]},"PMID":"18632184"}},{"id":902,"uris":["http://zotero.org/users/local/hjvuTSYk/items/C8Q6IIFH"],"uri":["http://zotero.org/users/local/hjvuTSYk/items/C8Q6IIFH"],"itemData":{"id":902,"type":"article-journal","title":"Colonization pressure adjusted by degree of environmental contamination: A better indicator for predicting methicillin-resistant Staphylococcus aureus acquisition","container-title":"American Journal of Infection Control","page":"763-769","volume":"39","issue":"9","source":"Crossref","DOI":"10.1016/j.ajic.2010.11.012","ISSN":"01966553","shortTitle":"Colonization pressure adjusted by degree of environmental contamination","language":"en","author":[{"family":"Wang","given":"Junrui"},{"family":"Wang","given":"Mei"},{"family":"Huang","given":"Yanfei"},{"family":"Zhu","given":"Min"},{"family":"Wang","given":"Yong"},{"family":"Zhuo","given":"Jie"},{"family":"Lu","given":"Xinxin"}],"issued":{"date-parts":[["2011",11]]}}}],"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[8,9]</w:t>
            </w:r>
            <w:r w:rsidRPr="00C54618">
              <w:rPr>
                <w:rFonts w:ascii="Times New Roman" w:hAnsi="Times New Roman" w:cs="Times New Roman"/>
                <w:sz w:val="16"/>
                <w:szCs w:val="16"/>
                <w:lang w:val="en-GB"/>
              </w:rPr>
              <w:fldChar w:fldCharType="end"/>
            </w:r>
          </w:p>
        </w:tc>
        <w:tc>
          <w:tcPr>
            <w:tcW w:w="2544" w:type="dxa"/>
          </w:tcPr>
          <w:p w:rsidR="00D632AD"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2-</w:t>
            </w:r>
            <w:r w:rsidR="00543793" w:rsidRPr="00C54618">
              <w:rPr>
                <w:rFonts w:ascii="Times New Roman" w:hAnsi="Times New Roman" w:cs="Times New Roman"/>
                <w:sz w:val="16"/>
                <w:szCs w:val="16"/>
                <w:lang w:val="en-GB"/>
              </w:rPr>
              <w:t>9</w:t>
            </w:r>
            <w:r w:rsidR="00D632AD"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khWBNJyI","properties":{"formattedCitation":"[8,9]","plainCitation":"[8,9]"},"citationItems":[{"id":648,"uris":["http://zotero.org/users/local/hjvuTSYk/items/W5U52C8K"],"uri":["http://zotero.org/users/local/hjvuTSYk/items/W5U52C8K"],"itemData":{"id":648,"type":"article-journal","title":"Effect of antibiotics on the bacterial load of meticillin-resistant Staphylococcus aureus colonisation in anterior nares","container-title":"The Journal of Hospital Infection","page":"27-34","volume":"70","issue":"1","source":"PubMed","abstract":"Prevalence of hospital-acquired meticillin-resistant Staphylococcus aureus (MRSA) infection or colonisation has been associated with antimicrobial consumption. The impact of antibiotic treatment on nasal colonisation is unknown. We conducted a three-month prospective study of 116 patients with extranasal MRSA infection or colonisation, whose nasal MRSA bacterial loads were determined during and after various antibiotic courses over a period of three weeks. Environmental swabs were also taken from the near patient environment. Concomitant nasal MRSA carriage was observed in 76.7% of extranasal MRSA-colonised or -infected patients. The median nasal MRSA bacterial load increased significantly from 2.78 (range 0-6.15) to 5.30 (range 2.90-8.41) log(10) cfu per swab (cfu/swab) (P&lt;0.001) over 21 days during beta-lactam therapy. It also increased from 0 (range 0-4.00) to 4.30 (range 0-7.46) log(10)cfu/swab (P=0.039) over 14 days during fluoroquinolone therapy. Median bacterial loads were significantly higher for beta-lactam- and fluoroquinolone-treated patients on day 7 [4.78, range 0-7.30], day 14 [4.30, range 0-7.60] and day 21 [5.30, range 2.90-8.41] than controls not receiving antibiotics (P&lt;0.05). These loads then decreased by 2-5log(10)cfu/swab 2 weeks after discontinuation of antibiotics. The environment of patients receiving beta-lactam agents (relative risk: 3.55; 95% confidence interval: 1.30-9.62; P=0.018) or fluoroquinolones (4.32; 1.52-12.31; P=0.008) demonstrated more MRSA contamination than the environment around control patients (0.79; 0.67-0.93; P=0.002). Patients on beta-lactam or fluoroquinolone therapy have increased incidence of MRSA colonisation and higher nasal bacterial loads, and appear to spread their MRSA into the near patient environment.","DOI":"10.1016/j.jhin.2008.05.019","ISSN":"0195-6701","note":"PMID: 18632184","journalAbbreviation":"J. Hosp. Infect.","language":"eng","author":[{"family":"Cheng","given":"V. C. C."},{"family":"Li","given":"I. W. S."},{"family":"Wu","given":"A. K. L."},{"family":"Tang","given":"B. S. F."},{"family":"Ng","given":"K. H. L."},{"family":"To","given":"K. K. W."},{"family":"Tse","given":"H."},{"family":"Que","given":"T. L."},{"family":"Ho","given":"P. L."},{"family":"Yuen","given":"K. Y."}],"issued":{"date-parts":[["2008",9]]},"PMID":"18632184"}},{"id":902,"uris":["http://zotero.org/users/local/hjvuTSYk/items/C8Q6IIFH"],"uri":["http://zotero.org/users/local/hjvuTSYk/items/C8Q6IIFH"],"itemData":{"id":902,"type":"article-journal","title":"Colonization pressure adjusted by degree of environmental contamination: A better indicator for predicting methicillin-resistant Staphylococcus aureus acquisition","container-title":"American Journal of Infection Control","page":"763-769","volume":"39","issue":"9","source":"Crossref","DOI":"10.1016/j.ajic.2010.11.012","ISSN":"01966553","shortTitle":"Colonization pressure adjusted by degree of environmental contamination","language":"en","author":[{"family":"Wang","given":"Junrui"},{"family":"Wang","given":"Mei"},{"family":"Huang","given":"Yanfei"},{"family":"Zhu","given":"Min"},{"family":"Wang","given":"Yong"},{"family":"Zhuo","given":"Jie"},{"family":"Lu","given":"Xinxin"}],"issued":{"date-parts":[["2011",11]]}}}],"schema":"https://github.com/citation-style-language/schema/raw/master/csl-citation.json"} </w:instrText>
            </w:r>
            <w:r w:rsidR="00D632AD"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lang w:val="en-US"/>
              </w:rPr>
              <w:t>[8,9]</w:t>
            </w:r>
            <w:r w:rsidR="00D632AD" w:rsidRPr="00C54618">
              <w:rPr>
                <w:rFonts w:ascii="Times New Roman" w:hAnsi="Times New Roman" w:cs="Times New Roman"/>
                <w:sz w:val="16"/>
                <w:szCs w:val="16"/>
                <w:lang w:val="en-GB"/>
              </w:rPr>
              <w:fldChar w:fldCharType="end"/>
            </w:r>
          </w:p>
          <w:p w:rsidR="00955B36" w:rsidRPr="00C54618" w:rsidRDefault="00955B36" w:rsidP="00904291">
            <w:pPr>
              <w:jc w:val="center"/>
              <w:rPr>
                <w:rFonts w:ascii="Times New Roman" w:hAnsi="Times New Roman" w:cs="Times New Roman"/>
                <w:sz w:val="16"/>
                <w:szCs w:val="16"/>
                <w:lang w:val="en-GB"/>
              </w:rPr>
            </w:pPr>
          </w:p>
          <w:p w:rsidR="00DC431D" w:rsidRPr="00C54618" w:rsidRDefault="00DC431D" w:rsidP="00904291">
            <w:pPr>
              <w:jc w:val="center"/>
              <w:rPr>
                <w:rFonts w:ascii="Times New Roman" w:hAnsi="Times New Roman" w:cs="Times New Roman"/>
                <w:sz w:val="16"/>
                <w:szCs w:val="16"/>
                <w:lang w:val="en-GB"/>
              </w:rPr>
            </w:pPr>
          </w:p>
        </w:tc>
      </w:tr>
      <w:tr w:rsidR="00DC431D" w:rsidRPr="002C7656" w:rsidTr="00CC6CAC">
        <w:tc>
          <w:tcPr>
            <w:tcW w:w="1413" w:type="dxa"/>
            <w:shd w:val="clear" w:color="auto" w:fill="F2F2F2" w:themeFill="background1" w:themeFillShade="F2"/>
          </w:tcPr>
          <w:p w:rsidR="00DC431D" w:rsidRPr="00C54618" w:rsidRDefault="00DC431D" w:rsidP="00DC431D">
            <w:pPr>
              <w:jc w:val="both"/>
              <w:rPr>
                <w:rFonts w:ascii="Times New Roman" w:hAnsi="Times New Roman" w:cs="Times New Roman"/>
                <w:b/>
                <w:i/>
                <w:sz w:val="16"/>
                <w:szCs w:val="16"/>
                <w:lang w:val="en-GB"/>
              </w:rPr>
            </w:pPr>
          </w:p>
        </w:tc>
        <w:tc>
          <w:tcPr>
            <w:tcW w:w="3865" w:type="dxa"/>
            <w:shd w:val="clear" w:color="auto" w:fill="F2F2F2" w:themeFill="background1" w:themeFillShade="F2"/>
          </w:tcPr>
          <w:p w:rsidR="00DC431D" w:rsidRPr="00C54618" w:rsidRDefault="00DC431D" w:rsidP="00DC431D">
            <w:pPr>
              <w:jc w:val="both"/>
              <w:rPr>
                <w:rFonts w:ascii="Times New Roman" w:hAnsi="Times New Roman" w:cs="Times New Roman"/>
                <w:b/>
                <w:sz w:val="16"/>
                <w:szCs w:val="16"/>
                <w:lang w:val="en-GB"/>
              </w:rPr>
            </w:pPr>
            <w:r w:rsidRPr="00C54618">
              <w:rPr>
                <w:rFonts w:ascii="Times New Roman" w:hAnsi="Times New Roman" w:cs="Times New Roman"/>
                <w:b/>
                <w:sz w:val="16"/>
                <w:szCs w:val="16"/>
                <w:lang w:val="en-GB"/>
              </w:rPr>
              <w:t xml:space="preserve">Contamination by using </w:t>
            </w:r>
            <w:r w:rsidR="00A273F2" w:rsidRPr="00C54618">
              <w:rPr>
                <w:rFonts w:ascii="Times New Roman" w:hAnsi="Times New Roman" w:cs="Times New Roman"/>
                <w:b/>
                <w:sz w:val="16"/>
                <w:szCs w:val="16"/>
                <w:lang w:val="en-GB"/>
              </w:rPr>
              <w:t xml:space="preserve">the </w:t>
            </w:r>
            <w:r w:rsidRPr="00C54618">
              <w:rPr>
                <w:rFonts w:ascii="Times New Roman" w:hAnsi="Times New Roman" w:cs="Times New Roman"/>
                <w:b/>
                <w:sz w:val="16"/>
                <w:szCs w:val="16"/>
                <w:lang w:val="en-GB"/>
              </w:rPr>
              <w:t>toilet</w:t>
            </w:r>
          </w:p>
        </w:tc>
        <w:tc>
          <w:tcPr>
            <w:tcW w:w="1309" w:type="dxa"/>
            <w:shd w:val="clear" w:color="auto" w:fill="F2F2F2" w:themeFill="background1" w:themeFillShade="F2"/>
          </w:tcPr>
          <w:p w:rsidR="00DC431D" w:rsidRPr="00C54618" w:rsidRDefault="00DC431D" w:rsidP="00DC431D">
            <w:pPr>
              <w:jc w:val="center"/>
              <w:rPr>
                <w:rFonts w:ascii="Times New Roman" w:hAnsi="Times New Roman" w:cs="Times New Roman"/>
                <w:sz w:val="16"/>
                <w:szCs w:val="16"/>
                <w:lang w:val="en-GB"/>
              </w:rPr>
            </w:pPr>
          </w:p>
        </w:tc>
        <w:tc>
          <w:tcPr>
            <w:tcW w:w="1354" w:type="dxa"/>
            <w:shd w:val="clear" w:color="auto" w:fill="F2F2F2" w:themeFill="background1" w:themeFillShade="F2"/>
          </w:tcPr>
          <w:p w:rsidR="00DC431D" w:rsidRPr="00C54618" w:rsidRDefault="00DC431D" w:rsidP="00DC431D">
            <w:pPr>
              <w:rPr>
                <w:rFonts w:ascii="Times New Roman" w:hAnsi="Times New Roman" w:cs="Times New Roman"/>
                <w:sz w:val="16"/>
                <w:szCs w:val="16"/>
                <w:lang w:val="en-GB"/>
              </w:rPr>
            </w:pPr>
          </w:p>
        </w:tc>
        <w:tc>
          <w:tcPr>
            <w:tcW w:w="2544" w:type="dxa"/>
            <w:shd w:val="clear" w:color="auto" w:fill="F2F2F2" w:themeFill="background1" w:themeFillShade="F2"/>
          </w:tcPr>
          <w:p w:rsidR="00DC431D" w:rsidRPr="00C54618" w:rsidRDefault="00DC431D" w:rsidP="00904291">
            <w:pPr>
              <w:jc w:val="center"/>
              <w:rPr>
                <w:rFonts w:ascii="Times New Roman" w:hAnsi="Times New Roman" w:cs="Times New Roman"/>
                <w:sz w:val="16"/>
                <w:szCs w:val="16"/>
                <w:lang w:val="en-GB"/>
              </w:rPr>
            </w:pPr>
          </w:p>
        </w:tc>
      </w:tr>
      <w:tr w:rsidR="00DC431D" w:rsidRPr="002C7656"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p</w:t>
            </w:r>
            <w:r w:rsidRPr="00C54618">
              <w:rPr>
                <w:rFonts w:ascii="Times New Roman" w:hAnsi="Times New Roman" w:cs="Times New Roman"/>
                <w:i/>
                <w:sz w:val="16"/>
                <w:szCs w:val="16"/>
                <w:vertAlign w:val="subscript"/>
                <w:lang w:val="en-GB"/>
              </w:rPr>
              <w:t>cont,t</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Probability of hand contami</w:t>
            </w:r>
            <w:r w:rsidR="00A273F2" w:rsidRPr="00C54618">
              <w:rPr>
                <w:rFonts w:ascii="Times New Roman" w:hAnsi="Times New Roman" w:cs="Times New Roman"/>
                <w:sz w:val="16"/>
                <w:szCs w:val="16"/>
                <w:lang w:val="en-GB"/>
              </w:rPr>
              <w:t xml:space="preserve">nation after using the toilet </w:t>
            </w:r>
            <w:r w:rsidRPr="00C54618">
              <w:rPr>
                <w:rFonts w:ascii="Times New Roman" w:hAnsi="Times New Roman" w:cs="Times New Roman"/>
                <w:sz w:val="16"/>
                <w:szCs w:val="16"/>
                <w:lang w:val="en-GB"/>
              </w:rPr>
              <w:t xml:space="preserve">by a colonized person not receiving antibiotics (per toilet use) </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 xml:space="preserve">1 </w:t>
            </w:r>
          </w:p>
        </w:tc>
        <w:tc>
          <w:tcPr>
            <w:tcW w:w="1354" w:type="dxa"/>
          </w:tcPr>
          <w:p w:rsidR="00DC431D" w:rsidRPr="00C54618" w:rsidRDefault="00DC431D" w:rsidP="00DC431D">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9S6D3PSz","properties":{"formattedCitation":"[4,5]","plainCitation":"[4,5]"},"citationItems":[{"id":878,"uris":["http://zotero.org/users/local/hjvuTSYk/items/VGHAEANS"],"uri":["http://zotero.org/users/local/hjvuTSYk/items/VGHAEANS"],"itemData":{"id":878,"type":"article-journal","title":"Dynamics of bacterial hand contamination during routine neonatal care","container-title":"Infection Control and Hospital Epidemiology","page":"192-197","volume":"25","issue":"3","source":"PubMed","abstract":"OBJECTIVE: To evaluate the dynamics of bacterial contamination of healthcare workers' (HCWs) hands during neonatal care.\nSETTING: The 20-bed neonatal unit of a large acute care teaching hospital in Geneva, Switzerland.\nMETHODS: Structured observation sessions were conducted. A sequence of care began when the HCW performed hand hygiene and ended when the activity changed or hand hygiene was performed again. Alcohol-based handrub was the standard procedure for hand hygiene. An imprint of the five fingertips of the dominant hand was obtained before and after hand hygiene and at the end of a sequence of care. Regression methods were used to model the final bacterial count according to the type and duration of care and the use of gloves.\nRESULTS: One hundred forty-nine sequences of care were observed. Commensal skin flora comprised 72.4% of all culture-positive specimens (n = 360). Other microorganisms identified were Enterobacteriaceae (n = 55, 13.8%); Staphylococcus aureus (n = 10, 2.5%); and fungi (n = 7, 1.8%). Skin contact, respiratory care, and diaper change were independently associated with an increased bacterial count; the use of gloves did not fully protect HCWs' hands from bacterial contamination.\nCONCLUSIONS: These data confirm that hands become progressively contaminated with commensal flora and potential pathogens during neonatal care, and identify activities at higher risk for hand contamination. They also reinforce the need for hand hygiene after a sequence of care, before starting a different task, and after glove removal.","DOI":"10.1086/502376","ISSN":"0899-823X","note":"PMID: 15061408","journalAbbreviation":"Infect Control Hosp Epidemiol","language":"eng","author":[{"family":"Pessoa-Silva","given":"Carmem Lúcia"},{"family":"Dharan","given":"Sasi"},{"family":"Hugonnet","given":"Stéphane"},{"family":"Touveneau","given":"Sylvie"},{"family":"Posfay-Barbe","given":"Klara"},{"family":"Pfister","given":"Riccardo"},{"family":"Pittet","given":"Didier"}],"issued":{"date-parts":[["2004",3]]},"PMID":"15061408"}},{"id":882,"uris":["http://zotero.org/users/local/hjvuTSYk/items/P5VPE8BU"],"uri":["http://zotero.org/users/local/hjvuTSYk/items/P5VPE8BU"],"itemData":{"id":882,"type":"article-journal","title":"Assessing the Likelihood of Hand-to-Hand Cross-Transmission of Bacteria: An Experimental Study","container-title":"Infection Control and Hospital Epidemiology","page":"553-558","volume":"38","issue":"5","source":"PubMed","abstract":"BACKGROUND Although the hands of healthcare workers (HCWs) are implicated in most episodes of healthcare-associated infections, the correlation between hand contamination and the likelihood of cross-transmission remains unknown. METHODS We conducted a laboratory-based study involving pairs of HCWs. The hands of a HCW (transmitter) were contaminated with Escherichia coli ATCC 10536 before holding hands with another HCW (host) for 1 minute. Meanwhile, the unheld hand of the transmitter was sampled. Afterward, the host's held hand was also sampled. Each experiment consisted of 4 trials with increasing concentrations of E. coli (103-106 colony-forming units [cfu]/mL). The primary outcome was the likelihood of transmission of at least 1 cfu from transmitter to host. We used a mixed logistic regression model with a random effect on the subject to assess the association between transmission and bacterial count on the transmitter's hands. RESULTS In total, 6 HCWs performed 30 experiments and 120 trials. The bacterial counts recovered from host hands were directly associated with the bacterial counts on transmitter hands (P1 and ≤3 log10 cfu compared to ≤1 log10. When transmitter contamination was &lt;1 log10 cfu, no cross-transmission was detected. CONCLUSION There is a direct relationship between the bacterial burden on HCWs hands and the likelihood of cross-transmission. Under the described conditions, at least 1 log10 cfu must be present on HCW hands to be potentially transmitted. Further studies are needed at the low contamination range. Infect Control Hosp Epidemiol 2017;38:553-558.","DOI":"10.1017/ice.2017.9","ISSN":"1559-6834","note":"PMID: 28222829","shortTitle":"Assessing the Likelihood of Hand-to-Hand Cross-Transmission of Bacteria","journalAbbreviation":"Infect Control Hosp Epidemiol","language":"eng","author":[{"family":"Bellissimo-Rodrigues","given":"Fernando"},{"family":"Pires","given":"Daniela"},{"family":"Soule","given":"Hervé"},{"family":"Gayet-Ageron","given":"Angèle"},{"family":"Pittet","given":"Didier"}],"issued":{"date-parts":[["2017"]]},"PMID":"28222829"}}],"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[4,5]</w:t>
            </w:r>
            <w:r w:rsidRPr="00C54618">
              <w:rPr>
                <w:rFonts w:ascii="Times New Roman" w:hAnsi="Times New Roman" w:cs="Times New Roman"/>
                <w:sz w:val="16"/>
                <w:szCs w:val="16"/>
                <w:lang w:val="en-GB"/>
              </w:rPr>
              <w:fldChar w:fldCharType="end"/>
            </w:r>
          </w:p>
        </w:tc>
        <w:tc>
          <w:tcPr>
            <w:tcW w:w="2544" w:type="dxa"/>
          </w:tcPr>
          <w:p w:rsidR="00DC431D" w:rsidRPr="00C54618" w:rsidRDefault="006C7326"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05- 0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35</w:t>
            </w: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xp6vGvZC","properties":{"formattedCitation":"[4,5]","plainCitation":"[4,5]"},"citationItems":[{"id":878,"uris":["http://zotero.org/users/local/hjvuTSYk/items/VGHAEANS"],"uri":["http://zotero.org/users/local/hjvuTSYk/items/VGHAEANS"],"itemData":{"id":878,"type":"article-journal","title":"Dynamics of bacterial hand contamination during routine neonatal care","container-title":"Infection Control and Hospital Epidemiology","page":"192-197","volume":"25","issue":"3","source":"PubMed","abstract":"OBJECTIVE: To evaluate the dynamics of bacterial contamination of healthcare workers' (HCWs) hands during neonatal care.\nSETTING: The 20-bed neonatal unit of a large acute care teaching hospital in Geneva, Switzerland.\nMETHODS: Structured observation sessions were conducted. A sequence of care began when the HCW performed hand hygiene and ended when the activity changed or hand hygiene was performed again. Alcohol-based handrub was the standard procedure for hand hygiene. An imprint of the five fingertips of the dominant hand was obtained before and after hand hygiene and at the end of a sequence of care. Regression methods were used to model the final bacterial count according to the type and duration of care and the use of gloves.\nRESULTS: One hundred forty-nine sequences of care were observed. Commensal skin flora comprised 72.4% of all culture-positive specimens (n = 360). Other microorganisms identified were Enterobacteriaceae (n = 55, 13.8%); Staphylococcus aureus (n = 10, 2.5%); and fungi (n = 7, 1.8%). Skin contact, respiratory care, and diaper change were independently associated with an increased bacterial count; the use of gloves did not fully protect HCWs' hands from bacterial contamination.\nCONCLUSIONS: These data confirm that hands become progressively contaminated with commensal flora and potential pathogens during neonatal care, and identify activities at higher risk for hand contamination. They also reinforce the need for hand hygiene after a sequence of care, before starting a different task, and after glove removal.","DOI":"10.1086/502376","ISSN":"0899-823X","note":"PMID: 15061408","journalAbbreviation":"Infect Control Hosp Epidemiol","language":"eng","author":[{"family":"Pessoa-Silva","given":"Carmem Lúcia"},{"family":"Dharan","given":"Sasi"},{"family":"Hugonnet","given":"Stéphane"},{"family":"Touveneau","given":"Sylvie"},{"family":"Posfay-Barbe","given":"Klara"},{"family":"Pfister","given":"Riccardo"},{"family":"Pittet","given":"Didier"}],"issued":{"date-parts":[["2004",3]]},"PMID":"15061408"}},{"id":882,"uris":["http://zotero.org/users/local/hjvuTSYk/items/P5VPE8BU"],"uri":["http://zotero.org/users/local/hjvuTSYk/items/P5VPE8BU"],"itemData":{"id":882,"type":"article-journal","title":"Assessing the Likelihood of Hand-to-Hand Cross-Transmission of Bacteria: An Experimental Study","container-title":"Infection Control and Hospital Epidemiology","page":"553-558","volume":"38","issue":"5","source":"PubMed","abstract":"BACKGROUND Although the hands of healthcare workers (HCWs) are implicated in most episodes of healthcare-associated infections, the correlation between hand contamination and the likelihood of cross-transmission remains unknown. METHODS We conducted a laboratory-based study involving pairs of HCWs. The hands of a HCW (transmitter) were contaminated with Escherichia coli ATCC 10536 before holding hands with another HCW (host) for 1 minute. Meanwhile, the unheld hand of the transmitter was sampled. Afterward, the host's held hand was also sampled. Each experiment consisted of 4 trials with increasing concentrations of E. coli (103-106 colony-forming units [cfu]/mL). The primary outcome was the likelihood of transmission of at least 1 cfu from transmitter to host. We used a mixed logistic regression model with a random effect on the subject to assess the association between transmission and bacterial count on the transmitter's hands. RESULTS In total, 6 HCWs performed 30 experiments and 120 trials. The bacterial counts recovered from host hands were directly associated with the bacterial counts on transmitter hands (P1 and ≤3 log10 cfu compared to ≤1 log10. When transmitter contamination was &lt;1 log10 cfu, no cross-transmission was detected. CONCLUSION There is a direct relationship between the bacterial burden on HCWs hands and the likelihood of cross-transmission. Under the described conditions, at least 1 log10 cfu must be present on HCW hands to be potentially transmitted. Further studies are needed at the low contamination range. Infect Control Hosp Epidemiol 2017;38:553-558.","DOI":"10.1017/ice.2017.9","ISSN":"1559-6834","note":"PMID: 28222829","shortTitle":"Assessing the Likelihood of Hand-to-Hand Cross-Transmission of Bacteria","journalAbbreviation":"Infect Control Hosp Epidemiol","language":"eng","author":[{"family":"Bellissimo-Rodrigues","given":"Fernando"},{"family":"Pires","given":"Daniela"},{"family":"Soule","given":"Hervé"},{"family":"Gayet-Ageron","given":"Angèle"},{"family":"Pittet","given":"Didier"}],"issued":{"date-parts":[["2017"]]},"PMID":"28222829"}}],"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lang w:val="en-US"/>
              </w:rPr>
              <w:t>[4,5]</w:t>
            </w:r>
            <w:r w:rsidRPr="00C54618">
              <w:rPr>
                <w:rFonts w:ascii="Times New Roman" w:hAnsi="Times New Roman" w:cs="Times New Roman"/>
                <w:sz w:val="16"/>
                <w:szCs w:val="16"/>
                <w:lang w:val="en-GB"/>
              </w:rPr>
              <w:fldChar w:fldCharType="end"/>
            </w:r>
          </w:p>
        </w:tc>
      </w:tr>
      <w:tr w:rsidR="00DC431D" w:rsidRPr="002C7656"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rr</w:t>
            </w:r>
            <w:r w:rsidRPr="00C54618">
              <w:rPr>
                <w:rFonts w:ascii="Times New Roman" w:hAnsi="Times New Roman" w:cs="Times New Roman"/>
                <w:i/>
                <w:sz w:val="16"/>
                <w:szCs w:val="16"/>
                <w:vertAlign w:val="subscript"/>
                <w:lang w:val="en-GB"/>
              </w:rPr>
              <w:t>cont</w:t>
            </w:r>
            <w:proofErr w:type="spellEnd"/>
          </w:p>
        </w:tc>
        <w:tc>
          <w:tcPr>
            <w:tcW w:w="3865" w:type="dxa"/>
          </w:tcPr>
          <w:p w:rsidR="00DC431D" w:rsidRPr="00C54618" w:rsidRDefault="00DC431D" w:rsidP="00A273F2">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Relative risk of hand contam</w:t>
            </w:r>
            <w:r w:rsidR="00A273F2" w:rsidRPr="00C54618">
              <w:rPr>
                <w:rFonts w:ascii="Times New Roman" w:hAnsi="Times New Roman" w:cs="Times New Roman"/>
                <w:sz w:val="16"/>
                <w:szCs w:val="16"/>
                <w:lang w:val="en-GB"/>
              </w:rPr>
              <w:t>ination after using the toilet</w:t>
            </w:r>
            <w:r w:rsidRPr="00C54618">
              <w:rPr>
                <w:rFonts w:ascii="Times New Roman" w:hAnsi="Times New Roman" w:cs="Times New Roman"/>
                <w:sz w:val="16"/>
                <w:szCs w:val="16"/>
                <w:lang w:val="en-GB"/>
              </w:rPr>
              <w:t xml:space="preserve"> by a colonized person receiving antibiotics</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3 </w:t>
            </w:r>
          </w:p>
        </w:tc>
        <w:tc>
          <w:tcPr>
            <w:tcW w:w="1354" w:type="dxa"/>
          </w:tcPr>
          <w:p w:rsidR="00D632AD" w:rsidRPr="00C54618" w:rsidRDefault="00543793" w:rsidP="00D632AD">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aaXK0byM","properties":{"formattedCitation":"[8,9]","plainCitation":"[8,9]"},"citationItems":[{"id":648,"uris":["http://zotero.org/users/local/hjvuTSYk/items/W5U52C8K"],"uri":["http://zotero.org/users/local/hjvuTSYk/items/W5U52C8K"],"itemData":{"id":648,"type":"article-journal","title":"Effect of antibiotics on the bacterial load of meticillin-resistant Staphylococcus aureus colonisation in anterior nares","container-title":"The Journal of Hospital Infection","page":"27-34","volume":"70","issue":"1","source":"PubMed","abstract":"Prevalence of hospital-acquired meticillin-resistant Staphylococcus aureus (MRSA) infection or colonisation has been associated with antimicrobial consumption. The impact of antibiotic treatment on nasal colonisation is unknown. We conducted a three-month prospective study of 116 patients with extranasal MRSA infection or colonisation, whose nasal MRSA bacterial loads were determined during and after various antibiotic courses over a period of three weeks. Environmental swabs were also taken from the near patient environment. Concomitant nasal MRSA carriage was observed in 76.7% of extranasal MRSA-colonised or -infected patients. The median nasal MRSA bacterial load increased significantly from 2.78 (range 0-6.15) to 5.30 (range 2.90-8.41) log(10) cfu per swab (cfu/swab) (P&lt;0.001) over 21 days during beta-lactam therapy. It also increased from 0 (range 0-4.00) to 4.30 (range 0-7.46) log(10)cfu/swab (P=0.039) over 14 days during fluoroquinolone therapy. Median bacterial loads were significantly higher for beta-lactam- and fluoroquinolone-treated patients on day 7 [4.78, range 0-7.30], day 14 [4.30, range 0-7.60] and day 21 [5.30, range 2.90-8.41] than controls not receiving antibiotics (P&lt;0.05). These loads then decreased by 2-5log(10)cfu/swab 2 weeks after discontinuation of antibiotics. The environment of patients receiving beta-lactam agents (relative risk: 3.55; 95% confidence interval: 1.30-9.62; P=0.018) or fluoroquinolones (4.32; 1.52-12.31; P=0.008) demonstrated more MRSA contamination than the environment around control patients (0.79; 0.67-0.93; P=0.002). Patients on beta-lactam or fluoroquinolone therapy have increased incidence of MRSA colonisation and higher nasal bacterial loads, and appear to spread their MRSA into the near patient environment.","DOI":"10.1016/j.jhin.2008.05.019","ISSN":"0195-6701","note":"PMID: 18632184","journalAbbreviation":"J. Hosp. Infect.","language":"eng","author":[{"family":"Cheng","given":"V. C. C."},{"family":"Li","given":"I. W. S."},{"family":"Wu","given":"A. K. L."},{"family":"Tang","given":"B. S. F."},{"family":"Ng","given":"K. H. L."},{"family":"To","given":"K. K. W."},{"family":"Tse","given":"H."},{"family":"Que","given":"T. L."},{"family":"Ho","given":"P. L."},{"family":"Yuen","given":"K. Y."}],"issued":{"date-parts":[["2008",9]]},"PMID":"18632184"}},{"id":902,"uris":["http://zotero.org/users/local/hjvuTSYk/items/C8Q6IIFH"],"uri":["http://zotero.org/users/local/hjvuTSYk/items/C8Q6IIFH"],"itemData":{"id":902,"type":"article-journal","title":"Colonization pressure adjusted by degree of environmental contamination: A better indicator for predicting methicillin-resistant Staphylococcus aureus acquisition","container-title":"American Journal of Infection Control","page":"763-769","volume":"39","issue":"9","source":"Crossref","DOI":"10.1016/j.ajic.2010.11.012","ISSN":"01966553","shortTitle":"Colonization pressure adjusted by degree of environmental contamination","language":"en","author":[{"family":"Wang","given":"Junrui"},{"family":"Wang","given":"Mei"},{"family":"Huang","given":"Yanfei"},{"family":"Zhu","given":"Min"},{"family":"Wang","given":"Yong"},{"family":"Zhuo","given":"Jie"},{"family":"Lu","given":"Xinxin"}],"issued":{"date-parts":[["2011",11]]}}}],"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[8,9]</w:t>
            </w:r>
            <w:r w:rsidRPr="00C54618">
              <w:rPr>
                <w:rFonts w:ascii="Times New Roman" w:hAnsi="Times New Roman" w:cs="Times New Roman"/>
                <w:sz w:val="16"/>
                <w:szCs w:val="16"/>
                <w:lang w:val="en-GB"/>
              </w:rPr>
              <w:fldChar w:fldCharType="end"/>
            </w:r>
          </w:p>
          <w:p w:rsidR="00DC431D" w:rsidRPr="00C54618" w:rsidRDefault="00DC431D" w:rsidP="00DC431D">
            <w:pPr>
              <w:rPr>
                <w:rFonts w:ascii="Times New Roman" w:hAnsi="Times New Roman" w:cs="Times New Roman"/>
                <w:sz w:val="16"/>
                <w:szCs w:val="16"/>
                <w:lang w:val="en-GB"/>
              </w:rPr>
            </w:pPr>
          </w:p>
        </w:tc>
        <w:tc>
          <w:tcPr>
            <w:tcW w:w="2544" w:type="dxa"/>
          </w:tcPr>
          <w:p w:rsidR="00955B36"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2-</w:t>
            </w:r>
            <w:r w:rsidR="00543793" w:rsidRPr="00C54618">
              <w:rPr>
                <w:rFonts w:ascii="Times New Roman" w:hAnsi="Times New Roman" w:cs="Times New Roman"/>
                <w:sz w:val="16"/>
                <w:szCs w:val="16"/>
                <w:lang w:val="en-GB"/>
              </w:rPr>
              <w:t>9</w:t>
            </w:r>
            <w:r w:rsidR="00543793"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MkGEnhh0","properties":{"formattedCitation":"[8,9]","plainCitation":"[8,9]"},"citationItems":[{"id":648,"uris":["http://zotero.org/users/local/hjvuTSYk/items/W5U52C8K"],"uri":["http://zotero.org/users/local/hjvuTSYk/items/W5U52C8K"],"itemData":{"id":648,"type":"article-journal","title":"Effect of antibiotics on the bacterial load of meticillin-resistant Staphylococcus aureus colonisation in anterior nares","container-title":"The Journal of Hospital Infection","page":"27-34","volume":"70","issue":"1","source":"PubMed","abstract":"Prevalence of hospital-acquired meticillin-resistant Staphylococcus aureus (MRSA) infection or colonisation has been associated with antimicrobial consumption. The impact of antibiotic treatment on nasal colonisation is unknown. We conducted a three-month prospective study of 116 patients with extranasal MRSA infection or colonisation, whose nasal MRSA bacterial loads were determined during and after various antibiotic courses over a period of three weeks. Environmental swabs were also taken from the near patient environment. Concomitant nasal MRSA carriage was observed in 76.7% of extranasal MRSA-colonised or -infected patients. The median nasal MRSA bacterial load increased significantly from 2.78 (range 0-6.15) to 5.30 (range 2.90-8.41) log(10) cfu per swab (cfu/swab) (P&lt;0.001) over 21 days during beta-lactam therapy. It also increased from 0 (range 0-4.00) to 4.30 (range 0-7.46) log(10)cfu/swab (P=0.039) over 14 days during fluoroquinolone therapy. Median bacterial loads were significantly higher for beta-lactam- and fluoroquinolone-treated patients on day 7 [4.78, range 0-7.30], day 14 [4.30, range 0-7.60] and day 21 [5.30, range 2.90-8.41] than controls not receiving antibiotics (P&lt;0.05). These loads then decreased by 2-5log(10)cfu/swab 2 weeks after discontinuation of antibiotics. The environment of patients receiving beta-lactam agents (relative risk: 3.55; 95% confidence interval: 1.30-9.62; P=0.018) or fluoroquinolones (4.32; 1.52-12.31; P=0.008) demonstrated more MRSA contamination than the environment around control patients (0.79; 0.67-0.93; P=0.002). Patients on beta-lactam or fluoroquinolone therapy have increased incidence of MRSA colonisation and higher nasal bacterial loads, and appear to spread their MRSA into the near patient environment.","DOI":"10.1016/j.jhin.2008.05.019","ISSN":"0195-6701","note":"PMID: 18632184","journalAbbreviation":"J. Hosp. Infect.","language":"eng","author":[{"family":"Cheng","given":"V. C. C."},{"family":"Li","given":"I. W. S."},{"family":"Wu","given":"A. K. L."},{"family":"Tang","given":"B. S. F."},{"family":"Ng","given":"K. H. L."},{"family":"To","given":"K. K. W."},{"family":"Tse","given":"H."},{"family":"Que","given":"T. L."},{"family":"Ho","given":"P. L."},{"family":"Yuen","given":"K. Y."}],"issued":{"date-parts":[["2008",9]]},"PMID":"18632184"}},{"id":902,"uris":["http://zotero.org/users/local/hjvuTSYk/items/C8Q6IIFH"],"uri":["http://zotero.org/users/local/hjvuTSYk/items/C8Q6IIFH"],"itemData":{"id":902,"type":"article-journal","title":"Colonization pressure adjusted by degree of environmental contamination: A better indicator for predicting methicillin-resistant Staphylococcus aureus acquisition","container-title":"American Journal of Infection Control","page":"763-769","volume":"39","issue":"9","source":"Crossref","DOI":"10.1016/j.ajic.2010.11.012","ISSN":"01966553","shortTitle":"Colonization pressure adjusted by degree of environmental contamination","language":"en","author":[{"family":"Wang","given":"Junrui"},{"family":"Wang","given":"Mei"},{"family":"Huang","given":"Yanfei"},{"family":"Zhu","given":"Min"},{"family":"Wang","given":"Yong"},{"family":"Zhuo","given":"Jie"},{"family":"Lu","given":"Xinxin"}],"issued":{"date-parts":[["2011",11]]}}}],"schema":"https://github.com/citation-style-language/schema/raw/master/csl-citation.json"} </w:instrText>
            </w:r>
            <w:r w:rsidR="00543793"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lang w:val="en-US"/>
              </w:rPr>
              <w:t>[8,9]</w:t>
            </w:r>
            <w:r w:rsidR="00543793" w:rsidRPr="00C54618">
              <w:rPr>
                <w:rFonts w:ascii="Times New Roman" w:hAnsi="Times New Roman" w:cs="Times New Roman"/>
                <w:sz w:val="16"/>
                <w:szCs w:val="16"/>
                <w:lang w:val="en-GB"/>
              </w:rPr>
              <w:fldChar w:fldCharType="end"/>
            </w:r>
          </w:p>
          <w:p w:rsidR="00AF07AA" w:rsidRPr="00C54618" w:rsidRDefault="00AF07AA" w:rsidP="00904291">
            <w:pPr>
              <w:jc w:val="center"/>
              <w:rPr>
                <w:rFonts w:ascii="Times New Roman" w:hAnsi="Times New Roman" w:cs="Times New Roman"/>
                <w:sz w:val="16"/>
                <w:szCs w:val="16"/>
                <w:lang w:val="en-GB"/>
              </w:rPr>
            </w:pPr>
          </w:p>
          <w:p w:rsidR="00DC431D" w:rsidRPr="00C54618" w:rsidRDefault="00DC431D" w:rsidP="00904291">
            <w:pPr>
              <w:jc w:val="center"/>
              <w:rPr>
                <w:rFonts w:ascii="Times New Roman" w:hAnsi="Times New Roman" w:cs="Times New Roman"/>
                <w:sz w:val="16"/>
                <w:szCs w:val="16"/>
                <w:lang w:val="en-GB"/>
              </w:rPr>
            </w:pPr>
          </w:p>
        </w:tc>
      </w:tr>
      <w:tr w:rsidR="00DC431D" w:rsidRPr="002C7656" w:rsidTr="00CC6CAC">
        <w:tc>
          <w:tcPr>
            <w:tcW w:w="1413" w:type="dxa"/>
            <w:shd w:val="clear" w:color="auto" w:fill="F2F2F2" w:themeFill="background1" w:themeFillShade="F2"/>
          </w:tcPr>
          <w:p w:rsidR="00DC431D" w:rsidRPr="00C54618" w:rsidRDefault="00DC431D" w:rsidP="00DC431D">
            <w:pPr>
              <w:jc w:val="both"/>
              <w:rPr>
                <w:rFonts w:ascii="Times New Roman" w:hAnsi="Times New Roman" w:cs="Times New Roman"/>
                <w:b/>
                <w:i/>
                <w:sz w:val="16"/>
                <w:szCs w:val="16"/>
                <w:lang w:val="en-US"/>
              </w:rPr>
            </w:pPr>
          </w:p>
        </w:tc>
        <w:tc>
          <w:tcPr>
            <w:tcW w:w="3865" w:type="dxa"/>
            <w:shd w:val="clear" w:color="auto" w:fill="F2F2F2" w:themeFill="background1" w:themeFillShade="F2"/>
          </w:tcPr>
          <w:p w:rsidR="00DC431D" w:rsidRPr="00C54618" w:rsidRDefault="00DC431D" w:rsidP="00DC431D">
            <w:pPr>
              <w:jc w:val="both"/>
              <w:rPr>
                <w:rFonts w:ascii="Times New Roman" w:hAnsi="Times New Roman" w:cs="Times New Roman"/>
                <w:b/>
                <w:sz w:val="16"/>
                <w:szCs w:val="16"/>
                <w:lang w:val="en-US"/>
              </w:rPr>
            </w:pPr>
            <w:r w:rsidRPr="00C54618">
              <w:rPr>
                <w:rFonts w:ascii="Times New Roman" w:hAnsi="Times New Roman" w:cs="Times New Roman"/>
                <w:b/>
                <w:sz w:val="16"/>
                <w:szCs w:val="16"/>
                <w:lang w:val="en-GB"/>
              </w:rPr>
              <w:t>Colonisation</w:t>
            </w:r>
          </w:p>
        </w:tc>
        <w:tc>
          <w:tcPr>
            <w:tcW w:w="1309" w:type="dxa"/>
            <w:shd w:val="clear" w:color="auto" w:fill="F2F2F2" w:themeFill="background1" w:themeFillShade="F2"/>
          </w:tcPr>
          <w:p w:rsidR="00DC431D" w:rsidRPr="00C54618" w:rsidRDefault="00DC431D" w:rsidP="00DC431D">
            <w:pPr>
              <w:jc w:val="center"/>
              <w:rPr>
                <w:rFonts w:ascii="Times New Roman" w:hAnsi="Times New Roman" w:cs="Times New Roman"/>
                <w:sz w:val="16"/>
                <w:szCs w:val="16"/>
                <w:lang w:val="en-US"/>
              </w:rPr>
            </w:pPr>
          </w:p>
        </w:tc>
        <w:tc>
          <w:tcPr>
            <w:tcW w:w="1354" w:type="dxa"/>
            <w:shd w:val="clear" w:color="auto" w:fill="F2F2F2" w:themeFill="background1" w:themeFillShade="F2"/>
          </w:tcPr>
          <w:p w:rsidR="00DC431D" w:rsidRPr="00C54618" w:rsidRDefault="00DC431D" w:rsidP="00DC431D">
            <w:pPr>
              <w:jc w:val="both"/>
              <w:rPr>
                <w:rFonts w:ascii="Times New Roman" w:hAnsi="Times New Roman" w:cs="Times New Roman"/>
                <w:sz w:val="16"/>
                <w:szCs w:val="16"/>
                <w:lang w:val="en-US"/>
              </w:rPr>
            </w:pPr>
          </w:p>
        </w:tc>
        <w:tc>
          <w:tcPr>
            <w:tcW w:w="2544" w:type="dxa"/>
            <w:shd w:val="clear" w:color="auto" w:fill="F2F2F2" w:themeFill="background1" w:themeFillShade="F2"/>
          </w:tcPr>
          <w:p w:rsidR="00DC431D" w:rsidRPr="00C54618" w:rsidRDefault="00DC431D" w:rsidP="00904291">
            <w:pPr>
              <w:jc w:val="center"/>
              <w:rPr>
                <w:rFonts w:ascii="Times New Roman" w:hAnsi="Times New Roman" w:cs="Times New Roman"/>
                <w:sz w:val="16"/>
                <w:szCs w:val="16"/>
                <w:lang w:val="en-US"/>
              </w:rPr>
            </w:pPr>
          </w:p>
        </w:tc>
      </w:tr>
      <w:tr w:rsidR="00DC431D" w:rsidRPr="002C7656" w:rsidTr="00CC6CAC">
        <w:tc>
          <w:tcPr>
            <w:tcW w:w="1413" w:type="dxa"/>
          </w:tcPr>
          <w:p w:rsidR="00DC431D" w:rsidRPr="00C54618" w:rsidRDefault="00DC431D" w:rsidP="00DC431D">
            <w:pPr>
              <w:jc w:val="both"/>
              <w:rPr>
                <w:rFonts w:ascii="Times New Roman" w:hAnsi="Times New Roman" w:cs="Times New Roman"/>
                <w:i/>
                <w:sz w:val="16"/>
                <w:szCs w:val="16"/>
                <w:lang w:val="en-US"/>
              </w:rPr>
            </w:pPr>
            <w:proofErr w:type="spellStart"/>
            <w:r w:rsidRPr="00C54618">
              <w:rPr>
                <w:rFonts w:ascii="Times New Roman" w:hAnsi="Times New Roman" w:cs="Times New Roman"/>
                <w:i/>
                <w:sz w:val="16"/>
                <w:szCs w:val="16"/>
                <w:lang w:val="en-US"/>
              </w:rPr>
              <w:t>p</w:t>
            </w:r>
            <w:r w:rsidRPr="00C54618">
              <w:rPr>
                <w:rFonts w:ascii="Times New Roman" w:hAnsi="Times New Roman" w:cs="Times New Roman"/>
                <w:i/>
                <w:sz w:val="16"/>
                <w:szCs w:val="16"/>
                <w:vertAlign w:val="subscript"/>
                <w:lang w:val="en-US"/>
              </w:rPr>
              <w:t>col</w:t>
            </w:r>
            <w:proofErr w:type="spellEnd"/>
          </w:p>
        </w:tc>
        <w:tc>
          <w:tcPr>
            <w:tcW w:w="3865" w:type="dxa"/>
          </w:tcPr>
          <w:p w:rsidR="00DC431D" w:rsidRPr="00C54618" w:rsidRDefault="00DC431D" w:rsidP="0012437C">
            <w:pPr>
              <w:jc w:val="both"/>
              <w:rPr>
                <w:rFonts w:ascii="Times New Roman" w:hAnsi="Times New Roman" w:cs="Times New Roman"/>
                <w:sz w:val="16"/>
                <w:szCs w:val="16"/>
                <w:lang w:val="en-US"/>
              </w:rPr>
            </w:pPr>
            <w:r w:rsidRPr="00C54618">
              <w:rPr>
                <w:rFonts w:ascii="Times New Roman" w:hAnsi="Times New Roman" w:cs="Times New Roman"/>
                <w:sz w:val="16"/>
                <w:szCs w:val="16"/>
                <w:lang w:val="en-US"/>
              </w:rPr>
              <w:t xml:space="preserve">Daily probability of gut </w:t>
            </w:r>
            <w:proofErr w:type="spellStart"/>
            <w:r w:rsidRPr="00C54618">
              <w:rPr>
                <w:rFonts w:ascii="Times New Roman" w:hAnsi="Times New Roman" w:cs="Times New Roman"/>
                <w:sz w:val="16"/>
                <w:szCs w:val="16"/>
                <w:lang w:val="en-US"/>
              </w:rPr>
              <w:t>colonisation</w:t>
            </w:r>
            <w:proofErr w:type="spellEnd"/>
            <w:r w:rsidRPr="00C54618">
              <w:rPr>
                <w:rFonts w:ascii="Times New Roman" w:hAnsi="Times New Roman" w:cs="Times New Roman"/>
                <w:sz w:val="16"/>
                <w:szCs w:val="16"/>
                <w:lang w:val="en-US"/>
              </w:rPr>
              <w:t xml:space="preserve"> in a contaminated person</w:t>
            </w:r>
            <w:r w:rsidR="0012437C" w:rsidRPr="00C54618">
              <w:rPr>
                <w:rFonts w:ascii="Times New Roman" w:hAnsi="Times New Roman" w:cs="Times New Roman"/>
                <w:sz w:val="16"/>
                <w:szCs w:val="16"/>
                <w:lang w:val="en-US"/>
              </w:rPr>
              <w:t xml:space="preserve"> </w:t>
            </w:r>
          </w:p>
        </w:tc>
        <w:tc>
          <w:tcPr>
            <w:tcW w:w="1309" w:type="dxa"/>
          </w:tcPr>
          <w:p w:rsidR="00DC431D" w:rsidRPr="00C54618" w:rsidRDefault="00DC431D" w:rsidP="00DC431D">
            <w:pPr>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0</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012</w:t>
            </w:r>
          </w:p>
        </w:tc>
        <w:tc>
          <w:tcPr>
            <w:tcW w:w="1354" w:type="dxa"/>
          </w:tcPr>
          <w:p w:rsidR="00DC431D" w:rsidRPr="00C54618" w:rsidRDefault="00DC431D" w:rsidP="00DC431D">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Pr="00C54618">
              <w:rPr>
                <w:rFonts w:ascii="Times New Roman" w:hAnsi="Times New Roman" w:cs="Times New Roman"/>
                <w:sz w:val="16"/>
                <w:szCs w:val="16"/>
                <w:lang w:val="en-GB"/>
              </w:rPr>
              <w:instrText xml:space="preserve"> ADDIN ZOTERO_ITEM CSL_CITATION {"citationID":"62qmu3su6","properties":{"formattedCitation":"[21]","plainCitation":"[21]","dontUpdate":true},"citationItems":[{"id":650,"uris":["http://zotero.org/users/local/hjvuTSYk/items/FXH3KQTA"],"uri":["http://zotero.org/users/local/hjvuTSYk/items/FXH3KQTA"],"itemData":{"id":650,"type":"article-journal","title":"Quantitative assessment of risk reduction from hand washing with antibacterial soaps","container-title":"Journal of Applied Microbiology","page":"136S-43S","volume":"92 Suppl","source":"PubMed","abstract":"The Centers for Disease Control and Prevention have estimated that there are 3,713,000 cases of infectious disease associated with day care facilities each year. The objective of this study was to examine the risk reduction achieved from using different soap formulations after diaper changing using a microbial quantitative risk assessment approach. To achieve this, a probability of infection model and an exposure assessment based on micro-organism transfer were used to evaluate the efficacy of different soap formulations in reducing the probability of disease following hand contact with an enteric pathogen. Based on this model, it was determined that the probability of infection ranged from 24/100 to 91/100 for those changing diapers of babies with symptomatic shigellosis who used a control product (soap without an antibacterial ingredient), 22/100 to 91/100 for those who used an antibacterial soap (chlorohexadine 4%), and 15/100 to 90/100 for those who used a triclosan (1.5%) antibacterial soap. Those with asymptomatic shigellosis who used a non-antibacterial control soap had a risk between 49/100,000 and 53/100, those who used the 4% chlorohexadine-containing soap had a risk between 43/100,000 and 51/100, and for those who used a 1.5% triclosan soap had a risk between 21/100,000 and 43/100. The adequate washing of hands after diapering reduces risk and can be further reduced by a factor of 20% by the use of an antibacterial soap. Quantitative risk assessment is a valuable tool in the evaluation of household sanitizing agents and low risk outcomes.","ISSN":"1364-5072","note":"PMID: 12000622","journalAbbreviation":"J. Appl. Microbiol.","language":"eng","author":[{"family":"Gibson","given":"L. L."},{"family":"Rose","given":"J. B."},{"family":"Haas","given":"C. N."},{"family":"Gerba","given":"C. P."},{"family":"Rusin","given":"P. A."}],"issued":{"date-parts":[["2002"]]},"PMID":"12000622"}}],"schema":"https://github.com/citation-style-language/schema/raw/master/csl-citation.json"} </w:instrText>
            </w:r>
            <w:r w:rsidRPr="00C54618">
              <w:rPr>
                <w:rFonts w:ascii="Times New Roman" w:hAnsi="Times New Roman" w:cs="Times New Roman"/>
                <w:sz w:val="16"/>
                <w:szCs w:val="16"/>
                <w:lang w:val="en-GB"/>
              </w:rPr>
              <w:fldChar w:fldCharType="separate"/>
            </w:r>
            <w:r w:rsidRPr="00C54618">
              <w:rPr>
                <w:rFonts w:ascii="Times New Roman" w:hAnsi="Times New Roman" w:cs="Times New Roman"/>
                <w:sz w:val="16"/>
                <w:szCs w:val="16"/>
                <w:lang w:val="en-US"/>
              </w:rPr>
              <w:t>Calibrated</w:t>
            </w:r>
            <w:r w:rsidRPr="00C54618">
              <w:rPr>
                <w:rFonts w:ascii="Times New Roman" w:hAnsi="Times New Roman" w:cs="Times New Roman"/>
                <w:sz w:val="16"/>
                <w:szCs w:val="16"/>
                <w:lang w:val="en-GB"/>
              </w:rPr>
              <w:fldChar w:fldCharType="end"/>
            </w:r>
            <w:r w:rsidRPr="00C54618">
              <w:rPr>
                <w:rFonts w:ascii="Times New Roman" w:hAnsi="Times New Roman" w:cs="Times New Roman"/>
                <w:sz w:val="16"/>
                <w:szCs w:val="16"/>
                <w:lang w:val="en-GB"/>
              </w:rPr>
              <w:t xml:space="preserve"> to reproduce the transmission rate from </w:t>
            </w: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1m0a1f8vkh","properties":{"formattedCitation":"[1]","plainCitation":"[1]"},"citationItems":[{"id":457,"uris":["http://zotero.org/users/local/hjvuTSYk/items/EQ2CM7GZ"],"uri":["http://zotero.org/users/local/hjvuTSYk/items/EQ2CM7GZ"],"itemData":{"id":457,"type":"article-journal","title":"Import and spread of extended-spectrum β-lactamase-producing Enterobacteriaceae by international travellers (COMBAT study): a prospective, multicentre cohort study","container-title":"The Lancet Infectious Diseases","page":"78-85","volume":"17","issue":"1","source":"www.thelancet.com","abstract":"&lt;h2&gt;Summary&lt;/h2&gt;&lt;h3&gt;Background&lt;/h3&gt;&lt;p&gt;International travel contributes to the dissemination of antimicrobial resistance. We investigated the acquisition of extended-spectrum β-lactamase-producing Enterobacteriaceae (ESBL-E) during international travel, with a focus on predictive factors for acquisition, duration of colonisation, and probability of onward transmission.&lt;/p&gt;&lt;h3&gt;Methods&lt;/h3&gt;&lt;p&gt;Within the prospective, multicentre COMBAT study, 2001 Dutch travellers and 215 non-travelling household members were enrolled. Faecal samples and questionnaires on demographics, illnesses, and behaviour were collected before travel and immediately and 1, 3, 6, and 12 months after return. Samples were screened for the presence of ESBL-E. In post-travel samples, ESBL genes were sequenced and PCR with specific primers for plasmid-encoded β-lactamase enzymes TEM, SHV, and CTX-M group 1, 2, 8, 9, and 25 was used to confirm the presence of ESBL genes in follow-up samples. Multivariable regression analyses and mathematical modelling were used to identify predictors for acquisition and sustained carriage, and to determine household transmission rates. This study is registered with ClinicalTrials.gov, number NCT01676974.&lt;/p&gt;&lt;h3&gt;Findings&lt;/h3&gt;&lt;p&gt;633 (34·3%) of 1847 travellers who were ESBL negative before travel and had available samples after return had acquired ESBL-E during international travel (95% CI 32·1–36·5), with the highest number of acquisitions being among those who travelled to southern Asia in 136 of 181 (75·1%, 95% CI 68·4–80·9). Important predictors for acquisition of ESBL-E were antibiotic use during travel (adjusted odds ratio 2·69, 95% CI 1·79–4·05), traveller's diarrhoea that persisted after return (2·31, 1·42–3·76), and pre-existing chronic bowel disease (2·10, 1·13–3·90). The median duration of colonisation after travel was 30 days (95% CI 29–33). 65 (11·3%) of 577 remained colonised at 12 months. CTX-M enzyme group 9 ESBLs were associated with a significantly increased risk of sustained carriage (median duration 75 days, 95% CI 48–102, p=0·0001). Onward transmission was found in 13 (7·7%) of 168 household members. The probability of transmitting ESBL-E to another household member was 12% (95% CI 5–18).&lt;/p&gt;&lt;h3&gt;Interpretation&lt;/h3&gt;&lt;p&gt;Acquisition and spread of ESBL-E during and after international travel was substantial and worrisome. Travellers to areas with a high risk of ESBL-E acquisition should be viewed as potential carriers of ESBL-E for up to 12 months after return.&lt;/p&gt;&lt;h3&gt;Funding&lt;/h3&gt;&lt;p&gt;Netherlands Organisation for Health Research and Development (ZonMw).&lt;/p&gt;","DOI":"10.1016/S1473-3099(16)30319-X","ISSN":"1473-3099, 1474-4457","note":"PMID: 27751772, 27751772","shortTitle":"Import and spread of extended-spectrum β-lactamase-producing Enterobacteriaceae by international travellers (COMBAT study)","journalAbbreviation":"The Lancet Infectious Diseases","language":"English","author":[{"family":"Arcilla","given":"Maris S."},{"family":"Hattem","given":"Jarne M.","dropping-particle":"van"},{"family":"Haverkate","given":"Manon R."},{"family":"Bootsma","given":"Martin C. J."},{"family":"Genderen","given":"Perry J. J.","dropping-particle":"van"},{"family":"Goorhuis","given":"Abraham"},{"family":"Grobusch","given":"Martin P."},{"family":"Lashof","given":"Astrid M. Oude"},{"family":"Molhoek","given":"Nicky"},{"family":"Schultsz","given":"Constance"},{"family":"Stobberingh","given":"Ellen E."},{"family":"Verbrugh","given":"Henri A."},{"family":"Jong","given":"Menno D.","dropping-particle":"de"},{"family":"Melles","given":"Damian C."},{"family":"Penders","given":"John"}],"issued":{"date-parts":[["2017",1,1]]},"PMID":"27751772"}}],"schema":"https://github.com/citation-style-language/schema/raw/master/csl-citation.json"}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lang w:val="en-US"/>
              </w:rPr>
              <w:t>[1]</w:t>
            </w:r>
            <w:r w:rsidRPr="00C54618">
              <w:rPr>
                <w:rFonts w:ascii="Times New Roman" w:hAnsi="Times New Roman" w:cs="Times New Roman"/>
                <w:sz w:val="16"/>
                <w:szCs w:val="16"/>
                <w:lang w:val="en-GB"/>
              </w:rPr>
              <w:fldChar w:fldCharType="end"/>
            </w:r>
            <w:r w:rsidRPr="00C54618">
              <w:rPr>
                <w:rFonts w:ascii="Times New Roman" w:hAnsi="Times New Roman" w:cs="Times New Roman"/>
                <w:sz w:val="16"/>
                <w:szCs w:val="16"/>
                <w:lang w:val="en-GB"/>
              </w:rPr>
              <w:t xml:space="preserve"> </w:t>
            </w:r>
          </w:p>
        </w:tc>
        <w:tc>
          <w:tcPr>
            <w:tcW w:w="2544" w:type="dxa"/>
          </w:tcPr>
          <w:p w:rsidR="00DC431D"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006-0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018</w:t>
            </w:r>
          </w:p>
        </w:tc>
      </w:tr>
      <w:tr w:rsidR="0012437C" w:rsidRPr="002C7656" w:rsidTr="00CC6CAC">
        <w:tc>
          <w:tcPr>
            <w:tcW w:w="1413" w:type="dxa"/>
          </w:tcPr>
          <w:p w:rsidR="0012437C" w:rsidRPr="00C54618" w:rsidRDefault="0012437C" w:rsidP="00DC431D">
            <w:pPr>
              <w:jc w:val="both"/>
              <w:rPr>
                <w:rFonts w:ascii="Times New Roman" w:hAnsi="Times New Roman" w:cs="Times New Roman"/>
                <w:i/>
                <w:sz w:val="16"/>
                <w:szCs w:val="16"/>
                <w:lang w:val="en-US"/>
              </w:rPr>
            </w:pPr>
            <w:proofErr w:type="spellStart"/>
            <w:r w:rsidRPr="00C54618">
              <w:rPr>
                <w:rFonts w:ascii="Times New Roman" w:hAnsi="Times New Roman" w:cs="Times New Roman"/>
                <w:i/>
                <w:sz w:val="16"/>
                <w:szCs w:val="16"/>
                <w:lang w:val="en-US"/>
              </w:rPr>
              <w:t>p</w:t>
            </w:r>
            <w:r w:rsidRPr="00C54618">
              <w:rPr>
                <w:rFonts w:ascii="Times New Roman" w:hAnsi="Times New Roman" w:cs="Times New Roman"/>
                <w:i/>
                <w:sz w:val="16"/>
                <w:szCs w:val="16"/>
                <w:vertAlign w:val="subscript"/>
                <w:lang w:val="en-US"/>
              </w:rPr>
              <w:t>col,feed</w:t>
            </w:r>
            <w:proofErr w:type="spellEnd"/>
          </w:p>
        </w:tc>
        <w:tc>
          <w:tcPr>
            <w:tcW w:w="3865" w:type="dxa"/>
          </w:tcPr>
          <w:p w:rsidR="0012437C" w:rsidRPr="00C54618" w:rsidRDefault="0012437C" w:rsidP="0012437C">
            <w:pPr>
              <w:jc w:val="both"/>
              <w:rPr>
                <w:rFonts w:ascii="Times New Roman" w:hAnsi="Times New Roman" w:cs="Times New Roman"/>
                <w:sz w:val="16"/>
                <w:szCs w:val="16"/>
                <w:lang w:val="en-US"/>
              </w:rPr>
            </w:pPr>
            <w:r w:rsidRPr="00C54618">
              <w:rPr>
                <w:rFonts w:ascii="Times New Roman" w:hAnsi="Times New Roman" w:cs="Times New Roman"/>
                <w:sz w:val="16"/>
                <w:szCs w:val="16"/>
                <w:lang w:val="en-US"/>
              </w:rPr>
              <w:t xml:space="preserve">Daily probability of gut colonization in a baby </w:t>
            </w:r>
            <w:proofErr w:type="spellStart"/>
            <w:r w:rsidRPr="00C54618">
              <w:rPr>
                <w:rFonts w:ascii="Times New Roman" w:hAnsi="Times New Roman" w:cs="Times New Roman"/>
                <w:sz w:val="16"/>
                <w:szCs w:val="16"/>
                <w:lang w:val="en-US"/>
              </w:rPr>
              <w:t>feeded</w:t>
            </w:r>
            <w:proofErr w:type="spellEnd"/>
            <w:r w:rsidRPr="00C54618">
              <w:rPr>
                <w:rFonts w:ascii="Times New Roman" w:hAnsi="Times New Roman" w:cs="Times New Roman"/>
                <w:sz w:val="16"/>
                <w:szCs w:val="16"/>
                <w:lang w:val="en-US"/>
              </w:rPr>
              <w:t xml:space="preserve"> by a contaminated person</w:t>
            </w:r>
          </w:p>
        </w:tc>
        <w:tc>
          <w:tcPr>
            <w:tcW w:w="1309" w:type="dxa"/>
          </w:tcPr>
          <w:p w:rsidR="0012437C" w:rsidRPr="00C54618" w:rsidRDefault="0039658C" w:rsidP="00DC431D">
            <w:pPr>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0</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012</w:t>
            </w:r>
          </w:p>
        </w:tc>
        <w:tc>
          <w:tcPr>
            <w:tcW w:w="1354" w:type="dxa"/>
          </w:tcPr>
          <w:p w:rsidR="0012437C" w:rsidRPr="00C54618" w:rsidRDefault="0039658C" w:rsidP="00DC431D">
            <w:pPr>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Assumed the same as </w:t>
            </w:r>
            <w:r w:rsidRPr="00C54618">
              <w:rPr>
                <w:rFonts w:ascii="Times New Roman" w:hAnsi="Times New Roman" w:cs="Times New Roman"/>
                <w:i/>
                <w:sz w:val="16"/>
                <w:szCs w:val="16"/>
                <w:lang w:val="en-US"/>
              </w:rPr>
              <w:t xml:space="preserve"> </w:t>
            </w:r>
            <w:proofErr w:type="spellStart"/>
            <w:r w:rsidRPr="00C54618">
              <w:rPr>
                <w:rFonts w:ascii="Times New Roman" w:hAnsi="Times New Roman" w:cs="Times New Roman"/>
                <w:i/>
                <w:sz w:val="16"/>
                <w:szCs w:val="16"/>
                <w:lang w:val="en-US"/>
              </w:rPr>
              <w:t>p</w:t>
            </w:r>
            <w:r w:rsidRPr="00C54618">
              <w:rPr>
                <w:rFonts w:ascii="Times New Roman" w:hAnsi="Times New Roman" w:cs="Times New Roman"/>
                <w:i/>
                <w:sz w:val="16"/>
                <w:szCs w:val="16"/>
                <w:vertAlign w:val="subscript"/>
                <w:lang w:val="en-US"/>
              </w:rPr>
              <w:t>col</w:t>
            </w:r>
            <w:proofErr w:type="spellEnd"/>
          </w:p>
        </w:tc>
        <w:tc>
          <w:tcPr>
            <w:tcW w:w="2544" w:type="dxa"/>
          </w:tcPr>
          <w:p w:rsidR="0012437C" w:rsidRPr="00C54618" w:rsidRDefault="0012437C" w:rsidP="00904291">
            <w:pPr>
              <w:jc w:val="center"/>
              <w:rPr>
                <w:rFonts w:ascii="Times New Roman" w:hAnsi="Times New Roman" w:cs="Times New Roman"/>
                <w:sz w:val="16"/>
                <w:szCs w:val="16"/>
                <w:lang w:val="en-GB"/>
              </w:rPr>
            </w:pPr>
          </w:p>
        </w:tc>
      </w:tr>
      <w:tr w:rsidR="00DC431D" w:rsidRPr="00D54669" w:rsidTr="00CC6CAC">
        <w:tc>
          <w:tcPr>
            <w:tcW w:w="1413" w:type="dxa"/>
          </w:tcPr>
          <w:p w:rsidR="00DC431D" w:rsidRPr="00C54618" w:rsidRDefault="00DC431D" w:rsidP="00DC431D">
            <w:pPr>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rr</w:t>
            </w:r>
            <w:r w:rsidRPr="00C54618">
              <w:rPr>
                <w:rFonts w:ascii="Times New Roman" w:hAnsi="Times New Roman" w:cs="Times New Roman"/>
                <w:i/>
                <w:sz w:val="16"/>
                <w:szCs w:val="16"/>
                <w:vertAlign w:val="subscript"/>
                <w:lang w:val="en-GB"/>
              </w:rPr>
              <w:t>col</w:t>
            </w:r>
            <w:proofErr w:type="spellEnd"/>
          </w:p>
        </w:tc>
        <w:tc>
          <w:tcPr>
            <w:tcW w:w="3865" w:type="dxa"/>
          </w:tcPr>
          <w:p w:rsidR="00DC431D" w:rsidRPr="00C54618" w:rsidRDefault="00DC431D" w:rsidP="00DC431D">
            <w:pPr>
              <w:rPr>
                <w:rFonts w:ascii="Times New Roman" w:hAnsi="Times New Roman" w:cs="Times New Roman"/>
                <w:sz w:val="16"/>
                <w:szCs w:val="16"/>
                <w:lang w:val="en-GB"/>
              </w:rPr>
            </w:pPr>
            <w:r w:rsidRPr="00C54618">
              <w:rPr>
                <w:rFonts w:ascii="Times New Roman" w:hAnsi="Times New Roman" w:cs="Times New Roman"/>
                <w:sz w:val="16"/>
                <w:szCs w:val="16"/>
                <w:lang w:val="en-GB"/>
              </w:rPr>
              <w:t>Relative risk of gut colonisation in a contaminated person receiving antibiotics</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3</w:t>
            </w:r>
          </w:p>
        </w:tc>
        <w:tc>
          <w:tcPr>
            <w:tcW w:w="1354" w:type="dxa"/>
          </w:tcPr>
          <w:p w:rsidR="00DC431D" w:rsidRPr="00C54618" w:rsidRDefault="00DC431D" w:rsidP="00DC431D">
            <w:pPr>
              <w:rPr>
                <w:rFonts w:ascii="Times New Roman" w:hAnsi="Times New Roman" w:cs="Times New Roman"/>
                <w:sz w:val="16"/>
                <w:szCs w:val="16"/>
                <w:lang w:val="en-GB"/>
              </w:rPr>
            </w:pPr>
            <w:r w:rsidRPr="00C54618">
              <w:rPr>
                <w:rFonts w:ascii="Times New Roman" w:hAnsi="Times New Roman" w:cs="Times New Roman"/>
                <w:sz w:val="16"/>
                <w:szCs w:val="16"/>
                <w:lang w:val="en-US"/>
              </w:rPr>
              <w:fldChar w:fldCharType="begin"/>
            </w:r>
            <w:r w:rsidR="008C5DFA">
              <w:rPr>
                <w:rFonts w:ascii="Times New Roman" w:hAnsi="Times New Roman" w:cs="Times New Roman"/>
                <w:sz w:val="16"/>
                <w:szCs w:val="16"/>
                <w:lang w:val="en-GB"/>
              </w:rPr>
              <w:instrText xml:space="preserve"> ADDIN ZOTERO_ITEM CSL_CITATION {"citationID":"2djfz02D","properties":{"formattedCitation":"{\\rtf [10\\uc0\\u8211{}13]}","plainCitation":"[10–13]"},"citationItems":[{"id":652,"uris":["http://zotero.org/users/local/hjvuTSYk/items/5ZPIWAD5"],"uri":["http://zotero.org/users/local/hjvuTSYk/items/5ZPIWAD5"],"itemData":{"id":652,"type":"article-journal","title":"Risk factors for acquisition of OXA-48-producing Klebsiella pneumonia among contact patients: a multicentre study","container-title":"The Journal of Hospital Infection","page":"253-259","volume":"98","issue":"3","source":"PubMed","abstract":"BACKGROUND: Cohorting carbapenemase-producing Enterobacteriaceae (CPE) carriers during hospitalization limits in-hospital spreading.\nAIM: To identify risk factors for CPE acquisition among contacts of an index patient in non-cohorted populations.\nMETHODS: A multicentre retrospective matched case-control study was conducted in five hospitals. Each contact patient (case) who acquired Klebsiella pneumoniae (KP)-OXA-48 from an index patient was compared to three contact (controls) with the same index patients matched with hospitalization in the same unit and similar exposure times.\nFINDINGS: Fifty-one secondary cases and 131 controls were included. By univariate analysis, exposure time (odds ratio: 1.06; 95% confidence interval: 1.02-1.1; P = 0.006), concomitant infection at admission (3.23; 1.42-7.35; P = 0.005), antimicrobial therapy within the last month before hospitalization (2.88; 1.34-6.2; P = 0.007), antimicrobial therapy during the exposure time (5.36; 2.28-12.6; P &lt; 0.001), use of at least one invasive procedure (2.99; 1.25-7.15; P = 0.014), number of invasive procedures (1.52; 1.05-2.19; P = 0.025), and geographical proximity (2.84; 1.15-7.00; P = 0.023) were associated with CPE acquisition. By multivariate analysis, antimicrobial therapy during the exposure time (odds ratio: 6.36; 95% confidence interval: 2.46-16.44; P &lt; 0.001), at least one invasive procedure (2.92; 1.04-8.17; P = 0.041), and geographical proximity (3.69; 1.15-11.86; P = 0.028) were associated with acquisition.\nCONCLUSION: In this study, geographical proximity, invasive procedure, and antimicrobial therapy during exposure time were significantly associated with KP-OXA-48 acquisition.","DOI":"10.1016/j.jhin.2017.08.024","ISSN":"1532-2939","note":"PMID: 28882642","shortTitle":"Risk factors for acquisition of OXA-48-producing Klebsiella pneumonia among contact patients","journalAbbreviation":"J. Hosp. Infect.","language":"eng","author":[{"family":"Hilliquin","given":"D."},{"family":"Le Guern","given":"R."},{"family":"Thepot Seegers","given":"V."},{"family":"Neulier","given":"C."},{"family":"Lomont","given":"A."},{"family":"Marie","given":"V."},{"family":"Legeay","given":"C."},{"family":"Merrer","given":"J."},{"family":"Lepelletier","given":"D."},{"family":"Rogues","given":"A. M."},{"family":"Grandbastien","given":"B."},{"family":"Lucet","given":"J. C."},{"family":"Zahar","given":"J. R."}],"issued":{"date-parts":[["2018",3]]},"PMID":"28882642"}},{"id":654,"uris":["http://zotero.org/users/local/hjvuTSYk/items/G8ZNZDC9"],"uri":["http://zotero.org/users/local/hjvuTSYk/items/G8ZNZDC9"],"itemData":{"id":654,"type":"article-journal","title":"Antecedent Treatment with Different Antibiotic Agents as a Risk Factor for Vancomycin-Resistant Enterococcus","container-title":"Emerging Infectious Diseases","page":"802-807","volume":"8","issue":"8","source":"PubMed Central","abstract":"We conducted a matched case-control study to compare the effect of antecedent treatment with various antibiotics on subsequent isolation of vancomycin-resistant Enterococcus (VRE); 880 in-patients; 233 VRE cases, and 647 matched controls were included. After being matched for hospital location, calendar time, and duration of hospitalization, the following variables predicted VRE positivity: main admitting diagnosis; a coexisting condition (e.g., diabetes mellitus, organ transplant, or hepatobiliary disease); and infection or colonization with methicillin-resistant Staphylococcus aureus or Clostridium difficile within the past year (independent of vancomycin treatment). After controlling for these variables, we examined the effect of various antibiotics. Intravenous treatment with third-generation cephalosporins, metronidazole, and fluoroquinolones was positively associated with VRE. In our institution, when we adjusted the data for temporo-spatial factors, patient characteristics, and hospital events, treatment with third-generation cephalosporins, metronidazole, and fluoroquinolones was identified as a risk factor for VRE. Vancomycin was not a risk factor for isolation of VRE.","DOI":"10.3201/eid0808.010418","ISSN":"1080-6040","note":"PMID: 12141965\nPMCID: PMC2732508","journalAbbreviation":"Emerg Infect Dis","author":[{"family":"Carmeli","given":"Yehuda"},{"family":"Eliopoulos","given":"George M."},{"family":"Samore","given":"Matthew H."}],"issued":{"date-parts":[["2002",8]]},"PMID":"12141965","PMCID":"PMC2732508"}},{"id":793,"uris":["http://zotero.org/users/local/hjvuTSYk/items/N2IK8UBE"],"uri":["http://zotero.org/users/local/hjvuTSYk/items/N2IK8UBE"],"itemData":{"id":793,"type":"article-journal","title":"Risk factors associated with extended-spectrum β-lactamase-producing organisms at a tertiary care hospital","container-title":"Journal of Antimicrobial Chemotherapy","page":"139-145","volume":"56","issue":"1","source":"academic.oup.com","abstract":"Abstract.  Background: In 1995, β-lactam inhibitor combinations replaced third-generation cephalosporins as empirical therapy in an effort to manage extended-sp","DOI":"10.1093/jac/dki180","ISSN":"0305-7453","journalAbbreviation":"J Antimicrob Chemother","language":"en","author":[{"family":"Graffunder","given":"Eileen M."},{"family":"Preston","given":"Karen E."},{"family":"Evans","given":"Ann M."},{"family":"Venezia","given":"Richard A."}],"issued":{"date-parts":[["2005",7,1]]}}},{"id":796,"uris":["http://zotero.org/users/local/hjvuTSYk/items/BJ2FKAQ6"],"uri":["http://zotero.org/users/local/hjvuTSYk/items/BJ2FKAQ6"],"itemData":{"id":796,"type":"article-journal","title":"Effect of Antibiotic Therapy on the Density of Vancomycin-Resistant Enterococci in the Stool of Colonized Patients","container-title":"New England Journal of Medicine","page":"1925-1932","volume":"343","issue":"26","source":"Taylor and Francis+NEJM","abstract":"In case–control studies, colonization and infection with vancomycin-resistant enterococci have been associated with exposure to vancomycin,1–6 third-generation cephalosporins,3–6 antibiotics that are active against anaerobes,3,6–8 ciprofloxacin,1 and aminoglycosides.4 The microbiologic basis for these associations is not well defined. If some antibiotics promote colonization and infection more than others that are equally effective, limiting the use of these agents may limit the spread of vancomycin-resistant enterococci. We previously examined the effect of various antibiotics on intestinal colonization with vancomycin-resistant enterococci in mice.9 In mice with established colonization, as evidenced by the high density of vancomycin-resistant enterococci in stool, . . .","DOI":"10.1056/NEJM200012283432604","ISSN":"0028-4793","note":"PMID: 11136263","author":[{"family":"Donskey","given":"Curtis J."},{"family":"Chowdhry","given":"Tanvir K."},{"family":"Hecker","given":"Michelle T."},{"family":"Hoyen","given":"Claudia K."},{"family":"Hanrahan","given":"Jennifer A."},{"family":"Hujer","given":"Andrea M."},{"family":"Hutton-Thomas","given":"Rebecca A."},{"family":"Whalen","given":"Christopher C."},{"family":"Bonomo","given":"Robert A."},{"family":"Rice","given":"Louis B."}],"issued":{"date-parts":[["2000",12,28]]},"PMID":"11136263"}}],"schema":"https://github.com/citation-style-language/schema/raw/master/csl-citation.json"} </w:instrText>
            </w:r>
            <w:r w:rsidRPr="00C54618">
              <w:rPr>
                <w:rFonts w:ascii="Times New Roman" w:hAnsi="Times New Roman" w:cs="Times New Roman"/>
                <w:sz w:val="16"/>
                <w:szCs w:val="16"/>
                <w:lang w:val="en-US"/>
              </w:rPr>
              <w:fldChar w:fldCharType="separate"/>
            </w:r>
            <w:r w:rsidR="008C5DFA" w:rsidRPr="008C5DFA">
              <w:rPr>
                <w:rFonts w:ascii="Times New Roman" w:hAnsi="Times New Roman" w:cs="Times New Roman"/>
                <w:sz w:val="16"/>
                <w:szCs w:val="24"/>
              </w:rPr>
              <w:t>[10–13]</w:t>
            </w:r>
            <w:r w:rsidRPr="00C54618">
              <w:rPr>
                <w:rFonts w:ascii="Times New Roman" w:hAnsi="Times New Roman" w:cs="Times New Roman"/>
                <w:sz w:val="16"/>
                <w:szCs w:val="16"/>
                <w:lang w:val="en-US"/>
              </w:rPr>
              <w:fldChar w:fldCharType="end"/>
            </w:r>
            <w:r w:rsidRPr="00C54618">
              <w:rPr>
                <w:rFonts w:ascii="Times New Roman" w:hAnsi="Times New Roman" w:cs="Times New Roman"/>
                <w:sz w:val="16"/>
                <w:szCs w:val="16"/>
                <w:lang w:val="en-GB"/>
              </w:rPr>
              <w:t xml:space="preserve"> </w:t>
            </w:r>
          </w:p>
          <w:p w:rsidR="00DC431D" w:rsidRPr="00C54618" w:rsidRDefault="00DC431D" w:rsidP="00DC431D">
            <w:pPr>
              <w:rPr>
                <w:rFonts w:ascii="Times New Roman" w:hAnsi="Times New Roman" w:cs="Times New Roman"/>
                <w:sz w:val="16"/>
                <w:szCs w:val="16"/>
                <w:lang w:val="en-US"/>
              </w:rPr>
            </w:pPr>
          </w:p>
        </w:tc>
        <w:tc>
          <w:tcPr>
            <w:tcW w:w="2544" w:type="dxa"/>
          </w:tcPr>
          <w:p w:rsidR="00451253"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2-</w:t>
            </w:r>
            <w:r w:rsidR="0066656F" w:rsidRPr="00C54618">
              <w:rPr>
                <w:rFonts w:ascii="Times New Roman" w:hAnsi="Times New Roman" w:cs="Times New Roman"/>
                <w:sz w:val="16"/>
                <w:szCs w:val="16"/>
                <w:lang w:val="en-GB"/>
              </w:rPr>
              <w:t>15</w:t>
            </w:r>
            <w:r w:rsidR="00451253" w:rsidRPr="00C54618">
              <w:rPr>
                <w:rFonts w:ascii="Times New Roman" w:hAnsi="Times New Roman" w:cs="Times New Roman"/>
                <w:sz w:val="16"/>
                <w:szCs w:val="16"/>
                <w:lang w:val="en-US"/>
              </w:rPr>
              <w:fldChar w:fldCharType="begin"/>
            </w:r>
            <w:r w:rsidR="008C5DFA">
              <w:rPr>
                <w:rFonts w:ascii="Times New Roman" w:hAnsi="Times New Roman" w:cs="Times New Roman"/>
                <w:sz w:val="16"/>
                <w:szCs w:val="16"/>
                <w:lang w:val="en-GB"/>
              </w:rPr>
              <w:instrText xml:space="preserve"> ADDIN ZOTERO_ITEM CSL_CITATION {"citationID":"81X13t27","properties":{"formattedCitation":"{\\rtf [10\\uc0\\u8211{}13]}","plainCitation":"[10–13]"},"citationItems":[{"id":652,"uris":["http://zotero.org/users/local/hjvuTSYk/items/5ZPIWAD5"],"uri":["http://zotero.org/users/local/hjvuTSYk/items/5ZPIWAD5"],"itemData":{"id":652,"type":"article-journal","title":"Risk factors for acquisition of OXA-48-producing Klebsiella pneumonia among contact patients: a multicentre study","container-title":"The Journal of Hospital Infection","page":"253-259","volume":"98","issue":"3","source":"PubMed","abstract":"BACKGROUND: Cohorting carbapenemase-producing Enterobacteriaceae (CPE) carriers during hospitalization limits in-hospital spreading.\nAIM: To identify risk factors for CPE acquisition among contacts of an index patient in non-cohorted populations.\nMETHODS: A multicentre retrospective matched case-control study was conducted in five hospitals. Each contact patient (case) who acquired Klebsiella pneumoniae (KP)-OXA-48 from an index patient was compared to three contact (controls) with the same index patients matched with hospitalization in the same unit and similar exposure times.\nFINDINGS: Fifty-one secondary cases and 131 controls were included. By univariate analysis, exposure time (odds ratio: 1.06; 95% confidence interval: 1.02-1.1; P = 0.006), concomitant infection at admission (3.23; 1.42-7.35; P = 0.005), antimicrobial therapy within the last month before hospitalization (2.88; 1.34-6.2; P = 0.007), antimicrobial therapy during the exposure time (5.36; 2.28-12.6; P &lt; 0.001), use of at least one invasive procedure (2.99; 1.25-7.15; P = 0.014), number of invasive procedures (1.52; 1.05-2.19; P = 0.025), and geographical proximity (2.84; 1.15-7.00; P = 0.023) were associated with CPE acquisition. By multivariate analysis, antimicrobial therapy during the exposure time (odds ratio: 6.36; 95% confidence interval: 2.46-16.44; P &lt; 0.001), at least one invasive procedure (2.92; 1.04-8.17; P = 0.041), and geographical proximity (3.69; 1.15-11.86; P = 0.028) were associated with acquisition.\nCONCLUSION: In this study, geographical proximity, invasive procedure, and antimicrobial therapy during exposure time were significantly associated with KP-OXA-48 acquisition.","DOI":"10.1016/j.jhin.2017.08.024","ISSN":"1532-2939","note":"PMID: 28882642","shortTitle":"Risk factors for acquisition of OXA-48-producing Klebsiella pneumonia among contact patients","journalAbbreviation":"J. Hosp. Infect.","language":"eng","author":[{"family":"Hilliquin","given":"D."},{"family":"Le Guern","given":"R."},{"family":"Thepot Seegers","given":"V."},{"family":"Neulier","given":"C."},{"family":"Lomont","given":"A."},{"family":"Marie","given":"V."},{"family":"Legeay","given":"C."},{"family":"Merrer","given":"J."},{"family":"Lepelletier","given":"D."},{"family":"Rogues","given":"A. M."},{"family":"Grandbastien","given":"B."},{"family":"Lucet","given":"J. C."},{"family":"Zahar","given":"J. R."}],"issued":{"date-parts":[["2018",3]]},"PMID":"28882642"}},{"id":654,"uris":["http://zotero.org/users/local/hjvuTSYk/items/G8ZNZDC9"],"uri":["http://zotero.org/users/local/hjvuTSYk/items/G8ZNZDC9"],"itemData":{"id":654,"type":"article-journal","title":"Antecedent Treatment with Different Antibiotic Agents as a Risk Factor for Vancomycin-Resistant Enterococcus","container-title":"Emerging Infectious Diseases","page":"802-807","volume":"8","issue":"8","source":"PubMed Central","abstract":"We conducted a matched case-control study to compare the effect of antecedent treatment with various antibiotics on subsequent isolation of vancomycin-resistant Enterococcus (VRE); 880 in-patients; 233 VRE cases, and 647 matched controls were included. After being matched for hospital location, calendar time, and duration of hospitalization, the following variables predicted VRE positivity: main admitting diagnosis; a coexisting condition (e.g., diabetes mellitus, organ transplant, or hepatobiliary disease); and infection or colonization with methicillin-resistant Staphylococcus aureus or Clostridium difficile within the past year (independent of vancomycin treatment). After controlling for these variables, we examined the effect of various antibiotics. Intravenous treatment with third-generation cephalosporins, metronidazole, and fluoroquinolones was positively associated with VRE. In our institution, when we adjusted the data for temporo-spatial factors, patient characteristics, and hospital events, treatment with third-generation cephalosporins, metronidazole, and fluoroquinolones was identified as a risk factor for VRE. Vancomycin was not a risk factor for isolation of VRE.","DOI":"10.3201/eid0808.010418","ISSN":"1080-6040","note":"PMID: 12141965\nPMCID: PMC2732508","journalAbbreviation":"Emerg Infect Dis","author":[{"family":"Carmeli","given":"Yehuda"},{"family":"Eliopoulos","given":"George M."},{"family":"Samore","given":"Matthew H."}],"issued":{"date-parts":[["2002",8]]},"PMID":"12141965","PMCID":"PMC2732508"}},{"id":793,"uris":["http://zotero.org/users/local/hjvuTSYk/items/N2IK8UBE"],"uri":["http://zotero.org/users/local/hjvuTSYk/items/N2IK8UBE"],"itemData":{"id":793,"type":"article-journal","title":"Risk factors associated with extended-spectrum β-lactamase-producing organisms at a tertiary care hospital","container-title":"Journal of Antimicrobial Chemotherapy","page":"139-145","volume":"56","issue":"1","source":"academic.oup.com","abstract":"Abstract.  Background: In 1995, β-lactam inhibitor combinations replaced third-generation cephalosporins as empirical therapy in an effort to manage extended-sp","DOI":"10.1093/jac/dki180","ISSN":"0305-7453","journalAbbreviation":"J Antimicrob Chemother","language":"en","author":[{"family":"Graffunder","given":"Eileen M."},{"family":"Preston","given":"Karen E."},{"family":"Evans","given":"Ann M."},{"family":"Venezia","given":"Richard A."}],"issued":{"date-parts":[["2005",7,1]]}}},{"id":796,"uris":["http://zotero.org/users/local/hjvuTSYk/items/BJ2FKAQ6"],"uri":["http://zotero.org/users/local/hjvuTSYk/items/BJ2FKAQ6"],"itemData":{"id":796,"type":"article-journal","title":"Effect of Antibiotic Therapy on the Density of Vancomycin-Resistant Enterococci in the Stool of Colonized Patients","container-title":"New England Journal of Medicine","page":"1925-1932","volume":"343","issue":"26","source":"Taylor and Francis+NEJM","abstract":"In case–control studies, colonization and infection with vancomycin-resistant enterococci have been associated with exposure to vancomycin,1–6 third-generation cephalosporins,3–6 antibiotics that are active against anaerobes,3,6–8 ciprofloxacin,1 and aminoglycosides.4 The microbiologic basis for these associations is not well defined. If some antibiotics promote colonization and infection more than others that are equally effective, limiting the use of these agents may limit the spread of vancomycin-resistant enterococci. We previously examined the effect of various antibiotics on intestinal colonization with vancomycin-resistant enterococci in mice.9 In mice with established colonization, as evidenced by the high density of vancomycin-resistant enterococci in stool, . . .","DOI":"10.1056/NEJM200012283432604","ISSN":"0028-4793","note":"PMID: 11136263","author":[{"family":"Donskey","given":"Curtis J."},{"family":"Chowdhry","given":"Tanvir K."},{"family":"Hecker","given":"Michelle T."},{"family":"Hoyen","given":"Claudia K."},{"family":"Hanrahan","given":"Jennifer A."},{"family":"Hujer","given":"Andrea M."},{"family":"Hutton-Thomas","given":"Rebecca A."},{"family":"Whalen","given":"Christopher C."},{"family":"Bonomo","given":"Robert A."},{"family":"Rice","given":"Louis B."}],"issued":{"date-parts":[["2000",12,28]]},"PMID":"11136263"}}],"schema":"https://github.com/citation-style-language/schema/raw/master/csl-citation.json"} </w:instrText>
            </w:r>
            <w:r w:rsidR="00451253" w:rsidRPr="00C54618">
              <w:rPr>
                <w:rFonts w:ascii="Times New Roman" w:hAnsi="Times New Roman" w:cs="Times New Roman"/>
                <w:sz w:val="16"/>
                <w:szCs w:val="16"/>
                <w:lang w:val="en-US"/>
              </w:rPr>
              <w:fldChar w:fldCharType="separate"/>
            </w:r>
            <w:r w:rsidR="008C5DFA" w:rsidRPr="008C5DFA">
              <w:rPr>
                <w:rFonts w:ascii="Times New Roman" w:hAnsi="Times New Roman" w:cs="Times New Roman"/>
                <w:sz w:val="16"/>
                <w:szCs w:val="24"/>
              </w:rPr>
              <w:t>[10–13]</w:t>
            </w:r>
            <w:r w:rsidR="00451253" w:rsidRPr="00C54618">
              <w:rPr>
                <w:rFonts w:ascii="Times New Roman" w:hAnsi="Times New Roman" w:cs="Times New Roman"/>
                <w:sz w:val="16"/>
                <w:szCs w:val="16"/>
                <w:lang w:val="en-US"/>
              </w:rPr>
              <w:fldChar w:fldCharType="end"/>
            </w:r>
          </w:p>
          <w:p w:rsidR="00DC431D" w:rsidRPr="00C54618" w:rsidRDefault="00DC431D" w:rsidP="00904291">
            <w:pPr>
              <w:jc w:val="center"/>
              <w:rPr>
                <w:rFonts w:ascii="Times New Roman" w:hAnsi="Times New Roman" w:cs="Times New Roman"/>
                <w:sz w:val="16"/>
                <w:szCs w:val="16"/>
                <w:lang w:val="en-US"/>
              </w:rPr>
            </w:pPr>
          </w:p>
        </w:tc>
      </w:tr>
      <w:tr w:rsidR="00DC431D" w:rsidRPr="00D54669"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d</w:t>
            </w:r>
            <w:r w:rsidRPr="00C54618">
              <w:rPr>
                <w:rFonts w:ascii="Times New Roman" w:hAnsi="Times New Roman" w:cs="Times New Roman"/>
                <w:i/>
                <w:sz w:val="16"/>
                <w:szCs w:val="16"/>
                <w:vertAlign w:val="subscript"/>
                <w:lang w:val="en-GB"/>
              </w:rPr>
              <w:t>col</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Duration of colonisation (days)</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111</w:t>
            </w:r>
          </w:p>
        </w:tc>
        <w:tc>
          <w:tcPr>
            <w:tcW w:w="1354" w:type="dxa"/>
          </w:tcPr>
          <w:p w:rsidR="00DC431D" w:rsidRPr="00C54618" w:rsidRDefault="00A710A2" w:rsidP="007C16C9">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29b88nea7k","properties":{"formattedCitation":"[14]","plainCitation":"[14]"},"citationItems":[{"id":356,"uris":["http://zotero.org/users/local/hjvuTSYk/items/U4GIKZS4"],"uri":["http://zotero.org/users/local/hjvuTSYk/items/U4GIKZS4"],"itemData":{"id":356,"type":"article-journal","title":"Quantifying within-household transmission of extended-spectrum β-lactamase-producing bacteria","container-title":"Clinical Microbiology and Infection: The Official Publication of the European Society of Clinical Microbiology and Infectious Diseases","page":"46.e1-46.e7","volume":"23","issue":"1","source":"PubMed","abstract":"OBJECTIVES: Patients can acquire extended-spectrum β-lactamase (ESBL)-producing Enterobacteriaceae during hospitalization, and colonized patients may transmit these bacteria after discharge, most likely to household contacts. In this study, ESBL transmission was quantified in households.\nMETHODS: Faecal samples were longitudinally collected from hospitalized patients colonized with ESBL-producing bacteria and from their household members during hospitalization of the index patient and at 3, 6, 12 and 18 months. A mathematical household model was developed, which allowed for person-to-person transmission, acquisition from other sources (background transmission), and losing carriage. Next, a deterministic population model with a household structure was created, informed by parameter values found in the household model.\nRESULTS: In all, 74 index patients and 84 household members were included. In more than half of the household members ESBL-producing bacteria were demonstrated at some time during follow up. Person-to-person transmission occurred at a rate of 0.0053/colonized person/day (0.0025-0.011), background transmission at 0.00015/day (95% CI 0.00002-0.00039), and decolonization at 0.0026/day (0.0016-0.0040) for index patients and 0.0090/day (0.0046-0.018) for household members. The estimated probability of transmission from an index patient to a household contact was 67% and 37% vice versa.\nCONCLUSION: There is frequent transmission of ESBL-producing bacteria in households, which may contribute to the observed endemicity of ESBL carriage in the Netherlands. However, the population model suggests that there is not a single dominant acquisition route in the community.","DOI":"10.1016/j.cmi.2016.08.021","ISSN":"1469-0691","note":"PMID: 27596534","journalAbbreviation":"Clin. Microbiol. Infect.","language":"eng","author":[{"family":"Haverkate","given":"M. R."},{"family":"Platteel","given":"T. N."},{"family":"Fluit","given":"A. C."},{"family":"Cohen Stuart","given":"J. W."},{"family":"Leverstein-van Hall","given":"M. A."},{"family":"Thijsen","given":"S. F. T."},{"family":"Scharringa","given":"J."},{"family":"Kloosterman","given":"R. C."},{"family":"Bonten","given":"M. J. M."},{"family":"Bootsma","given":"M. C. J."}],"issued":{"date-parts":[["2017",1]]},"PMID":"27596534"}}],"schema":"https://github.com/citation-style-language/schema/raw/master/csl-citation.json"}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[14]</w:t>
            </w:r>
            <w:r w:rsidRPr="00C54618">
              <w:rPr>
                <w:rFonts w:ascii="Times New Roman" w:hAnsi="Times New Roman" w:cs="Times New Roman"/>
                <w:sz w:val="16"/>
                <w:szCs w:val="16"/>
                <w:lang w:val="en-GB"/>
              </w:rPr>
              <w:fldChar w:fldCharType="end"/>
            </w:r>
          </w:p>
        </w:tc>
        <w:tc>
          <w:tcPr>
            <w:tcW w:w="2544" w:type="dxa"/>
          </w:tcPr>
          <w:p w:rsidR="00DC431D" w:rsidRPr="00C54618" w:rsidRDefault="00E17FE6"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55</w:t>
            </w:r>
            <w:r w:rsidR="00DC431D" w:rsidRPr="00C54618">
              <w:rPr>
                <w:rFonts w:ascii="Times New Roman" w:hAnsi="Times New Roman" w:cs="Times New Roman"/>
                <w:sz w:val="16"/>
                <w:szCs w:val="16"/>
                <w:lang w:val="en-GB"/>
              </w:rPr>
              <w:t>-</w:t>
            </w:r>
            <w:r w:rsidRPr="00C54618">
              <w:rPr>
                <w:rFonts w:ascii="Times New Roman" w:hAnsi="Times New Roman" w:cs="Times New Roman"/>
                <w:sz w:val="16"/>
                <w:szCs w:val="16"/>
                <w:lang w:val="en-GB"/>
              </w:rPr>
              <w:t>217</w:t>
            </w:r>
            <w:r w:rsidR="00DC431D" w:rsidRPr="00C54618">
              <w:rPr>
                <w:rFonts w:ascii="Times New Roman" w:hAnsi="Times New Roman" w:cs="Times New Roman"/>
                <w:sz w:val="16"/>
                <w:szCs w:val="16"/>
                <w:lang w:val="en-GB"/>
              </w:rPr>
              <w:t xml:space="preserve"> </w:t>
            </w:r>
            <w:r w:rsidR="0034122D" w:rsidRPr="00C54618">
              <w:rPr>
                <w:rFonts w:ascii="Times New Roman" w:hAnsi="Times New Roman" w:cs="Times New Roman"/>
                <w:sz w:val="16"/>
                <w:szCs w:val="16"/>
                <w:vertAlign w:val="superscript"/>
                <w:lang w:val="en-US"/>
              </w:rPr>
              <w:t>14</w:t>
            </w:r>
          </w:p>
        </w:tc>
      </w:tr>
      <w:tr w:rsidR="00DC431D" w:rsidRPr="00D54669" w:rsidTr="00CC6CAC">
        <w:tc>
          <w:tcPr>
            <w:tcW w:w="1413" w:type="dxa"/>
            <w:shd w:val="clear" w:color="auto" w:fill="F2F2F2" w:themeFill="background1" w:themeFillShade="F2"/>
          </w:tcPr>
          <w:p w:rsidR="00DC431D" w:rsidRPr="00C54618" w:rsidRDefault="00DC431D" w:rsidP="00DC431D">
            <w:pPr>
              <w:jc w:val="both"/>
              <w:rPr>
                <w:rFonts w:ascii="Times New Roman" w:hAnsi="Times New Roman" w:cs="Times New Roman"/>
                <w:b/>
                <w:i/>
                <w:sz w:val="16"/>
                <w:szCs w:val="16"/>
                <w:lang w:val="en-GB"/>
              </w:rPr>
            </w:pPr>
          </w:p>
        </w:tc>
        <w:tc>
          <w:tcPr>
            <w:tcW w:w="3865" w:type="dxa"/>
            <w:shd w:val="clear" w:color="auto" w:fill="F2F2F2" w:themeFill="background1" w:themeFillShade="F2"/>
          </w:tcPr>
          <w:p w:rsidR="00DC431D" w:rsidRPr="00C54618" w:rsidRDefault="00DC431D" w:rsidP="00DC431D">
            <w:pPr>
              <w:jc w:val="both"/>
              <w:rPr>
                <w:rFonts w:ascii="Times New Roman" w:hAnsi="Times New Roman" w:cs="Times New Roman"/>
                <w:b/>
                <w:sz w:val="16"/>
                <w:szCs w:val="16"/>
                <w:lang w:val="en-GB"/>
              </w:rPr>
            </w:pPr>
            <w:r w:rsidRPr="00C54618">
              <w:rPr>
                <w:rFonts w:ascii="Times New Roman" w:hAnsi="Times New Roman" w:cs="Times New Roman"/>
                <w:b/>
                <w:sz w:val="16"/>
                <w:szCs w:val="16"/>
                <w:lang w:val="en-GB"/>
              </w:rPr>
              <w:t xml:space="preserve">Background colonisation </w:t>
            </w:r>
          </w:p>
        </w:tc>
        <w:tc>
          <w:tcPr>
            <w:tcW w:w="1309" w:type="dxa"/>
            <w:shd w:val="clear" w:color="auto" w:fill="F2F2F2" w:themeFill="background1" w:themeFillShade="F2"/>
          </w:tcPr>
          <w:p w:rsidR="00DC431D" w:rsidRPr="00C54618" w:rsidRDefault="00DC431D" w:rsidP="00DC431D">
            <w:pPr>
              <w:jc w:val="center"/>
              <w:rPr>
                <w:rFonts w:ascii="Times New Roman" w:hAnsi="Times New Roman" w:cs="Times New Roman"/>
                <w:sz w:val="16"/>
                <w:szCs w:val="16"/>
                <w:lang w:val="en-GB"/>
              </w:rPr>
            </w:pPr>
          </w:p>
        </w:tc>
        <w:tc>
          <w:tcPr>
            <w:tcW w:w="1354" w:type="dxa"/>
            <w:shd w:val="clear" w:color="auto" w:fill="F2F2F2" w:themeFill="background1" w:themeFillShade="F2"/>
          </w:tcPr>
          <w:p w:rsidR="00DC431D" w:rsidRPr="00C54618" w:rsidRDefault="00DC431D" w:rsidP="00DC431D">
            <w:pPr>
              <w:jc w:val="both"/>
              <w:rPr>
                <w:rFonts w:ascii="Times New Roman" w:hAnsi="Times New Roman" w:cs="Times New Roman"/>
                <w:sz w:val="16"/>
                <w:szCs w:val="16"/>
                <w:lang w:val="en-GB"/>
              </w:rPr>
            </w:pPr>
          </w:p>
        </w:tc>
        <w:tc>
          <w:tcPr>
            <w:tcW w:w="2544" w:type="dxa"/>
            <w:shd w:val="clear" w:color="auto" w:fill="F2F2F2" w:themeFill="background1" w:themeFillShade="F2"/>
          </w:tcPr>
          <w:p w:rsidR="00DC431D" w:rsidRPr="00C54618" w:rsidRDefault="00DC431D" w:rsidP="00904291">
            <w:pPr>
              <w:jc w:val="center"/>
              <w:rPr>
                <w:rFonts w:ascii="Times New Roman" w:hAnsi="Times New Roman" w:cs="Times New Roman"/>
                <w:sz w:val="16"/>
                <w:szCs w:val="16"/>
                <w:lang w:val="en-GB"/>
              </w:rPr>
            </w:pPr>
          </w:p>
        </w:tc>
      </w:tr>
      <w:tr w:rsidR="00DC431D" w:rsidRPr="002C7656" w:rsidTr="00CC6CAC">
        <w:tc>
          <w:tcPr>
            <w:tcW w:w="1413" w:type="dxa"/>
          </w:tcPr>
          <w:p w:rsidR="00DC431D" w:rsidRPr="00C54618" w:rsidRDefault="00DC431D" w:rsidP="00DC431D">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p</w:t>
            </w:r>
            <w:r w:rsidRPr="00C54618">
              <w:rPr>
                <w:rFonts w:ascii="Times New Roman" w:hAnsi="Times New Roman" w:cs="Times New Roman"/>
                <w:i/>
                <w:sz w:val="16"/>
                <w:szCs w:val="16"/>
                <w:vertAlign w:val="subscript"/>
                <w:lang w:val="en-GB"/>
              </w:rPr>
              <w:t>col,env</w:t>
            </w:r>
            <w:proofErr w:type="spellEnd"/>
          </w:p>
        </w:tc>
        <w:tc>
          <w:tcPr>
            <w:tcW w:w="3865" w:type="dxa"/>
          </w:tcPr>
          <w:p w:rsidR="00DC431D" w:rsidRPr="00C54618" w:rsidRDefault="00DC431D" w:rsidP="00DC431D">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Daily probability of background colonisation</w:t>
            </w:r>
          </w:p>
        </w:tc>
        <w:tc>
          <w:tcPr>
            <w:tcW w:w="1309" w:type="dxa"/>
          </w:tcPr>
          <w:p w:rsidR="00DC431D" w:rsidRPr="00C54618" w:rsidRDefault="00DC431D" w:rsidP="00DC431D">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1</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5*10</w:t>
            </w:r>
            <w:r w:rsidRPr="00C54618">
              <w:rPr>
                <w:rFonts w:ascii="Times New Roman" w:hAnsi="Times New Roman" w:cs="Times New Roman"/>
                <w:sz w:val="16"/>
                <w:szCs w:val="16"/>
                <w:vertAlign w:val="superscript"/>
                <w:lang w:val="en-GB"/>
              </w:rPr>
              <w:t>-4</w:t>
            </w:r>
          </w:p>
        </w:tc>
        <w:tc>
          <w:tcPr>
            <w:tcW w:w="1354" w:type="dxa"/>
          </w:tcPr>
          <w:p w:rsidR="00DC431D" w:rsidRPr="00C54618" w:rsidRDefault="00DC431D" w:rsidP="00D632AD">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543793" w:rsidRPr="00C54618">
              <w:rPr>
                <w:rFonts w:ascii="Times New Roman" w:hAnsi="Times New Roman" w:cs="Times New Roman"/>
                <w:sz w:val="16"/>
                <w:szCs w:val="16"/>
                <w:lang w:val="en-GB"/>
              </w:rPr>
              <w:instrText xml:space="preserve"> ADDIN ZOTERO_ITEM CSL_CITATION {"citationID":"of3COAJe","properties":{"formattedCitation":"{\\rtf \\super 1,14\\nosupersub{}}","plainCitation":"1,14","dontUpdate":true},"citationItems":[{"id":356,"uris":["http://zotero.org/users/local/hjvuTSYk/items/U4GIKZS4"],"uri":["http://zotero.org/users/local/hjvuTSYk/items/U4GIKZS4"],"itemData":{"id":356,"type":"article-journal","title":"Quantifying within-household transmission of extended-spectrum β-lactamase-producing bacteria","container-title":"Clinical Microbiology and Infection: The Official Publication of the European Society of Clinical Microbiology and Infectious Diseases","page":"46.e1-46.e7","volume":"23","issue":"1","source":"PubMed","abstract":"OBJECTIVES: Patients can acquire extended-spectrum β-lactamase (ESBL)-producing Enterobacteriaceae during hospitalization, and colonized patients may transmit these bacteria after discharge, most likely to household contacts. In this study, ESBL transmission was quantified in households.\nMETHODS: Faecal samples were longitudinally collected from hospitalized patients colonized with ESBL-producing bacteria and from their household members during hospitalization of the index patient and at 3, 6, 12 and 18 months. A mathematical household model was developed, which allowed for person-to-person transmission, acquisition from other sources (background transmission), and losing carriage. Next, a deterministic population model with a household structure was created, informed by parameter values found in the household model.\nRESULTS: In all, 74 index patients and 84 household members were included. In more than half of the household members ESBL-producing bacteria were demonstrated at some time during follow up. Person-to-person transmission occurred at a rate of 0.0053/colonized person/day (0.0025-0.011), background transmission at 0.00015/day (95% CI 0.00002-0.00039), and decolonization at 0.0026/day (0.0016-0.0040) for index patients and 0.0090/day (0.0046-0.018) for household members. The estimated probability of transmission from an index patient to a household contact was 67% and 37% vice versa.\nCONCLUSION: There is frequent transmission of ESBL-producing bacteria in households, which may contribute to the observed endemicity of ESBL carriage in the Netherlands. However, the population model suggests that there is not a single dominant acquisition route in the community.","DOI":"10.1016/j.cmi.2016.08.021","ISSN":"1469-0691","note":"PMID: 27596534","journalAbbreviation":"Clin. Microbiol. Infect.","language":"eng","author":[{"family":"Haverkate","given":"M. R."},{"family":"Platteel","given":"T. N."},{"family":"Fluit","given":"A. C."},{"family":"Cohen Stuart","given":"J. W."},{"family":"Leverstein-van Hall","given":"M. A."},{"family":"Thijsen","given":"S. F. T."},{"family":"Scharringa","given":"J."},{"family":"Kloosterman","given":"R. C."},{"family":"Bonten","given":"M. J. M."},{"family":"Bootsma","given":"M. C. J."}],"issued":{"date-parts":[["2017",1]]},"PMID":"27596534"}},{"id":457,"uris":["http://zotero.org/users/local/hjvuTSYk/items/EQ2CM7GZ"],"uri":["http://zotero.org/users/local/hjvuTSYk/items/EQ2CM7GZ"],"itemData":{"id":457,"type":"article-journal","title":"Import and spread of extended-spectrum β-lactamase-producing Enterobacteriaceae by international travellers (COMBAT study): a prospective, multicentre cohort study","container-title":"The Lancet Infectious Diseases","page":"78-85","volume":"17","issue":"1","source":"www.thelancet.com","abstract":"&lt;h2&gt;Summary&lt;/h2&gt;&lt;h3&gt;Background&lt;/h3&gt;&lt;p&gt;International travel contributes to the dissemination of antimicrobial resistance. We investigated the acquisition of extended-spectrum β-lactamase-producing Enterobacteriaceae (ESBL-E) during international travel, with a focus on predictive factors for acquisition, duration of colonisation, and probability of onward transmission.&lt;/p&gt;&lt;h3&gt;Methods&lt;/h3&gt;&lt;p&gt;Within the prospective, multicentre COMBAT study, 2001 Dutch travellers and 215 non-travelling household members were enrolled. Faecal samples and questionnaires on demographics, illnesses, and behaviour were collected before travel and immediately and 1, 3, 6, and 12 months after return. Samples were screened for the presence of ESBL-E. In post-travel samples, ESBL genes were sequenced and PCR with specific primers for plasmid-encoded β-lactamase enzymes TEM, SHV, and CTX-M group 1, 2, 8, 9, and 25 was used to confirm the presence of ESBL genes in follow-up samples. Multivariable regression analyses and mathematical modelling were used to identify predictors for acquisition and sustained carriage, and to determine household transmission rates. This study is registered with ClinicalTrials.gov, number NCT01676974.&lt;/p&gt;&lt;h3&gt;Findings&lt;/h3&gt;&lt;p&gt;633 (34·3%) of 1847 travellers who were ESBL negative before travel and had available samples after return had acquired ESBL-E during international travel (95% CI 32·1–36·5), with the highest number of acquisitions being among those who travelled to southern Asia in 136 of 181 (75·1%, 95% CI 68·4–80·9). Important predictors for acquisition of ESBL-E were antibiotic use during travel (adjusted odds ratio 2·69, 95% CI 1·79–4·05), traveller's diarrhoea that persisted after return (2·31, 1·42–3·76), and pre-existing chronic bowel disease (2·10, 1·13–3·90). The median duration of colonisation after travel was 30 days (95% CI 29–33). 65 (11·3%) of 577 remained colonised at 12 months. CTX-M enzyme group 9 ESBLs were associated with a significantly increased risk of sustained carriage (median duration 75 days, 95% CI 48–102, p=0·0001). Onward transmission was found in 13 (7·7%) of 168 household members. The probability of transmitting ESBL-E to another household member was 12% (95% CI 5–18).&lt;/p&gt;&lt;h3&gt;Interpretation&lt;/h3&gt;&lt;p&gt;Acquisition and spread of ESBL-E during and after international travel was substantial and worrisome. Travellers to areas with a high risk of ESBL-E acquisition should be viewed as potential carriers of ESBL-E for up to 12 months after return.&lt;/p&gt;&lt;h3&gt;Funding&lt;/h3&gt;&lt;p&gt;Netherlands Organisation for Health Research and Development (ZonMw).&lt;/p&gt;","DOI":"10.1016/S1473-3099(16)30319-X","ISSN":"1473-3099, 1474-4457","note":"PMID: 27751772, 27751772","shortTitle":"Import and spread of extended-spectrum β-lactamase-producing Enterobacteriaceae by international travellers (COMBAT study)","journalAbbreviation":"The Lancet Infectious Diseases","language":"English","author":[{"family":"Arcilla","given":"Maris S."},{"family":"Hattem","given":"Jarne M.","dropping-particle":"van"},{"family":"Haverkate","given":"Manon R."},{"family":"Bootsma","given":"Martin C. J."},{"family":"Genderen","given":"Perry J. J.","dropping-particle":"van"},{"family":"Goorhuis","given":"Abraham"},{"family":"Grobusch","given":"Martin P."},{"family":"Lashof","given":"Astrid M. Oude"},{"family":"Molhoek","given":"Nicky"},{"family":"Schultsz","given":"Constance"},{"family":"Stobberingh","given":"Ellen E."},{"family":"Verbrugh","given":"Henri A."},{"family":"Jong","given":"Menno D.","dropping-particle":"de"},{"family":"Melles","given":"Damian C."},{"family":"Penders","given":"John"}],"issued":{"date-parts":[["2017",1,1]]},"PMID":"27751772"}}],"schema":"https://github.com/citation-style-language/schema/raw/master/csl-citation.json"} </w:instrText>
            </w:r>
            <w:r w:rsidRPr="00C54618">
              <w:rPr>
                <w:rFonts w:ascii="Times New Roman" w:hAnsi="Times New Roman" w:cs="Times New Roman"/>
                <w:sz w:val="16"/>
                <w:szCs w:val="16"/>
                <w:lang w:val="en-GB"/>
              </w:rPr>
              <w:fldChar w:fldCharType="separate"/>
            </w:r>
            <w:r w:rsidR="00D632AD" w:rsidRPr="00C54618">
              <w:rPr>
                <w:rFonts w:ascii="Times New Roman" w:hAnsi="Times New Roman" w:cs="Times New Roman"/>
                <w:sz w:val="16"/>
                <w:szCs w:val="16"/>
                <w:vertAlign w:val="superscript"/>
                <w:lang w:val="en-US"/>
              </w:rPr>
              <w:t>14</w:t>
            </w:r>
            <w:r w:rsidRPr="00C54618">
              <w:rPr>
                <w:rFonts w:ascii="Times New Roman" w:hAnsi="Times New Roman" w:cs="Times New Roman"/>
                <w:sz w:val="16"/>
                <w:szCs w:val="16"/>
                <w:lang w:val="en-GB"/>
              </w:rPr>
              <w:fldChar w:fldCharType="end"/>
            </w:r>
          </w:p>
        </w:tc>
        <w:tc>
          <w:tcPr>
            <w:tcW w:w="2544" w:type="dxa"/>
          </w:tcPr>
          <w:p w:rsidR="00DC431D" w:rsidRPr="00C54618" w:rsidRDefault="00DC431D"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2*10</w:t>
            </w:r>
            <w:r w:rsidRPr="00C54618">
              <w:rPr>
                <w:rFonts w:ascii="Times New Roman" w:hAnsi="Times New Roman" w:cs="Times New Roman"/>
                <w:sz w:val="16"/>
                <w:szCs w:val="16"/>
                <w:vertAlign w:val="superscript"/>
                <w:lang w:val="en-GB"/>
              </w:rPr>
              <w:t>-5</w:t>
            </w:r>
            <w:r w:rsidRPr="00C54618">
              <w:rPr>
                <w:rFonts w:ascii="Times New Roman" w:hAnsi="Times New Roman" w:cs="Times New Roman"/>
                <w:sz w:val="16"/>
                <w:szCs w:val="16"/>
                <w:lang w:val="en-GB"/>
              </w:rPr>
              <w:t xml:space="preserve"> – 9*10</w:t>
            </w:r>
            <w:r w:rsidRPr="00C54618">
              <w:rPr>
                <w:rFonts w:ascii="Times New Roman" w:hAnsi="Times New Roman" w:cs="Times New Roman"/>
                <w:sz w:val="16"/>
                <w:szCs w:val="16"/>
                <w:vertAlign w:val="superscript"/>
                <w:lang w:val="en-GB"/>
              </w:rPr>
              <w:t>-4</w:t>
            </w:r>
            <w:r w:rsidR="00A710A2" w:rsidRPr="00C54618">
              <w:rPr>
                <w:rFonts w:ascii="Times New Roman" w:hAnsi="Times New Roman" w:cs="Times New Roman"/>
                <w:sz w:val="16"/>
                <w:szCs w:val="16"/>
                <w:vertAlign w:val="superscript"/>
                <w:lang w:val="en-GB"/>
              </w:rPr>
              <w:t xml:space="preserve">  </w:t>
            </w:r>
            <w:r w:rsidR="00A710A2"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C33m4rio","properties":{"formattedCitation":"[1,14]","plainCitation":"[1,14]"},"citationItems":[{"id":356,"uris":["http://zotero.org/users/local/hjvuTSYk/items/U4GIKZS4"],"uri":["http://zotero.org/users/local/hjvuTSYk/items/U4GIKZS4"],"itemData":{"id":356,"type":"article-journal","title":"Quantifying within-household transmission of extended-spectrum β-lactamase-producing bacteria","container-title":"Clinical Microbiology and Infection: The Official Publication of the European Society of Clinical Microbiology and Infectious Diseases","page":"46.e1-46.e7","volume":"23","issue":"1","source":"PubMed","abstract":"OBJECTIVES: Patients can acquire extended-spectrum β-lactamase (ESBL)-producing Enterobacteriaceae during hospitalization, and colonized patients may transmit these bacteria after discharge, most likely to household contacts. In this study, ESBL transmission was quantified in households.\nMETHODS: Faecal samples were longitudinally collected from hospitalized patients colonized with ESBL-producing bacteria and from their household members during hospitalization of the index patient and at 3, 6, 12 and 18 months. A mathematical household model was developed, which allowed for person-to-person transmission, acquisition from other sources (background transmission), and losing carriage. Next, a deterministic population model with a household structure was created, informed by parameter values found in the household model.\nRESULTS: In all, 74 index patients and 84 household members were included. In more than half of the household members ESBL-producing bacteria were demonstrated at some time during follow up. Person-to-person transmission occurred at a rate of 0.0053/colonized person/day (0.0025-0.011), background transmission at 0.00015/day (95% CI 0.00002-0.00039), and decolonization at 0.0026/day (0.0016-0.0040) for index patients and 0.0090/day (0.0046-0.018) for household members. The estimated probability of transmission from an index patient to a household contact was 67% and 37% vice versa.\nCONCLUSION: There is frequent transmission of ESBL-producing bacteria in households, which may contribute to the observed endemicity of ESBL carriage in the Netherlands. However, the population model suggests that there is not a single dominant acquisition route in the community.","DOI":"10.1016/j.cmi.2016.08.021","ISSN":"1469-0691","note":"PMID: 27596534","journalAbbreviation":"Clin. Microbiol. Infect.","language":"eng","author":[{"family":"Haverkate","given":"M. R."},{"family":"Platteel","given":"T. N."},{"family":"Fluit","given":"A. C."},{"family":"Cohen Stuart","given":"J. W."},{"family":"Leverstein-van Hall","given":"M. A."},{"family":"Thijsen","given":"S. F. T."},{"family":"Scharringa","given":"J."},{"family":"Kloosterman","given":"R. C."},{"family":"Bonten","given":"M. J. M."},{"family":"Bootsma","given":"M. C. J."}],"issued":{"date-parts":[["2017",1]]},"PMID":"27596534"}},{"id":457,"uris":["http://zotero.org/users/local/hjvuTSYk/items/EQ2CM7GZ"],"uri":["http://zotero.org/users/local/hjvuTSYk/items/EQ2CM7GZ"],"itemData":{"id":457,"type":"article-journal","title":"Import and spread of extended-spectrum β-lactamase-producing Enterobacteriaceae by international travellers (COMBAT study): a prospective, multicentre cohort study","container-title":"The Lancet Infectious Diseases","page":"78-85","volume":"17","issue":"1","source":"www.thelancet.com","abstract":"&lt;h2&gt;Summary&lt;/h2&gt;&lt;h3&gt;Background&lt;/h3&gt;&lt;p&gt;International travel contributes to the dissemination of antimicrobial resistance. We investigated the acquisition of extended-spectrum β-lactamase-producing Enterobacteriaceae (ESBL-E) during international travel, with a focus on predictive factors for acquisition, duration of colonisation, and probability of onward transmission.&lt;/p&gt;&lt;h3&gt;Methods&lt;/h3&gt;&lt;p&gt;Within the prospective, multicentre COMBAT study, 2001 Dutch travellers and 215 non-travelling household members were enrolled. Faecal samples and questionnaires on demographics, illnesses, and behaviour were collected before travel and immediately and 1, 3, 6, and 12 months after return. Samples were screened for the presence of ESBL-E. In post-travel samples, ESBL genes were sequenced and PCR with specific primers for plasmid-encoded β-lactamase enzymes TEM, SHV, and CTX-M group 1, 2, 8, 9, and 25 was used to confirm the presence of ESBL genes in follow-up samples. Multivariable regression analyses and mathematical modelling were used to identify predictors for acquisition and sustained carriage, and to determine household transmission rates. This study is registered with ClinicalTrials.gov, number NCT01676974.&lt;/p&gt;&lt;h3&gt;Findings&lt;/h3&gt;&lt;p&gt;633 (34·3%) of 1847 travellers who were ESBL negative before travel and had available samples after return had acquired ESBL-E during international travel (95% CI 32·1–36·5), with the highest number of acquisitions being among those who travelled to southern Asia in 136 of 181 (75·1%, 95% CI 68·4–80·9). Important predictors for acquisition of ESBL-E were antibiotic use during travel (adjusted odds ratio 2·69, 95% CI 1·79–4·05), traveller's diarrhoea that persisted after return (2·31, 1·42–3·76), and pre-existing chronic bowel disease (2·10, 1·13–3·90). The median duration of colonisation after travel was 30 days (95% CI 29–33). 65 (11·3%) of 577 remained colonised at 12 months. CTX-M enzyme group 9 ESBLs were associated with a significantly increased risk of sustained carriage (median duration 75 days, 95% CI 48–102, p=0·0001). Onward transmission was found in 13 (7·7%) of 168 household members. The probability of transmitting ESBL-E to another household member was 12% (95% CI 5–18).&lt;/p&gt;&lt;h3&gt;Interpretation&lt;/h3&gt;&lt;p&gt;Acquisition and spread of ESBL-E during and after international travel was substantial and worrisome. Travellers to areas with a high risk of ESBL-E acquisition should be viewed as potential carriers of ESBL-E for up to 12 months after return.&lt;/p&gt;&lt;h3&gt;Funding&lt;/h3&gt;&lt;p&gt;Netherlands Organisation for Health Research and Development (ZonMw).&lt;/p&gt;","DOI":"10.1016/S1473-3099(16)30319-X","ISSN":"1473-3099, 1474-4457","note":"PMID: 27751772, 27751772","shortTitle":"Import and spread of extended-spectrum β-lactamase-producing Enterobacteriaceae by international travellers (COMBAT study)","journalAbbreviation":"The Lancet Infectious Diseases","language":"English","author":[{"family":"Arcilla","given":"Maris S."},{"family":"Hattem","given":"Jarne M.","dropping-particle":"van"},{"family":"Haverkate","given":"Manon R."},{"family":"Bootsma","given":"Martin C. J."},{"family":"Genderen","given":"Perry J. J.","dropping-particle":"van"},{"family":"Goorhuis","given":"Abraham"},{"family":"Grobusch","given":"Martin P."},{"family":"Lashof","given":"Astrid M. Oude"},{"family":"Molhoek","given":"Nicky"},{"family":"Schultsz","given":"Constance"},{"family":"Stobberingh","given":"Ellen E."},{"family":"Verbrugh","given":"Henri A."},{"family":"Jong","given":"Menno D.","dropping-particle":"de"},{"family":"Melles","given":"Damian C."},{"family":"Penders","given":"John"}],"issued":{"date-parts":[["2017",1,1]]},"PMID":"27751772"}}],"schema":"https://github.com/citation-style-language/schema/raw/master/csl-citation.json"} </w:instrText>
            </w:r>
            <w:r w:rsidR="00A710A2"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lang w:val="en-US"/>
              </w:rPr>
              <w:t>[1,14]</w:t>
            </w:r>
            <w:r w:rsidR="00A710A2" w:rsidRPr="00C54618">
              <w:rPr>
                <w:rFonts w:ascii="Times New Roman" w:hAnsi="Times New Roman" w:cs="Times New Roman"/>
                <w:sz w:val="16"/>
                <w:szCs w:val="16"/>
                <w:lang w:val="en-GB"/>
              </w:rPr>
              <w:fldChar w:fldCharType="end"/>
            </w:r>
          </w:p>
        </w:tc>
      </w:tr>
      <w:tr w:rsidR="00197BF9" w:rsidRPr="002C7656" w:rsidTr="00CC6CAC">
        <w:tc>
          <w:tcPr>
            <w:tcW w:w="1413" w:type="dxa"/>
          </w:tcPr>
          <w:p w:rsidR="00197BF9" w:rsidRPr="00C54618" w:rsidRDefault="00197BF9" w:rsidP="00197BF9">
            <w:pPr>
              <w:jc w:val="both"/>
              <w:rPr>
                <w:rFonts w:ascii="Times New Roman" w:hAnsi="Times New Roman" w:cs="Times New Roman"/>
                <w:i/>
                <w:sz w:val="16"/>
                <w:szCs w:val="16"/>
                <w:lang w:val="en-GB"/>
              </w:rPr>
            </w:pPr>
          </w:p>
        </w:tc>
        <w:tc>
          <w:tcPr>
            <w:tcW w:w="3865" w:type="dxa"/>
          </w:tcPr>
          <w:p w:rsidR="00197BF9" w:rsidRPr="00C54618" w:rsidRDefault="00197BF9" w:rsidP="00197BF9">
            <w:pPr>
              <w:jc w:val="both"/>
              <w:rPr>
                <w:rFonts w:ascii="Times New Roman" w:hAnsi="Times New Roman" w:cs="Times New Roman"/>
                <w:b/>
                <w:sz w:val="16"/>
                <w:szCs w:val="16"/>
                <w:lang w:val="en-GB"/>
              </w:rPr>
            </w:pPr>
            <w:r w:rsidRPr="00C54618">
              <w:rPr>
                <w:rFonts w:ascii="Times New Roman" w:hAnsi="Times New Roman" w:cs="Times New Roman"/>
                <w:b/>
                <w:sz w:val="16"/>
                <w:szCs w:val="16"/>
                <w:lang w:val="en-GB"/>
              </w:rPr>
              <w:t>Hand hygiene after changing diapers</w:t>
            </w:r>
          </w:p>
        </w:tc>
        <w:tc>
          <w:tcPr>
            <w:tcW w:w="1309" w:type="dxa"/>
          </w:tcPr>
          <w:p w:rsidR="00197BF9" w:rsidRPr="00C54618" w:rsidRDefault="00197BF9" w:rsidP="00197BF9">
            <w:pPr>
              <w:jc w:val="center"/>
              <w:rPr>
                <w:rFonts w:ascii="Times New Roman" w:hAnsi="Times New Roman" w:cs="Times New Roman"/>
                <w:sz w:val="16"/>
                <w:szCs w:val="16"/>
                <w:lang w:val="en-GB"/>
              </w:rPr>
            </w:pPr>
          </w:p>
        </w:tc>
        <w:tc>
          <w:tcPr>
            <w:tcW w:w="1354" w:type="dxa"/>
          </w:tcPr>
          <w:p w:rsidR="00197BF9" w:rsidRPr="00C54618" w:rsidRDefault="00197BF9" w:rsidP="00197BF9">
            <w:pPr>
              <w:rPr>
                <w:rFonts w:ascii="Times New Roman" w:hAnsi="Times New Roman" w:cs="Times New Roman"/>
                <w:sz w:val="16"/>
                <w:szCs w:val="16"/>
                <w:lang w:val="en-GB"/>
              </w:rPr>
            </w:pPr>
          </w:p>
        </w:tc>
        <w:tc>
          <w:tcPr>
            <w:tcW w:w="2544" w:type="dxa"/>
          </w:tcPr>
          <w:p w:rsidR="00197BF9" w:rsidRPr="00C54618" w:rsidRDefault="00197BF9" w:rsidP="00904291">
            <w:pPr>
              <w:jc w:val="center"/>
              <w:rPr>
                <w:rFonts w:ascii="Times New Roman" w:hAnsi="Times New Roman" w:cs="Times New Roman"/>
                <w:sz w:val="16"/>
                <w:szCs w:val="16"/>
                <w:lang w:val="en-GB"/>
              </w:rPr>
            </w:pPr>
          </w:p>
        </w:tc>
      </w:tr>
      <w:tr w:rsidR="00CC6CAC" w:rsidRPr="00D54669" w:rsidTr="00CC6CAC">
        <w:tc>
          <w:tcPr>
            <w:tcW w:w="1413" w:type="dxa"/>
          </w:tcPr>
          <w:p w:rsidR="00CC6CAC" w:rsidRPr="00C54618" w:rsidRDefault="00CC6CAC" w:rsidP="00CC6CAC">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d,w</w:t>
            </w:r>
            <w:proofErr w:type="spellEnd"/>
          </w:p>
        </w:tc>
        <w:tc>
          <w:tcPr>
            <w:tcW w:w="3865" w:type="dxa"/>
          </w:tcPr>
          <w:p w:rsidR="00CC6CAC" w:rsidRPr="00C54618" w:rsidRDefault="00CC6CAC" w:rsidP="00A7408A">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HH </w:t>
            </w:r>
            <w:r w:rsidR="004D7625" w:rsidRPr="00C54618">
              <w:rPr>
                <w:rFonts w:ascii="Times New Roman" w:hAnsi="Times New Roman" w:cs="Times New Roman"/>
                <w:sz w:val="16"/>
                <w:szCs w:val="16"/>
                <w:lang w:val="en-GB"/>
              </w:rPr>
              <w:t>among</w:t>
            </w:r>
            <w:r w:rsidRPr="00C54618">
              <w:rPr>
                <w:rFonts w:ascii="Times New Roman" w:hAnsi="Times New Roman" w:cs="Times New Roman"/>
                <w:sz w:val="16"/>
                <w:szCs w:val="16"/>
                <w:lang w:val="en-GB"/>
              </w:rPr>
              <w:t xml:space="preserve"> wom</w:t>
            </w:r>
            <w:r w:rsidR="004D7625" w:rsidRPr="00C54618">
              <w:rPr>
                <w:rFonts w:ascii="Times New Roman" w:hAnsi="Times New Roman" w:cs="Times New Roman"/>
                <w:sz w:val="16"/>
                <w:szCs w:val="16"/>
                <w:lang w:val="en-GB"/>
              </w:rPr>
              <w:t>e</w:t>
            </w:r>
            <w:r w:rsidRPr="00C54618">
              <w:rPr>
                <w:rFonts w:ascii="Times New Roman" w:hAnsi="Times New Roman" w:cs="Times New Roman"/>
                <w:sz w:val="16"/>
                <w:szCs w:val="16"/>
                <w:lang w:val="en-GB"/>
              </w:rPr>
              <w:t>n</w:t>
            </w:r>
          </w:p>
        </w:tc>
        <w:tc>
          <w:tcPr>
            <w:tcW w:w="1309" w:type="dxa"/>
          </w:tcPr>
          <w:p w:rsidR="00CC6CAC" w:rsidRPr="00C54618" w:rsidRDefault="00CC6CAC" w:rsidP="00CC6CAC">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6</w:t>
            </w:r>
          </w:p>
        </w:tc>
        <w:tc>
          <w:tcPr>
            <w:tcW w:w="1354" w:type="dxa"/>
          </w:tcPr>
          <w:p w:rsidR="00CC6CAC" w:rsidRPr="00C54618" w:rsidRDefault="00E8686F" w:rsidP="00E8686F">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vosdl6f54","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CC6CAC" w:rsidRPr="00C54618" w:rsidRDefault="00CC6CAC"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3-0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9</w:t>
            </w:r>
          </w:p>
        </w:tc>
      </w:tr>
      <w:tr w:rsidR="00CC6CAC" w:rsidRPr="00D54669" w:rsidTr="00CC6CAC">
        <w:tc>
          <w:tcPr>
            <w:tcW w:w="1413" w:type="dxa"/>
          </w:tcPr>
          <w:p w:rsidR="00CC6CAC" w:rsidRPr="00C54618" w:rsidRDefault="00CC6CAC" w:rsidP="00CC6CAC">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d,m</w:t>
            </w:r>
            <w:proofErr w:type="spellEnd"/>
          </w:p>
        </w:tc>
        <w:tc>
          <w:tcPr>
            <w:tcW w:w="3865" w:type="dxa"/>
          </w:tcPr>
          <w:p w:rsidR="00CC6CAC" w:rsidRPr="00C54618" w:rsidRDefault="00CC6CAC" w:rsidP="00A7408A">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 xml:space="preserve">HH </w:t>
            </w:r>
            <w:r w:rsidR="004D7625" w:rsidRPr="00C54618">
              <w:rPr>
                <w:rFonts w:ascii="Times New Roman" w:hAnsi="Times New Roman" w:cs="Times New Roman"/>
                <w:sz w:val="16"/>
                <w:szCs w:val="16"/>
                <w:lang w:val="en-GB"/>
              </w:rPr>
              <w:t>among</w:t>
            </w:r>
            <w:r w:rsidRPr="00C54618">
              <w:rPr>
                <w:rFonts w:ascii="Times New Roman" w:hAnsi="Times New Roman" w:cs="Times New Roman"/>
                <w:sz w:val="16"/>
                <w:szCs w:val="16"/>
                <w:lang w:val="en-GB"/>
              </w:rPr>
              <w:t xml:space="preserve"> m</w:t>
            </w:r>
            <w:r w:rsidR="004D7625" w:rsidRPr="00C54618">
              <w:rPr>
                <w:rFonts w:ascii="Times New Roman" w:hAnsi="Times New Roman" w:cs="Times New Roman"/>
                <w:sz w:val="16"/>
                <w:szCs w:val="16"/>
                <w:lang w:val="en-GB"/>
              </w:rPr>
              <w:t>e</w:t>
            </w:r>
            <w:r w:rsidRPr="00C54618">
              <w:rPr>
                <w:rFonts w:ascii="Times New Roman" w:hAnsi="Times New Roman" w:cs="Times New Roman"/>
                <w:sz w:val="16"/>
                <w:szCs w:val="16"/>
                <w:lang w:val="en-GB"/>
              </w:rPr>
              <w:t>n</w:t>
            </w:r>
          </w:p>
        </w:tc>
        <w:tc>
          <w:tcPr>
            <w:tcW w:w="1309" w:type="dxa"/>
          </w:tcPr>
          <w:p w:rsidR="00CC6CAC" w:rsidRPr="00C54618" w:rsidRDefault="004D7625" w:rsidP="00CC6CAC">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w:t>
            </w:r>
          </w:p>
        </w:tc>
        <w:tc>
          <w:tcPr>
            <w:tcW w:w="1354" w:type="dxa"/>
          </w:tcPr>
          <w:p w:rsidR="00CC6CAC" w:rsidRPr="00C54618" w:rsidRDefault="00E8686F" w:rsidP="00CC6CAC">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lzCDAVrb","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CC6CAC" w:rsidRPr="00C54618" w:rsidRDefault="004D7625"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25-0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75</w:t>
            </w:r>
          </w:p>
        </w:tc>
      </w:tr>
      <w:tr w:rsidR="00197BF9" w:rsidRPr="002C7656" w:rsidTr="00CC6CAC">
        <w:tc>
          <w:tcPr>
            <w:tcW w:w="1413" w:type="dxa"/>
          </w:tcPr>
          <w:p w:rsidR="00197BF9" w:rsidRPr="00C54618" w:rsidRDefault="00197BF9" w:rsidP="00197BF9">
            <w:pPr>
              <w:jc w:val="both"/>
              <w:rPr>
                <w:rFonts w:ascii="Times New Roman" w:hAnsi="Times New Roman" w:cs="Times New Roman"/>
                <w:i/>
                <w:sz w:val="16"/>
                <w:szCs w:val="16"/>
                <w:lang w:val="en-GB"/>
              </w:rPr>
            </w:pPr>
          </w:p>
        </w:tc>
        <w:tc>
          <w:tcPr>
            <w:tcW w:w="3865" w:type="dxa"/>
          </w:tcPr>
          <w:p w:rsidR="00197BF9" w:rsidRPr="00C54618" w:rsidRDefault="00197BF9" w:rsidP="00197BF9">
            <w:pPr>
              <w:jc w:val="both"/>
              <w:rPr>
                <w:rFonts w:ascii="Times New Roman" w:hAnsi="Times New Roman" w:cs="Times New Roman"/>
                <w:b/>
                <w:sz w:val="16"/>
                <w:szCs w:val="16"/>
                <w:lang w:val="en-GB"/>
              </w:rPr>
            </w:pPr>
            <w:r w:rsidRPr="00C54618">
              <w:rPr>
                <w:rFonts w:ascii="Times New Roman" w:hAnsi="Times New Roman" w:cs="Times New Roman"/>
                <w:b/>
                <w:sz w:val="16"/>
                <w:szCs w:val="16"/>
                <w:lang w:val="en-GB"/>
              </w:rPr>
              <w:t xml:space="preserve">Hand hygiene after using </w:t>
            </w:r>
            <w:r w:rsidR="00A273F2" w:rsidRPr="00C54618">
              <w:rPr>
                <w:rFonts w:ascii="Times New Roman" w:hAnsi="Times New Roman" w:cs="Times New Roman"/>
                <w:b/>
                <w:sz w:val="16"/>
                <w:szCs w:val="16"/>
                <w:lang w:val="en-GB"/>
              </w:rPr>
              <w:t>the toilet</w:t>
            </w:r>
          </w:p>
        </w:tc>
        <w:tc>
          <w:tcPr>
            <w:tcW w:w="1309" w:type="dxa"/>
          </w:tcPr>
          <w:p w:rsidR="00197BF9" w:rsidRPr="00C54618" w:rsidRDefault="00197BF9" w:rsidP="00197BF9">
            <w:pPr>
              <w:jc w:val="center"/>
              <w:rPr>
                <w:rFonts w:ascii="Times New Roman" w:hAnsi="Times New Roman" w:cs="Times New Roman"/>
                <w:sz w:val="16"/>
                <w:szCs w:val="16"/>
                <w:lang w:val="en-GB"/>
              </w:rPr>
            </w:pPr>
          </w:p>
        </w:tc>
        <w:tc>
          <w:tcPr>
            <w:tcW w:w="1354" w:type="dxa"/>
          </w:tcPr>
          <w:p w:rsidR="00197BF9" w:rsidRPr="00C54618" w:rsidRDefault="00197BF9" w:rsidP="00197BF9">
            <w:pPr>
              <w:rPr>
                <w:rFonts w:ascii="Times New Roman" w:hAnsi="Times New Roman" w:cs="Times New Roman"/>
                <w:sz w:val="16"/>
                <w:szCs w:val="16"/>
                <w:lang w:val="en-GB"/>
              </w:rPr>
            </w:pPr>
          </w:p>
        </w:tc>
        <w:tc>
          <w:tcPr>
            <w:tcW w:w="2544" w:type="dxa"/>
          </w:tcPr>
          <w:p w:rsidR="00197BF9" w:rsidRPr="00C54618" w:rsidRDefault="00197BF9" w:rsidP="00904291">
            <w:pPr>
              <w:jc w:val="center"/>
              <w:rPr>
                <w:rFonts w:ascii="Times New Roman" w:hAnsi="Times New Roman" w:cs="Times New Roman"/>
                <w:sz w:val="16"/>
                <w:szCs w:val="16"/>
                <w:lang w:val="en-GB"/>
              </w:rPr>
            </w:pPr>
          </w:p>
        </w:tc>
      </w:tr>
      <w:tr w:rsidR="00366DDE" w:rsidRPr="00D54669" w:rsidTr="00CC6CAC">
        <w:tc>
          <w:tcPr>
            <w:tcW w:w="1413" w:type="dxa"/>
          </w:tcPr>
          <w:p w:rsidR="00366DDE" w:rsidRPr="00C54618" w:rsidRDefault="00366DDE" w:rsidP="00366DDE">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t,w</w:t>
            </w:r>
            <w:proofErr w:type="spellEnd"/>
          </w:p>
        </w:tc>
        <w:tc>
          <w:tcPr>
            <w:tcW w:w="3865" w:type="dxa"/>
          </w:tcPr>
          <w:p w:rsidR="00366DDE" w:rsidRPr="00C54618" w:rsidRDefault="00366DDE" w:rsidP="00366DDE">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HH among women</w:t>
            </w:r>
          </w:p>
        </w:tc>
        <w:tc>
          <w:tcPr>
            <w:tcW w:w="1309" w:type="dxa"/>
          </w:tcPr>
          <w:p w:rsidR="00366DDE" w:rsidRPr="00C54618" w:rsidRDefault="00366DDE" w:rsidP="00366DDE">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4</w:t>
            </w:r>
          </w:p>
        </w:tc>
        <w:tc>
          <w:tcPr>
            <w:tcW w:w="1354" w:type="dxa"/>
          </w:tcPr>
          <w:p w:rsidR="00366DDE" w:rsidRPr="00C54618" w:rsidRDefault="00E8686F" w:rsidP="00366DDE">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hm25tuwo","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366DDE" w:rsidRPr="00C54618" w:rsidRDefault="00366DDE"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2-0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6</w:t>
            </w:r>
          </w:p>
        </w:tc>
      </w:tr>
      <w:tr w:rsidR="00366DDE" w:rsidRPr="00D54669" w:rsidTr="00CC6CAC">
        <w:tc>
          <w:tcPr>
            <w:tcW w:w="1413" w:type="dxa"/>
          </w:tcPr>
          <w:p w:rsidR="00366DDE" w:rsidRPr="00C54618" w:rsidRDefault="00366DDE" w:rsidP="00366DDE">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t,m</w:t>
            </w:r>
            <w:proofErr w:type="spellEnd"/>
          </w:p>
        </w:tc>
        <w:tc>
          <w:tcPr>
            <w:tcW w:w="3865" w:type="dxa"/>
          </w:tcPr>
          <w:p w:rsidR="00366DDE" w:rsidRPr="00C54618" w:rsidRDefault="00366DDE" w:rsidP="00366DDE">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HH among men</w:t>
            </w:r>
          </w:p>
        </w:tc>
        <w:tc>
          <w:tcPr>
            <w:tcW w:w="1309" w:type="dxa"/>
          </w:tcPr>
          <w:p w:rsidR="00366DDE" w:rsidRPr="00C54618" w:rsidRDefault="00366DDE" w:rsidP="00366DDE">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17</w:t>
            </w:r>
          </w:p>
        </w:tc>
        <w:tc>
          <w:tcPr>
            <w:tcW w:w="1354" w:type="dxa"/>
          </w:tcPr>
          <w:p w:rsidR="00366DDE" w:rsidRPr="00C54618" w:rsidRDefault="00E8686F" w:rsidP="00366DDE">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hcXQo0DB","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366DDE" w:rsidRPr="00C54618" w:rsidRDefault="00366DDE"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085-0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255</w:t>
            </w:r>
          </w:p>
        </w:tc>
      </w:tr>
      <w:tr w:rsidR="00366DDE" w:rsidRPr="00D54669" w:rsidTr="00CC6CAC">
        <w:tc>
          <w:tcPr>
            <w:tcW w:w="1413" w:type="dxa"/>
          </w:tcPr>
          <w:p w:rsidR="00366DDE" w:rsidRPr="00C54618" w:rsidRDefault="00366DDE" w:rsidP="00366DDE">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t,ch</w:t>
            </w:r>
            <w:proofErr w:type="spellEnd"/>
          </w:p>
        </w:tc>
        <w:tc>
          <w:tcPr>
            <w:tcW w:w="3865" w:type="dxa"/>
          </w:tcPr>
          <w:p w:rsidR="00366DDE" w:rsidRPr="00C54618" w:rsidRDefault="00366DDE" w:rsidP="00366DDE">
            <w:pPr>
              <w:jc w:val="both"/>
              <w:rPr>
                <w:rFonts w:ascii="Times New Roman" w:hAnsi="Times New Roman" w:cs="Times New Roman"/>
                <w:b/>
                <w:sz w:val="16"/>
                <w:szCs w:val="16"/>
                <w:lang w:val="en-GB"/>
              </w:rPr>
            </w:pPr>
            <w:r w:rsidRPr="00C54618">
              <w:rPr>
                <w:rFonts w:ascii="Times New Roman" w:hAnsi="Times New Roman" w:cs="Times New Roman"/>
                <w:sz w:val="16"/>
                <w:szCs w:val="16"/>
                <w:lang w:val="en-GB"/>
              </w:rPr>
              <w:t>HH among children</w:t>
            </w:r>
          </w:p>
        </w:tc>
        <w:tc>
          <w:tcPr>
            <w:tcW w:w="1309" w:type="dxa"/>
          </w:tcPr>
          <w:p w:rsidR="00366DDE" w:rsidRPr="00C54618" w:rsidRDefault="00366DDE" w:rsidP="00366DDE">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29</w:t>
            </w:r>
          </w:p>
        </w:tc>
        <w:tc>
          <w:tcPr>
            <w:tcW w:w="1354" w:type="dxa"/>
          </w:tcPr>
          <w:p w:rsidR="00366DDE" w:rsidRPr="00C54618" w:rsidRDefault="00E8686F" w:rsidP="00366DDE">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Rch0fDsJ","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366DDE" w:rsidRPr="00C54618" w:rsidRDefault="00366DDE"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145-0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435</w:t>
            </w:r>
          </w:p>
        </w:tc>
      </w:tr>
      <w:tr w:rsidR="00EC6C42" w:rsidRPr="00D54669" w:rsidTr="00CC6CAC">
        <w:tc>
          <w:tcPr>
            <w:tcW w:w="1413" w:type="dxa"/>
          </w:tcPr>
          <w:p w:rsidR="00EC6C42" w:rsidRPr="00C54618" w:rsidRDefault="00EC6C42" w:rsidP="00EC6C42">
            <w:pPr>
              <w:jc w:val="both"/>
              <w:rPr>
                <w:rFonts w:ascii="Times New Roman" w:hAnsi="Times New Roman" w:cs="Times New Roman"/>
                <w:i/>
                <w:sz w:val="16"/>
                <w:szCs w:val="16"/>
                <w:lang w:val="en-GB"/>
              </w:rPr>
            </w:pPr>
          </w:p>
        </w:tc>
        <w:tc>
          <w:tcPr>
            <w:tcW w:w="3865" w:type="dxa"/>
          </w:tcPr>
          <w:p w:rsidR="00EC6C42" w:rsidRPr="00C54618" w:rsidRDefault="002D7C2D" w:rsidP="00EC6C42">
            <w:pPr>
              <w:jc w:val="both"/>
              <w:rPr>
                <w:rFonts w:ascii="Times New Roman" w:hAnsi="Times New Roman" w:cs="Times New Roman"/>
                <w:b/>
                <w:sz w:val="16"/>
                <w:szCs w:val="16"/>
                <w:lang w:val="en-GB"/>
              </w:rPr>
            </w:pPr>
            <w:r w:rsidRPr="00C54618">
              <w:rPr>
                <w:rFonts w:ascii="Times New Roman" w:hAnsi="Times New Roman" w:cs="Times New Roman"/>
                <w:b/>
                <w:sz w:val="16"/>
                <w:szCs w:val="16"/>
                <w:lang w:val="en-GB"/>
              </w:rPr>
              <w:t>Hand hygiene before eating</w:t>
            </w:r>
          </w:p>
        </w:tc>
        <w:tc>
          <w:tcPr>
            <w:tcW w:w="1309" w:type="dxa"/>
          </w:tcPr>
          <w:p w:rsidR="00EC6C42" w:rsidRPr="00C54618" w:rsidRDefault="00EC6C42" w:rsidP="00EC6C42">
            <w:pPr>
              <w:jc w:val="center"/>
              <w:rPr>
                <w:rFonts w:ascii="Times New Roman" w:hAnsi="Times New Roman" w:cs="Times New Roman"/>
                <w:sz w:val="16"/>
                <w:szCs w:val="16"/>
                <w:lang w:val="en-GB"/>
              </w:rPr>
            </w:pPr>
          </w:p>
        </w:tc>
        <w:tc>
          <w:tcPr>
            <w:tcW w:w="1354" w:type="dxa"/>
          </w:tcPr>
          <w:p w:rsidR="00EC6C42" w:rsidRPr="00C54618" w:rsidRDefault="00EC6C42" w:rsidP="00EC6C42">
            <w:pPr>
              <w:rPr>
                <w:rFonts w:ascii="Times New Roman" w:hAnsi="Times New Roman" w:cs="Times New Roman"/>
                <w:sz w:val="16"/>
                <w:szCs w:val="16"/>
                <w:lang w:val="en-GB"/>
              </w:rPr>
            </w:pPr>
          </w:p>
        </w:tc>
        <w:tc>
          <w:tcPr>
            <w:tcW w:w="2544" w:type="dxa"/>
          </w:tcPr>
          <w:p w:rsidR="00EC6C42" w:rsidRPr="00C54618" w:rsidRDefault="00EC6C42" w:rsidP="00904291">
            <w:pPr>
              <w:jc w:val="center"/>
              <w:rPr>
                <w:rFonts w:ascii="Times New Roman" w:hAnsi="Times New Roman" w:cs="Times New Roman"/>
                <w:sz w:val="16"/>
                <w:szCs w:val="16"/>
                <w:lang w:val="en-GB"/>
              </w:rPr>
            </w:pPr>
          </w:p>
        </w:tc>
      </w:tr>
      <w:tr w:rsidR="00366DDE" w:rsidRPr="00D54669" w:rsidTr="00CC6CAC">
        <w:tc>
          <w:tcPr>
            <w:tcW w:w="1413" w:type="dxa"/>
          </w:tcPr>
          <w:p w:rsidR="00366DDE" w:rsidRPr="00C54618" w:rsidRDefault="00366DDE" w:rsidP="00366DDE">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e,w</w:t>
            </w:r>
            <w:proofErr w:type="spellEnd"/>
          </w:p>
        </w:tc>
        <w:tc>
          <w:tcPr>
            <w:tcW w:w="3865" w:type="dxa"/>
          </w:tcPr>
          <w:p w:rsidR="00366DDE" w:rsidRPr="00C54618" w:rsidRDefault="00366DDE" w:rsidP="00366DDE">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HH among women</w:t>
            </w:r>
          </w:p>
        </w:tc>
        <w:tc>
          <w:tcPr>
            <w:tcW w:w="1309" w:type="dxa"/>
          </w:tcPr>
          <w:p w:rsidR="00366DDE" w:rsidRPr="00C54618" w:rsidRDefault="00366DDE" w:rsidP="00366DDE">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36</w:t>
            </w:r>
          </w:p>
        </w:tc>
        <w:tc>
          <w:tcPr>
            <w:tcW w:w="1354" w:type="dxa"/>
          </w:tcPr>
          <w:p w:rsidR="00366DDE" w:rsidRPr="00C54618" w:rsidRDefault="00E8686F" w:rsidP="00366DDE">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wH6Y67rB","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366DDE" w:rsidRPr="00C54618" w:rsidRDefault="00366DDE"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18-0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54</w:t>
            </w:r>
          </w:p>
        </w:tc>
      </w:tr>
      <w:tr w:rsidR="00366DDE" w:rsidRPr="00D54669" w:rsidTr="00CC6CAC">
        <w:tc>
          <w:tcPr>
            <w:tcW w:w="1413" w:type="dxa"/>
          </w:tcPr>
          <w:p w:rsidR="00366DDE" w:rsidRPr="00C54618" w:rsidRDefault="00366DDE" w:rsidP="00366DDE">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e,m</w:t>
            </w:r>
            <w:proofErr w:type="spellEnd"/>
          </w:p>
        </w:tc>
        <w:tc>
          <w:tcPr>
            <w:tcW w:w="3865" w:type="dxa"/>
          </w:tcPr>
          <w:p w:rsidR="00366DDE" w:rsidRPr="00C54618" w:rsidRDefault="00366DDE" w:rsidP="00366DDE">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HH among men</w:t>
            </w:r>
          </w:p>
        </w:tc>
        <w:tc>
          <w:tcPr>
            <w:tcW w:w="1309" w:type="dxa"/>
          </w:tcPr>
          <w:p w:rsidR="00366DDE" w:rsidRPr="00C54618" w:rsidRDefault="00366DDE" w:rsidP="00366DDE">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33</w:t>
            </w:r>
          </w:p>
        </w:tc>
        <w:tc>
          <w:tcPr>
            <w:tcW w:w="1354" w:type="dxa"/>
          </w:tcPr>
          <w:p w:rsidR="00366DDE" w:rsidRPr="00C54618" w:rsidRDefault="00E8686F" w:rsidP="00366DDE">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foSGP8U6","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366DDE" w:rsidRPr="00C54618" w:rsidRDefault="00366DDE"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165-0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495</w:t>
            </w:r>
          </w:p>
        </w:tc>
      </w:tr>
      <w:tr w:rsidR="00366DDE" w:rsidRPr="00D54669" w:rsidTr="00CC6CAC">
        <w:tc>
          <w:tcPr>
            <w:tcW w:w="1413" w:type="dxa"/>
          </w:tcPr>
          <w:p w:rsidR="00366DDE" w:rsidRPr="00C54618" w:rsidRDefault="00366DDE" w:rsidP="00366DDE">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e,ch</w:t>
            </w:r>
            <w:proofErr w:type="spellEnd"/>
          </w:p>
        </w:tc>
        <w:tc>
          <w:tcPr>
            <w:tcW w:w="3865" w:type="dxa"/>
          </w:tcPr>
          <w:p w:rsidR="00366DDE" w:rsidRPr="00C54618" w:rsidRDefault="00366DDE" w:rsidP="00366DDE">
            <w:pPr>
              <w:jc w:val="both"/>
              <w:rPr>
                <w:rFonts w:ascii="Times New Roman" w:hAnsi="Times New Roman" w:cs="Times New Roman"/>
                <w:b/>
                <w:sz w:val="16"/>
                <w:szCs w:val="16"/>
                <w:lang w:val="en-GB"/>
              </w:rPr>
            </w:pPr>
            <w:r w:rsidRPr="00C54618">
              <w:rPr>
                <w:rFonts w:ascii="Times New Roman" w:hAnsi="Times New Roman" w:cs="Times New Roman"/>
                <w:sz w:val="16"/>
                <w:szCs w:val="16"/>
                <w:lang w:val="en-GB"/>
              </w:rPr>
              <w:t>HH among children</w:t>
            </w:r>
          </w:p>
        </w:tc>
        <w:tc>
          <w:tcPr>
            <w:tcW w:w="1309" w:type="dxa"/>
          </w:tcPr>
          <w:p w:rsidR="00366DDE" w:rsidRPr="00C54618" w:rsidRDefault="00366DDE" w:rsidP="00366DDE">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w:t>
            </w:r>
          </w:p>
        </w:tc>
        <w:tc>
          <w:tcPr>
            <w:tcW w:w="1354" w:type="dxa"/>
          </w:tcPr>
          <w:p w:rsidR="00366DDE" w:rsidRPr="00C54618" w:rsidRDefault="00E8686F" w:rsidP="00366DDE">
            <w:pPr>
              <w:rPr>
                <w:rFonts w:ascii="Times New Roman" w:hAnsi="Times New Roman" w:cs="Times New Roman"/>
                <w:sz w:val="16"/>
                <w:szCs w:val="16"/>
                <w:lang w:val="en-GB"/>
              </w:rPr>
            </w:pPr>
            <w:r w:rsidRPr="00C54618">
              <w:rPr>
                <w:rFonts w:ascii="Times New Roman" w:hAnsi="Times New Roman" w:cs="Times New Roman"/>
                <w:sz w:val="16"/>
                <w:szCs w:val="16"/>
                <w:lang w:val="en-GB"/>
              </w:rPr>
              <w:fldChar w:fldCharType="begin"/>
            </w:r>
            <w:r w:rsidR="008C5DFA">
              <w:rPr>
                <w:rFonts w:ascii="Times New Roman" w:hAnsi="Times New Roman" w:cs="Times New Roman"/>
                <w:sz w:val="16"/>
                <w:szCs w:val="16"/>
                <w:lang w:val="en-GB"/>
              </w:rPr>
              <w:instrText xml:space="preserve"> ADDIN ZOTERO_ITEM CSL_CITATION {"citationID":"sCT0cXK1","properties":{"formattedCitation":"[15]","plainCitation":"[15]"},"citationItems":[{"id":293,"uris":["http://zotero.org/users/local/hjvuTSYk/items/5J2C7TG5"],"uri":["http://zotero.org/users/local/hjvuTSYk/items/5J2C7TG5"],"itemData":{"id":293,"type":"article-journal","title":"Comparative assessment of primary and secondary infection risks in a norovirus outbreak using a household model simulation","container-title":"Journal of Environmental Sciences (China)","page":"13-20","volume":"50","source":"PubMed","abstract":"Diarrheal diseases can be transmitted via both primary infection due to exposures to contaminated materials from the environment and secondary infection due to person-to-person contacts. Usually, the importance of secondary infection is empirically assessed by fitting mathematical models to the epidemic curves. However, these empirical models may not be applicable to other epidemic cases because they are developed only for the target epidemics and they don't consider the detail routes of infection. In our previous study, we developed a theoretical model taking into account the various routes of infection that commonly occur in households (e.g., shaking hands, food handling, and changing diapers). This model was made flexible and applicable to any epidemics by means of adjusting model parameters. In this study, we proposed a new index \"Vulnerability indicator to secondary infection (VISI)\", which expressed a ratio of secondary infection to primary infection risks and calculated this index in a simulated norovirus (NoV) epidemic that involved 10,000 households. The results demonstrated that households composed of more than three members including infant(s) had much higher levels of VISI (5-45) than two-member-households with VISI (0.1-4). These results concluded that the infants were likely to be a hub of secondary infections in highly dense families and therefore careful handling of diapers was deemed indispensible in such families to effectively control the secondary infections.","DOI":"10.1016/j.jes.2016.05.041","ISSN":"1001-0742","note":"PMID: 28034424","journalAbbreviation":"J Environ Sci (China)","language":"eng","author":[{"family":"Miura","given":"Fuminari"},{"family":"Watanabe","given":"Toru"},{"family":"Watanabe","given":"Kozo"},{"family":"Takemoto","given":"Kazuhiko"},{"family":"Fukushi","given":"Kensuke"}],"issued":{"date-parts":[["2016",12]]},"PMID":"28034424"}}],"schema":"https://github.com/citation-style-language/schema/raw/master/csl-citation.json"} </w:instrText>
            </w:r>
            <w:r w:rsidRPr="00C54618">
              <w:rPr>
                <w:rFonts w:ascii="Times New Roman" w:hAnsi="Times New Roman" w:cs="Times New Roman"/>
                <w:sz w:val="16"/>
                <w:szCs w:val="16"/>
                <w:lang w:val="en-GB"/>
              </w:rPr>
              <w:fldChar w:fldCharType="separate"/>
            </w:r>
            <w:r w:rsidR="008C5DFA" w:rsidRPr="008C5DFA">
              <w:rPr>
                <w:rFonts w:ascii="Times New Roman" w:hAnsi="Times New Roman" w:cs="Times New Roman"/>
                <w:sz w:val="16"/>
              </w:rPr>
              <w:t>[15]</w:t>
            </w:r>
            <w:r w:rsidRPr="00C54618">
              <w:rPr>
                <w:rFonts w:ascii="Times New Roman" w:hAnsi="Times New Roman" w:cs="Times New Roman"/>
                <w:sz w:val="16"/>
                <w:szCs w:val="16"/>
                <w:lang w:val="en-GB"/>
              </w:rPr>
              <w:fldChar w:fldCharType="end"/>
            </w:r>
          </w:p>
        </w:tc>
        <w:tc>
          <w:tcPr>
            <w:tcW w:w="2544" w:type="dxa"/>
          </w:tcPr>
          <w:p w:rsidR="00366DDE" w:rsidRPr="00C54618" w:rsidRDefault="00366DDE"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25-0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75</w:t>
            </w:r>
          </w:p>
        </w:tc>
      </w:tr>
      <w:tr w:rsidR="005E69BB" w:rsidRPr="002C7656" w:rsidTr="00CC6CAC">
        <w:tc>
          <w:tcPr>
            <w:tcW w:w="1413" w:type="dxa"/>
          </w:tcPr>
          <w:p w:rsidR="005E69BB" w:rsidRPr="00C54618" w:rsidRDefault="005E69BB" w:rsidP="00366DDE">
            <w:pPr>
              <w:jc w:val="both"/>
              <w:rPr>
                <w:rFonts w:ascii="Times New Roman" w:hAnsi="Times New Roman" w:cs="Times New Roman"/>
                <w:i/>
                <w:sz w:val="16"/>
                <w:szCs w:val="16"/>
                <w:lang w:val="en-GB"/>
              </w:rPr>
            </w:pPr>
          </w:p>
        </w:tc>
        <w:tc>
          <w:tcPr>
            <w:tcW w:w="3865" w:type="dxa"/>
          </w:tcPr>
          <w:p w:rsidR="005E69BB" w:rsidRPr="00C54618" w:rsidRDefault="005E69BB" w:rsidP="005E69BB">
            <w:pPr>
              <w:jc w:val="both"/>
              <w:rPr>
                <w:rFonts w:ascii="Times New Roman" w:hAnsi="Times New Roman" w:cs="Times New Roman"/>
                <w:sz w:val="16"/>
                <w:szCs w:val="16"/>
                <w:lang w:val="en-GB"/>
              </w:rPr>
            </w:pPr>
            <w:r w:rsidRPr="00C54618">
              <w:rPr>
                <w:rFonts w:ascii="Times New Roman" w:hAnsi="Times New Roman" w:cs="Times New Roman"/>
                <w:b/>
                <w:sz w:val="16"/>
                <w:szCs w:val="16"/>
                <w:lang w:val="en-GB"/>
              </w:rPr>
              <w:t>Hand hygiene before feeding a baby</w:t>
            </w:r>
          </w:p>
        </w:tc>
        <w:tc>
          <w:tcPr>
            <w:tcW w:w="1309" w:type="dxa"/>
          </w:tcPr>
          <w:p w:rsidR="005E69BB" w:rsidRPr="00C54618" w:rsidRDefault="005E69BB" w:rsidP="00366DDE">
            <w:pPr>
              <w:jc w:val="center"/>
              <w:rPr>
                <w:rFonts w:ascii="Times New Roman" w:hAnsi="Times New Roman" w:cs="Times New Roman"/>
                <w:sz w:val="16"/>
                <w:szCs w:val="16"/>
                <w:lang w:val="en-GB"/>
              </w:rPr>
            </w:pPr>
          </w:p>
        </w:tc>
        <w:tc>
          <w:tcPr>
            <w:tcW w:w="1354" w:type="dxa"/>
          </w:tcPr>
          <w:p w:rsidR="005E69BB" w:rsidRPr="00C54618" w:rsidRDefault="005E69BB" w:rsidP="00366DDE">
            <w:pPr>
              <w:rPr>
                <w:rFonts w:ascii="Times New Roman" w:hAnsi="Times New Roman" w:cs="Times New Roman"/>
                <w:sz w:val="16"/>
                <w:szCs w:val="16"/>
                <w:lang w:val="en-GB"/>
              </w:rPr>
            </w:pPr>
          </w:p>
        </w:tc>
        <w:tc>
          <w:tcPr>
            <w:tcW w:w="2544" w:type="dxa"/>
          </w:tcPr>
          <w:p w:rsidR="005E69BB" w:rsidRPr="00C54618" w:rsidRDefault="005E69BB" w:rsidP="00904291">
            <w:pPr>
              <w:jc w:val="center"/>
              <w:rPr>
                <w:rFonts w:ascii="Times New Roman" w:hAnsi="Times New Roman" w:cs="Times New Roman"/>
                <w:sz w:val="16"/>
                <w:szCs w:val="16"/>
                <w:lang w:val="en-GB"/>
              </w:rPr>
            </w:pPr>
          </w:p>
        </w:tc>
      </w:tr>
      <w:tr w:rsidR="00EC1C20" w:rsidRPr="00D54669" w:rsidTr="00CC6CAC">
        <w:tc>
          <w:tcPr>
            <w:tcW w:w="1413" w:type="dxa"/>
          </w:tcPr>
          <w:p w:rsidR="00EC1C20" w:rsidRPr="00C54618" w:rsidRDefault="00EC1C20" w:rsidP="00EC1C20">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f,w</w:t>
            </w:r>
            <w:proofErr w:type="spellEnd"/>
          </w:p>
        </w:tc>
        <w:tc>
          <w:tcPr>
            <w:tcW w:w="3865" w:type="dxa"/>
          </w:tcPr>
          <w:p w:rsidR="00EC1C20" w:rsidRPr="00C54618" w:rsidRDefault="00EC1C20" w:rsidP="00EC1C20">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HH among women</w:t>
            </w:r>
          </w:p>
        </w:tc>
        <w:tc>
          <w:tcPr>
            <w:tcW w:w="1309" w:type="dxa"/>
          </w:tcPr>
          <w:p w:rsidR="00EC1C20" w:rsidRPr="00C54618" w:rsidRDefault="00414BCE" w:rsidP="00EC1C20">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p>
        </w:tc>
        <w:tc>
          <w:tcPr>
            <w:tcW w:w="1354" w:type="dxa"/>
          </w:tcPr>
          <w:p w:rsidR="00EC1C20" w:rsidRPr="00C54618" w:rsidRDefault="00EC1C20" w:rsidP="00EC1C20">
            <w:pPr>
              <w:rPr>
                <w:rFonts w:ascii="Times New Roman" w:hAnsi="Times New Roman" w:cs="Times New Roman"/>
                <w:sz w:val="16"/>
                <w:szCs w:val="16"/>
                <w:lang w:val="en-GB"/>
              </w:rPr>
            </w:pPr>
          </w:p>
        </w:tc>
        <w:tc>
          <w:tcPr>
            <w:tcW w:w="2544" w:type="dxa"/>
          </w:tcPr>
          <w:p w:rsidR="00EC1C20" w:rsidRPr="00C54618" w:rsidRDefault="00E8686F"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w:t>
            </w:r>
          </w:p>
        </w:tc>
      </w:tr>
      <w:tr w:rsidR="00EC1C20" w:rsidRPr="00D54669" w:rsidTr="00CC6CAC">
        <w:tc>
          <w:tcPr>
            <w:tcW w:w="1413" w:type="dxa"/>
          </w:tcPr>
          <w:p w:rsidR="00EC1C20" w:rsidRPr="00C54618" w:rsidRDefault="00EC1C20" w:rsidP="00EC1C20">
            <w:pPr>
              <w:jc w:val="both"/>
              <w:rPr>
                <w:rFonts w:ascii="Times New Roman" w:hAnsi="Times New Roman" w:cs="Times New Roman"/>
                <w:i/>
                <w:sz w:val="16"/>
                <w:szCs w:val="16"/>
                <w:lang w:val="en-GB"/>
              </w:rPr>
            </w:pPr>
            <w:proofErr w:type="spellStart"/>
            <w:r w:rsidRPr="00C54618">
              <w:rPr>
                <w:rFonts w:ascii="Times New Roman" w:hAnsi="Times New Roman" w:cs="Times New Roman"/>
                <w:i/>
                <w:sz w:val="16"/>
                <w:szCs w:val="16"/>
                <w:lang w:val="en-GB"/>
              </w:rPr>
              <w:t>HH</w:t>
            </w:r>
            <w:r w:rsidRPr="00C54618">
              <w:rPr>
                <w:rFonts w:ascii="Times New Roman" w:hAnsi="Times New Roman" w:cs="Times New Roman"/>
                <w:i/>
                <w:sz w:val="16"/>
                <w:szCs w:val="16"/>
                <w:vertAlign w:val="subscript"/>
                <w:lang w:val="en-GB"/>
              </w:rPr>
              <w:t>f,m</w:t>
            </w:r>
            <w:proofErr w:type="spellEnd"/>
          </w:p>
        </w:tc>
        <w:tc>
          <w:tcPr>
            <w:tcW w:w="3865" w:type="dxa"/>
          </w:tcPr>
          <w:p w:rsidR="00EC1C20" w:rsidRPr="00C54618" w:rsidRDefault="00EC1C20" w:rsidP="00EC1C20">
            <w:pPr>
              <w:jc w:val="both"/>
              <w:rPr>
                <w:rFonts w:ascii="Times New Roman" w:hAnsi="Times New Roman" w:cs="Times New Roman"/>
                <w:sz w:val="16"/>
                <w:szCs w:val="16"/>
                <w:lang w:val="en-GB"/>
              </w:rPr>
            </w:pPr>
            <w:r w:rsidRPr="00C54618">
              <w:rPr>
                <w:rFonts w:ascii="Times New Roman" w:hAnsi="Times New Roman" w:cs="Times New Roman"/>
                <w:sz w:val="16"/>
                <w:szCs w:val="16"/>
                <w:lang w:val="en-GB"/>
              </w:rPr>
              <w:t>HH among men</w:t>
            </w:r>
          </w:p>
        </w:tc>
        <w:tc>
          <w:tcPr>
            <w:tcW w:w="1309" w:type="dxa"/>
          </w:tcPr>
          <w:p w:rsidR="00EC1C20" w:rsidRPr="00C54618" w:rsidRDefault="00414BCE" w:rsidP="00EC1C20">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w:t>
            </w:r>
          </w:p>
        </w:tc>
        <w:tc>
          <w:tcPr>
            <w:tcW w:w="1354" w:type="dxa"/>
          </w:tcPr>
          <w:p w:rsidR="00EC1C20" w:rsidRPr="00C54618" w:rsidRDefault="00EC1C20" w:rsidP="00EC1C20">
            <w:pPr>
              <w:rPr>
                <w:rFonts w:ascii="Times New Roman" w:hAnsi="Times New Roman" w:cs="Times New Roman"/>
                <w:sz w:val="16"/>
                <w:szCs w:val="16"/>
                <w:lang w:val="en-GB"/>
              </w:rPr>
            </w:pPr>
          </w:p>
        </w:tc>
        <w:tc>
          <w:tcPr>
            <w:tcW w:w="2544" w:type="dxa"/>
          </w:tcPr>
          <w:p w:rsidR="00EC1C20" w:rsidRPr="00C54618" w:rsidRDefault="00E8686F" w:rsidP="00904291">
            <w:pPr>
              <w:jc w:val="center"/>
              <w:rPr>
                <w:rFonts w:ascii="Times New Roman" w:hAnsi="Times New Roman" w:cs="Times New Roman"/>
                <w:sz w:val="16"/>
                <w:szCs w:val="16"/>
                <w:lang w:val="en-GB"/>
              </w:rPr>
            </w:pPr>
            <w:r w:rsidRPr="00C54618">
              <w:rPr>
                <w:rFonts w:ascii="Times New Roman" w:hAnsi="Times New Roman" w:cs="Times New Roman"/>
                <w:sz w:val="16"/>
                <w:szCs w:val="16"/>
                <w:lang w:val="en-GB"/>
              </w:rPr>
              <w:t>0-0</w:t>
            </w:r>
            <w:r w:rsidR="002C7656">
              <w:rPr>
                <w:rFonts w:ascii="Times New Roman" w:hAnsi="Times New Roman" w:cs="Times New Roman"/>
                <w:sz w:val="16"/>
                <w:szCs w:val="16"/>
                <w:lang w:val="en-GB"/>
              </w:rPr>
              <w:t>.</w:t>
            </w:r>
            <w:r w:rsidRPr="00C54618">
              <w:rPr>
                <w:rFonts w:ascii="Times New Roman" w:hAnsi="Times New Roman" w:cs="Times New Roman"/>
                <w:sz w:val="16"/>
                <w:szCs w:val="16"/>
                <w:lang w:val="en-GB"/>
              </w:rPr>
              <w:t>5</w:t>
            </w:r>
          </w:p>
        </w:tc>
      </w:tr>
    </w:tbl>
    <w:p w:rsidR="00AB546F" w:rsidRPr="003B7DFE" w:rsidRDefault="00AB546F" w:rsidP="007456F2">
      <w:pPr>
        <w:jc w:val="both"/>
        <w:rPr>
          <w:rFonts w:cs="Times New Roman"/>
          <w:b/>
          <w:sz w:val="20"/>
          <w:szCs w:val="20"/>
          <w:lang w:val="en-US"/>
        </w:rPr>
      </w:pPr>
    </w:p>
    <w:p w:rsidR="007456F2" w:rsidRPr="00AB546F" w:rsidRDefault="00E05354" w:rsidP="007A11A9">
      <w:pPr>
        <w:jc w:val="both"/>
        <w:rPr>
          <w:rFonts w:ascii="Times New Roman" w:hAnsi="Times New Roman" w:cs="Times New Roman"/>
          <w:b/>
          <w:sz w:val="20"/>
          <w:szCs w:val="20"/>
          <w:lang w:val="en-GB"/>
        </w:rPr>
      </w:pPr>
      <w:r w:rsidRPr="00AB546F">
        <w:rPr>
          <w:rFonts w:ascii="Times New Roman" w:hAnsi="Times New Roman" w:cs="Times New Roman"/>
          <w:b/>
          <w:sz w:val="20"/>
          <w:szCs w:val="20"/>
          <w:lang w:val="en-GB"/>
        </w:rPr>
        <w:t>S</w:t>
      </w:r>
      <w:r w:rsidR="007A11A9" w:rsidRPr="00AB546F">
        <w:rPr>
          <w:rFonts w:ascii="Times New Roman" w:hAnsi="Times New Roman" w:cs="Times New Roman"/>
          <w:b/>
          <w:sz w:val="20"/>
          <w:szCs w:val="20"/>
          <w:lang w:val="en-GB"/>
        </w:rPr>
        <w:t>ensitivity analysis</w:t>
      </w:r>
    </w:p>
    <w:p w:rsidR="00483541" w:rsidRPr="00AB546F" w:rsidRDefault="00D135BC" w:rsidP="00AB546F">
      <w:pPr>
        <w:spacing w:line="240" w:lineRule="auto"/>
        <w:jc w:val="both"/>
        <w:rPr>
          <w:rFonts w:ascii="Times New Roman" w:hAnsi="Times New Roman" w:cs="Times New Roman"/>
          <w:sz w:val="20"/>
          <w:szCs w:val="20"/>
          <w:lang w:val="en-GB"/>
        </w:rPr>
      </w:pPr>
      <w:r w:rsidRPr="00AB546F">
        <w:rPr>
          <w:rFonts w:ascii="Times New Roman" w:hAnsi="Times New Roman" w:cs="Times New Roman"/>
          <w:sz w:val="20"/>
          <w:szCs w:val="20"/>
          <w:lang w:val="en-US"/>
        </w:rPr>
        <w:t xml:space="preserve">We considered </w:t>
      </w:r>
      <w:r w:rsidR="002758DC" w:rsidRPr="00AB546F">
        <w:rPr>
          <w:rFonts w:ascii="Times New Roman" w:hAnsi="Times New Roman" w:cs="Times New Roman"/>
          <w:i/>
          <w:sz w:val="20"/>
          <w:szCs w:val="20"/>
          <w:lang w:val="en-US"/>
        </w:rPr>
        <w:t>k</w:t>
      </w:r>
      <w:r w:rsidRPr="00AB546F">
        <w:rPr>
          <w:rFonts w:ascii="Times New Roman" w:hAnsi="Times New Roman" w:cs="Times New Roman"/>
          <w:sz w:val="20"/>
          <w:szCs w:val="20"/>
          <w:lang w:val="en-US"/>
        </w:rPr>
        <w:t xml:space="preserve"> model parameters in the sensitivity analysis</w:t>
      </w:r>
      <w:r w:rsidR="00F160EB" w:rsidRPr="00AB546F">
        <w:rPr>
          <w:rFonts w:ascii="Times New Roman" w:hAnsi="Times New Roman" w:cs="Times New Roman"/>
          <w:sz w:val="20"/>
          <w:szCs w:val="20"/>
          <w:lang w:val="en-US"/>
        </w:rPr>
        <w:t xml:space="preserve"> (</w:t>
      </w:r>
      <w:r w:rsidR="00007697" w:rsidRPr="00AB546F">
        <w:rPr>
          <w:rFonts w:ascii="Times New Roman" w:hAnsi="Times New Roman" w:cs="Times New Roman"/>
          <w:i/>
          <w:sz w:val="20"/>
          <w:szCs w:val="20"/>
          <w:lang w:val="en-US"/>
        </w:rPr>
        <w:t>k</w:t>
      </w:r>
      <w:r w:rsidR="00F160EB" w:rsidRPr="00AB546F">
        <w:rPr>
          <w:rFonts w:ascii="Times New Roman" w:hAnsi="Times New Roman" w:cs="Times New Roman"/>
          <w:sz w:val="20"/>
          <w:szCs w:val="20"/>
          <w:lang w:val="en-US"/>
        </w:rPr>
        <w:t>=24)</w:t>
      </w:r>
      <w:r w:rsidR="00336EE3" w:rsidRPr="00AB546F">
        <w:rPr>
          <w:rFonts w:ascii="Times New Roman" w:hAnsi="Times New Roman" w:cs="Times New Roman"/>
          <w:sz w:val="20"/>
          <w:szCs w:val="20"/>
          <w:lang w:val="en-US"/>
        </w:rPr>
        <w:t>.</w:t>
      </w:r>
      <w:r w:rsidR="00B60D66" w:rsidRPr="00AB546F">
        <w:rPr>
          <w:rFonts w:ascii="Times New Roman" w:hAnsi="Times New Roman" w:cs="Times New Roman"/>
          <w:sz w:val="20"/>
          <w:szCs w:val="20"/>
          <w:lang w:val="en-US"/>
        </w:rPr>
        <w:t xml:space="preserve"> </w:t>
      </w:r>
      <w:r w:rsidR="00483541" w:rsidRPr="00AB546F">
        <w:rPr>
          <w:rFonts w:ascii="Times New Roman" w:hAnsi="Times New Roman" w:cs="Times New Roman"/>
          <w:sz w:val="20"/>
          <w:szCs w:val="20"/>
          <w:lang w:val="en-GB"/>
        </w:rPr>
        <w:t xml:space="preserve">Because there was no </w:t>
      </w:r>
      <w:r w:rsidR="00483541" w:rsidRPr="00AB546F">
        <w:rPr>
          <w:rFonts w:ascii="Times New Roman" w:hAnsi="Times New Roman" w:cs="Times New Roman"/>
          <w:i/>
          <w:sz w:val="20"/>
          <w:szCs w:val="20"/>
          <w:lang w:val="en-GB"/>
        </w:rPr>
        <w:t>a priori</w:t>
      </w:r>
      <w:r w:rsidR="00483541" w:rsidRPr="00AB546F">
        <w:rPr>
          <w:rFonts w:ascii="Times New Roman" w:hAnsi="Times New Roman" w:cs="Times New Roman"/>
          <w:sz w:val="20"/>
          <w:szCs w:val="20"/>
          <w:lang w:val="en-GB"/>
        </w:rPr>
        <w:t xml:space="preserve"> information on parameter distributions, we chose the uniform distribution with minimum and maximum values from </w:t>
      </w:r>
      <w:r w:rsidR="00A42232" w:rsidRPr="00AB546F">
        <w:rPr>
          <w:rFonts w:ascii="Times New Roman" w:hAnsi="Times New Roman" w:cs="Times New Roman"/>
          <w:sz w:val="20"/>
          <w:szCs w:val="20"/>
          <w:lang w:val="en-GB"/>
        </w:rPr>
        <w:t>given</w:t>
      </w:r>
      <w:r w:rsidR="00483541" w:rsidRPr="00AB546F">
        <w:rPr>
          <w:rFonts w:ascii="Times New Roman" w:hAnsi="Times New Roman" w:cs="Times New Roman"/>
          <w:sz w:val="20"/>
          <w:szCs w:val="20"/>
          <w:lang w:val="en-GB"/>
        </w:rPr>
        <w:t xml:space="preserve"> parameter ranges</w:t>
      </w:r>
      <w:r w:rsidR="00A42232" w:rsidRPr="00AB546F">
        <w:rPr>
          <w:rFonts w:ascii="Times New Roman" w:hAnsi="Times New Roman" w:cs="Times New Roman"/>
          <w:sz w:val="20"/>
          <w:szCs w:val="20"/>
          <w:lang w:val="en-GB"/>
        </w:rPr>
        <w:t xml:space="preserve"> (</w:t>
      </w:r>
      <w:r w:rsidR="00CB1D4B" w:rsidRPr="00AB546F">
        <w:rPr>
          <w:rFonts w:ascii="Times New Roman" w:hAnsi="Times New Roman" w:cs="Times New Roman"/>
          <w:sz w:val="20"/>
          <w:szCs w:val="20"/>
          <w:lang w:val="en-GB"/>
        </w:rPr>
        <w:t>Supplementary T</w:t>
      </w:r>
      <w:r w:rsidR="00A42232" w:rsidRPr="00AB546F">
        <w:rPr>
          <w:rFonts w:ascii="Times New Roman" w:hAnsi="Times New Roman" w:cs="Times New Roman"/>
          <w:sz w:val="20"/>
          <w:szCs w:val="20"/>
          <w:lang w:val="en-GB"/>
        </w:rPr>
        <w:t>able S1)</w:t>
      </w:r>
      <w:r w:rsidR="00483541" w:rsidRPr="00AB546F">
        <w:rPr>
          <w:rFonts w:ascii="Times New Roman" w:hAnsi="Times New Roman" w:cs="Times New Roman"/>
          <w:sz w:val="20"/>
          <w:szCs w:val="20"/>
          <w:lang w:val="en-GB"/>
        </w:rPr>
        <w:t>.</w:t>
      </w:r>
      <w:r w:rsidR="006F2F5E" w:rsidRPr="00AB546F">
        <w:rPr>
          <w:rFonts w:ascii="Times New Roman" w:hAnsi="Times New Roman" w:cs="Times New Roman"/>
          <w:sz w:val="20"/>
          <w:szCs w:val="20"/>
          <w:lang w:val="en-GB"/>
        </w:rPr>
        <w:t xml:space="preserve"> </w:t>
      </w:r>
    </w:p>
    <w:p w:rsidR="002758DC" w:rsidRPr="00AB546F" w:rsidRDefault="002B52FF" w:rsidP="00AB546F">
      <w:pPr>
        <w:spacing w:line="240" w:lineRule="auto"/>
        <w:jc w:val="both"/>
        <w:rPr>
          <w:rFonts w:ascii="Times New Roman" w:hAnsi="Times New Roman" w:cs="Times New Roman"/>
          <w:sz w:val="20"/>
          <w:szCs w:val="20"/>
          <w:lang w:val="en-GB"/>
        </w:rPr>
      </w:pPr>
      <w:r w:rsidRPr="00AB546F">
        <w:rPr>
          <w:rFonts w:ascii="Times New Roman" w:hAnsi="Times New Roman" w:cs="Times New Roman"/>
          <w:sz w:val="20"/>
          <w:szCs w:val="20"/>
          <w:lang w:val="en-US"/>
        </w:rPr>
        <w:t xml:space="preserve">The range of each parameter value was divided into </w:t>
      </w:r>
      <w:r w:rsidRPr="00AB546F">
        <w:rPr>
          <w:rFonts w:ascii="Times New Roman" w:hAnsi="Times New Roman" w:cs="Times New Roman"/>
          <w:i/>
          <w:sz w:val="20"/>
          <w:szCs w:val="20"/>
          <w:lang w:val="en-US"/>
        </w:rPr>
        <w:t>N</w:t>
      </w:r>
      <w:r w:rsidRPr="00AB546F">
        <w:rPr>
          <w:rFonts w:ascii="Times New Roman" w:hAnsi="Times New Roman" w:cs="Times New Roman"/>
          <w:sz w:val="20"/>
          <w:szCs w:val="20"/>
          <w:lang w:val="en-US"/>
        </w:rPr>
        <w:t xml:space="preserve"> equal probability interva</w:t>
      </w:r>
      <w:r w:rsidR="009F236B" w:rsidRPr="00AB546F">
        <w:rPr>
          <w:rFonts w:ascii="Times New Roman" w:hAnsi="Times New Roman" w:cs="Times New Roman"/>
          <w:sz w:val="20"/>
          <w:szCs w:val="20"/>
          <w:lang w:val="en-US"/>
        </w:rPr>
        <w:t>ls, which are then sampled (</w:t>
      </w:r>
      <w:r w:rsidR="009F236B" w:rsidRPr="00AB546F">
        <w:rPr>
          <w:rFonts w:ascii="Times New Roman" w:hAnsi="Times New Roman" w:cs="Times New Roman"/>
          <w:i/>
          <w:sz w:val="20"/>
          <w:szCs w:val="20"/>
          <w:lang w:val="en-US"/>
        </w:rPr>
        <w:t>N</w:t>
      </w:r>
      <w:r w:rsidR="009F236B" w:rsidRPr="00AB546F">
        <w:rPr>
          <w:rFonts w:ascii="Times New Roman" w:hAnsi="Times New Roman" w:cs="Times New Roman"/>
          <w:sz w:val="20"/>
          <w:szCs w:val="20"/>
          <w:lang w:val="en-US"/>
        </w:rPr>
        <w:t>=100</w:t>
      </w:r>
      <w:r w:rsidRPr="00AB546F">
        <w:rPr>
          <w:rFonts w:ascii="Times New Roman" w:hAnsi="Times New Roman" w:cs="Times New Roman"/>
          <w:sz w:val="20"/>
          <w:szCs w:val="20"/>
          <w:lang w:val="en-US"/>
        </w:rPr>
        <w:t xml:space="preserve"> and represents the sample size)</w:t>
      </w:r>
      <w:r w:rsidR="00336EE3" w:rsidRPr="00AB546F">
        <w:rPr>
          <w:rFonts w:ascii="Times New Roman" w:hAnsi="Times New Roman" w:cs="Times New Roman"/>
          <w:sz w:val="20"/>
          <w:szCs w:val="20"/>
          <w:lang w:val="en-US"/>
        </w:rPr>
        <w:t xml:space="preserve">. </w:t>
      </w:r>
      <w:r w:rsidR="00E35DB5" w:rsidRPr="00AB546F">
        <w:rPr>
          <w:rFonts w:ascii="Times New Roman" w:hAnsi="Times New Roman" w:cs="Times New Roman"/>
          <w:sz w:val="20"/>
          <w:szCs w:val="20"/>
          <w:lang w:val="en-US"/>
        </w:rPr>
        <w:t xml:space="preserve">The sampling </w:t>
      </w:r>
      <w:proofErr w:type="gramStart"/>
      <w:r w:rsidR="00E35DB5" w:rsidRPr="00AB546F">
        <w:rPr>
          <w:rFonts w:ascii="Times New Roman" w:hAnsi="Times New Roman" w:cs="Times New Roman"/>
          <w:sz w:val="20"/>
          <w:szCs w:val="20"/>
          <w:lang w:val="en-US"/>
        </w:rPr>
        <w:t>is done</w:t>
      </w:r>
      <w:proofErr w:type="gramEnd"/>
      <w:r w:rsidR="00E35DB5" w:rsidRPr="00AB546F">
        <w:rPr>
          <w:rFonts w:ascii="Times New Roman" w:hAnsi="Times New Roman" w:cs="Times New Roman"/>
          <w:sz w:val="20"/>
          <w:szCs w:val="20"/>
          <w:lang w:val="en-US"/>
        </w:rPr>
        <w:t xml:space="preserve"> by randomly selecting values from each pdf</w:t>
      </w:r>
      <w:r w:rsidR="00336EE3" w:rsidRPr="00AB546F">
        <w:rPr>
          <w:rFonts w:ascii="Times New Roman" w:hAnsi="Times New Roman" w:cs="Times New Roman"/>
          <w:sz w:val="20"/>
          <w:szCs w:val="20"/>
          <w:lang w:val="en-US"/>
        </w:rPr>
        <w:t xml:space="preserve">. </w:t>
      </w:r>
      <w:r w:rsidR="001153ED" w:rsidRPr="00AB546F">
        <w:rPr>
          <w:rFonts w:ascii="Times New Roman" w:hAnsi="Times New Roman" w:cs="Times New Roman"/>
          <w:sz w:val="20"/>
          <w:szCs w:val="20"/>
          <w:lang w:val="en-US"/>
        </w:rPr>
        <w:t>Each interval for each parameter is sampled exactly once (without replacement), so that the entire range for each parameter is explored</w:t>
      </w:r>
      <w:r w:rsidR="00336EE3" w:rsidRPr="00AB546F">
        <w:rPr>
          <w:rFonts w:ascii="Times New Roman" w:hAnsi="Times New Roman" w:cs="Times New Roman"/>
          <w:sz w:val="20"/>
          <w:szCs w:val="20"/>
          <w:lang w:val="en-US"/>
        </w:rPr>
        <w:t xml:space="preserve">. </w:t>
      </w:r>
      <w:r w:rsidR="008D7C46" w:rsidRPr="00AB546F">
        <w:rPr>
          <w:rFonts w:ascii="Times New Roman" w:hAnsi="Times New Roman" w:cs="Times New Roman"/>
          <w:sz w:val="20"/>
          <w:szCs w:val="20"/>
          <w:lang w:val="en-US"/>
        </w:rPr>
        <w:t>For more details see Marino et al</w:t>
      </w:r>
      <w:r w:rsidR="00466DDC" w:rsidRPr="00AB546F">
        <w:rPr>
          <w:rFonts w:ascii="Times New Roman" w:hAnsi="Times New Roman" w:cs="Times New Roman"/>
          <w:sz w:val="20"/>
          <w:szCs w:val="20"/>
          <w:lang w:val="en-US"/>
        </w:rPr>
        <w:t>.</w:t>
      </w:r>
      <w:r w:rsidR="005A045B" w:rsidRPr="00AB546F">
        <w:rPr>
          <w:rFonts w:ascii="Times New Roman" w:hAnsi="Times New Roman" w:cs="Times New Roman"/>
          <w:sz w:val="20"/>
          <w:szCs w:val="20"/>
          <w:lang w:val="en-US"/>
        </w:rPr>
        <w:fldChar w:fldCharType="begin"/>
      </w:r>
      <w:r w:rsidR="008C5DFA">
        <w:rPr>
          <w:rFonts w:ascii="Times New Roman" w:hAnsi="Times New Roman" w:cs="Times New Roman"/>
          <w:sz w:val="20"/>
          <w:szCs w:val="20"/>
          <w:lang w:val="en-US"/>
        </w:rPr>
        <w:instrText xml:space="preserve"> ADDIN ZOTERO_ITEM CSL_CITATION {"citationID":"aa2gj240","properties":{"formattedCitation":"[16]","plainCitation":"[16]"},"citationItems":[{"id":891,"uris":["http://zotero.org/users/local/hjvuTSYk/items/PFKM3RAG"],"uri":["http://zotero.org/users/local/hjvuTSYk/items/PFKM3RAG"],"itemData":{"id":891,"type":"article-journal","title":"A methodology for performing global uncertainty and sensitivity analysis in systems biology","container-title":"Journal of Theoretical Biology","page":"178-196","volume":"254","issue":"1","source":"Crossref","DOI":"10.1016/j.jtbi.2008.04.011","ISSN":"00225193","language":"en","author":[{"family":"Marino","given":"Simeone"},{"family":"Hogue","given":"Ian B."},{"family":"Ray","given":"Christian J."},{"family":"Kirschner","given":"Denise E."}],"issued":{"date-parts":[["2008",9]]}}}],"schema":"https://github.com/citation-style-language/schema/raw/master/csl-citation.json"} </w:instrText>
      </w:r>
      <w:r w:rsidR="005A045B" w:rsidRPr="00AB546F">
        <w:rPr>
          <w:rFonts w:ascii="Times New Roman" w:hAnsi="Times New Roman" w:cs="Times New Roman"/>
          <w:sz w:val="20"/>
          <w:szCs w:val="20"/>
          <w:lang w:val="en-US"/>
        </w:rPr>
        <w:fldChar w:fldCharType="separate"/>
      </w:r>
      <w:r w:rsidR="008C5DFA" w:rsidRPr="008C5DFA">
        <w:rPr>
          <w:rFonts w:ascii="Times New Roman" w:hAnsi="Times New Roman" w:cs="Times New Roman"/>
          <w:sz w:val="20"/>
          <w:lang w:val="en-US"/>
        </w:rPr>
        <w:t>[16]</w:t>
      </w:r>
      <w:r w:rsidR="005A045B" w:rsidRPr="00AB546F">
        <w:rPr>
          <w:rFonts w:ascii="Times New Roman" w:hAnsi="Times New Roman" w:cs="Times New Roman"/>
          <w:sz w:val="20"/>
          <w:szCs w:val="20"/>
          <w:lang w:val="en-US"/>
        </w:rPr>
        <w:fldChar w:fldCharType="end"/>
      </w:r>
      <w:r w:rsidR="008C5DFA">
        <w:rPr>
          <w:rFonts w:ascii="Times New Roman" w:hAnsi="Times New Roman" w:cs="Times New Roman"/>
          <w:sz w:val="20"/>
          <w:szCs w:val="20"/>
          <w:lang w:val="en-US"/>
        </w:rPr>
        <w:t xml:space="preserve">. </w:t>
      </w:r>
      <w:r w:rsidR="00E35DB5" w:rsidRPr="00AB546F">
        <w:rPr>
          <w:rFonts w:ascii="Times New Roman" w:hAnsi="Times New Roman" w:cs="Times New Roman"/>
          <w:sz w:val="20"/>
          <w:szCs w:val="20"/>
          <w:lang w:val="en-US"/>
        </w:rPr>
        <w:t xml:space="preserve"> </w:t>
      </w:r>
      <w:r w:rsidR="00FC1B36" w:rsidRPr="00AB546F">
        <w:rPr>
          <w:rFonts w:ascii="Times New Roman" w:hAnsi="Times New Roman" w:cs="Times New Roman"/>
          <w:sz w:val="20"/>
          <w:szCs w:val="20"/>
          <w:lang w:val="en-US"/>
        </w:rPr>
        <w:t xml:space="preserve">We generated a LHS matrix that consists of </w:t>
      </w:r>
      <w:r w:rsidR="00FC1B36" w:rsidRPr="00AB546F">
        <w:rPr>
          <w:rFonts w:ascii="Times New Roman" w:hAnsi="Times New Roman" w:cs="Times New Roman"/>
          <w:i/>
          <w:sz w:val="20"/>
          <w:szCs w:val="20"/>
          <w:lang w:val="en-US"/>
        </w:rPr>
        <w:t>N</w:t>
      </w:r>
      <w:r w:rsidR="00FC1B36" w:rsidRPr="00AB546F">
        <w:rPr>
          <w:rFonts w:ascii="Times New Roman" w:hAnsi="Times New Roman" w:cs="Times New Roman"/>
          <w:sz w:val="20"/>
          <w:szCs w:val="20"/>
          <w:lang w:val="en-US"/>
        </w:rPr>
        <w:t xml:space="preserve"> rows (sample size) and </w:t>
      </w:r>
      <w:r w:rsidR="002758DC" w:rsidRPr="00AB546F">
        <w:rPr>
          <w:rFonts w:ascii="Times New Roman" w:hAnsi="Times New Roman" w:cs="Times New Roman"/>
          <w:i/>
          <w:sz w:val="20"/>
          <w:szCs w:val="20"/>
          <w:lang w:val="en-US"/>
        </w:rPr>
        <w:t>k</w:t>
      </w:r>
      <w:r w:rsidR="00FC1B36" w:rsidRPr="00AB546F">
        <w:rPr>
          <w:rFonts w:ascii="Times New Roman" w:hAnsi="Times New Roman" w:cs="Times New Roman"/>
          <w:sz w:val="20"/>
          <w:szCs w:val="20"/>
          <w:lang w:val="en-US"/>
        </w:rPr>
        <w:t xml:space="preserve"> columns correspondi</w:t>
      </w:r>
      <w:r w:rsidR="00BC4829" w:rsidRPr="00AB546F">
        <w:rPr>
          <w:rFonts w:ascii="Times New Roman" w:hAnsi="Times New Roman" w:cs="Times New Roman"/>
          <w:sz w:val="20"/>
          <w:szCs w:val="20"/>
          <w:lang w:val="en-US"/>
        </w:rPr>
        <w:t>ng to the number of parameters</w:t>
      </w:r>
      <w:r w:rsidR="00466DDC" w:rsidRPr="00AB546F">
        <w:rPr>
          <w:rFonts w:ascii="Times New Roman" w:hAnsi="Times New Roman" w:cs="Times New Roman"/>
          <w:sz w:val="20"/>
          <w:szCs w:val="20"/>
          <w:lang w:val="en-US"/>
        </w:rPr>
        <w:t>.</w:t>
      </w:r>
      <w:r w:rsidR="00BC4829" w:rsidRPr="00AB546F">
        <w:rPr>
          <w:rFonts w:ascii="Times New Roman" w:hAnsi="Times New Roman" w:cs="Times New Roman"/>
          <w:sz w:val="20"/>
          <w:szCs w:val="20"/>
          <w:lang w:val="en-US"/>
        </w:rPr>
        <w:t xml:space="preserve"> </w:t>
      </w:r>
      <w:r w:rsidR="002758DC" w:rsidRPr="00AB546F">
        <w:rPr>
          <w:rFonts w:ascii="Times New Roman" w:hAnsi="Times New Roman" w:cs="Times New Roman"/>
          <w:sz w:val="20"/>
          <w:szCs w:val="20"/>
          <w:lang w:val="en-GB"/>
        </w:rPr>
        <w:t xml:space="preserve">Then, for each combination of model parameters, we calculated </w:t>
      </w:r>
      <w:r w:rsidR="002758DC" w:rsidRPr="00AB546F">
        <w:rPr>
          <w:rFonts w:ascii="Times New Roman" w:hAnsi="Times New Roman" w:cs="Times New Roman"/>
          <w:i/>
          <w:sz w:val="20"/>
          <w:szCs w:val="20"/>
          <w:lang w:val="en-GB"/>
        </w:rPr>
        <w:t>N</w:t>
      </w:r>
      <w:r w:rsidR="002758DC" w:rsidRPr="00AB546F">
        <w:rPr>
          <w:rFonts w:ascii="Times New Roman" w:hAnsi="Times New Roman" w:cs="Times New Roman"/>
          <w:sz w:val="20"/>
          <w:szCs w:val="20"/>
          <w:lang w:val="en-GB"/>
        </w:rPr>
        <w:t xml:space="preserve"> model outputs </w:t>
      </w:r>
      <w:r w:rsidR="0032099F" w:rsidRPr="00AB546F">
        <w:rPr>
          <w:rFonts w:ascii="Times New Roman" w:hAnsi="Times New Roman" w:cs="Times New Roman"/>
          <w:sz w:val="20"/>
          <w:szCs w:val="20"/>
          <w:lang w:val="en-GB"/>
        </w:rPr>
        <w:t xml:space="preserve">(over 30 </w:t>
      </w:r>
      <w:r w:rsidR="002758DC" w:rsidRPr="00AB546F">
        <w:rPr>
          <w:rFonts w:ascii="Times New Roman" w:hAnsi="Times New Roman" w:cs="Times New Roman"/>
          <w:sz w:val="20"/>
          <w:szCs w:val="20"/>
          <w:lang w:val="en-GB"/>
        </w:rPr>
        <w:t>000 simulation replicates)</w:t>
      </w:r>
      <w:r w:rsidR="00466DDC" w:rsidRPr="00AB546F">
        <w:rPr>
          <w:rFonts w:ascii="Times New Roman" w:hAnsi="Times New Roman" w:cs="Times New Roman"/>
          <w:sz w:val="20"/>
          <w:szCs w:val="20"/>
          <w:lang w:val="en-GB"/>
        </w:rPr>
        <w:t>.</w:t>
      </w:r>
    </w:p>
    <w:p w:rsidR="002758DC" w:rsidRPr="00AB546F" w:rsidRDefault="002758DC" w:rsidP="00AB546F">
      <w:pPr>
        <w:spacing w:line="240" w:lineRule="auto"/>
        <w:jc w:val="both"/>
        <w:rPr>
          <w:rFonts w:ascii="Times New Roman" w:hAnsi="Times New Roman" w:cs="Times New Roman"/>
          <w:sz w:val="20"/>
          <w:szCs w:val="20"/>
          <w:lang w:val="en-GB"/>
        </w:rPr>
      </w:pPr>
      <w:r w:rsidRPr="00AB546F">
        <w:rPr>
          <w:rFonts w:ascii="Times New Roman" w:hAnsi="Times New Roman" w:cs="Times New Roman"/>
          <w:sz w:val="20"/>
          <w:szCs w:val="20"/>
          <w:lang w:val="en-GB"/>
        </w:rPr>
        <w:t>We used Partial Rank Correlation Coefficient (PRCC) to quantify and rank the impact of input parameters on the probability of ESBL-EC acquisition in a household</w:t>
      </w:r>
      <w:r w:rsidR="007F75DD" w:rsidRPr="00AB546F">
        <w:rPr>
          <w:rFonts w:ascii="Times New Roman" w:hAnsi="Times New Roman" w:cs="Times New Roman"/>
          <w:sz w:val="20"/>
          <w:szCs w:val="20"/>
          <w:lang w:val="en-GB"/>
        </w:rPr>
        <w:t>.</w:t>
      </w:r>
      <w:r w:rsidRPr="00AB546F">
        <w:rPr>
          <w:rFonts w:ascii="Times New Roman" w:hAnsi="Times New Roman" w:cs="Times New Roman"/>
          <w:sz w:val="20"/>
          <w:szCs w:val="20"/>
          <w:lang w:val="en-GB"/>
        </w:rPr>
        <w:t xml:space="preserve"> For more details see </w:t>
      </w:r>
      <w:r w:rsidR="00E44375" w:rsidRPr="00AB546F">
        <w:rPr>
          <w:rFonts w:ascii="Times New Roman" w:hAnsi="Times New Roman" w:cs="Times New Roman"/>
          <w:sz w:val="20"/>
          <w:szCs w:val="20"/>
          <w:lang w:val="en-GB"/>
        </w:rPr>
        <w:t>Blower et al</w:t>
      </w:r>
      <w:r w:rsidR="00466DDC" w:rsidRPr="00AB546F">
        <w:rPr>
          <w:rFonts w:ascii="Times New Roman" w:hAnsi="Times New Roman" w:cs="Times New Roman"/>
          <w:sz w:val="20"/>
          <w:szCs w:val="20"/>
          <w:lang w:val="en-GB"/>
        </w:rPr>
        <w:t>.</w:t>
      </w:r>
      <w:r w:rsidR="00003FBD" w:rsidRPr="00AB546F">
        <w:rPr>
          <w:rFonts w:ascii="Times New Roman" w:hAnsi="Times New Roman" w:cs="Times New Roman"/>
          <w:sz w:val="20"/>
          <w:szCs w:val="20"/>
          <w:lang w:val="en-GB"/>
        </w:rPr>
        <w:fldChar w:fldCharType="begin"/>
      </w:r>
      <w:r w:rsidR="008C5DFA">
        <w:rPr>
          <w:rFonts w:ascii="Times New Roman" w:hAnsi="Times New Roman" w:cs="Times New Roman"/>
          <w:sz w:val="20"/>
          <w:szCs w:val="20"/>
          <w:lang w:val="en-GB"/>
        </w:rPr>
        <w:instrText xml:space="preserve"> ADDIN ZOTERO_ITEM CSL_CITATION {"citationID":"1cb7hqj5k5","properties":{"formattedCitation":"[17]","plainCitation":"[17]"},"citationItems":[{"id":894,"uris":["http://zotero.org/users/local/hjvuTSYk/items/42JX9KAK"],"uri":["http://zotero.org/users/local/hjvuTSYk/items/42JX9KAK"],"itemData":{"id":894,"type":"article-journal","title":"Sensitivity and Uncertainty Analysis of Complex Models of Disease Transmission: An HIV Model, as an Example","container-title":"International Statistical Review / Revue Internationale de Statistique","page":"229-243","volume":"62","issue":"2","source":"JSTOR","archive":"JSTOR","abstract":"HIV transmission models have become very complex. The behavior of some of these models may only be explored by uncertainty and sensitivity analyses, because the structural complexity of the model are coupled with a high degree of uncertainty in estimating the values of the input parameters. Uncertainty analysis may be used to assess the variability (prediction imprecision) in the outcome variable that is due to the uncertainty in estimating the input values. A sensitivity analysis can extend an uncertainty analysis by identifying which parameters are important in contributing to the prediction imprecision (i.e., how do changes in the values of the input parameters alter the value of the outcome variable). In this paper an uncertainty and a sensitivity analysis are described and applied; both analyses are based upon the Latin Hypercube Sampling (LHS) scheme, which is an extremely efficient sampling design proposed by McKay, Conover &amp; Beckman (1979). The methods described in this paper have not previously been applied to deterministic models of disease transmission, although these models have many characteristics in common with the risk assessment models that the strategies were designed to investigate. The utility of the LHS uncertainty and the LHS/PRC (Latin Hypercube Sampling/Partial Rank Correlation) sensitivity analysis techniques are illustrated by analyzing a complex deterministic model of HIV transmission. /// Les modèles d'étude de la diffusion du VIH sont devenus très complexes. Cette complexité étant associée à une forte incertitude dans l'estimation des valeurs des paramètres d'entrée, le comportement de certains de ces modèles ne peut être appréhendé que par des analyses d'incertitude et de sensibilité. L'analyse d'incertitude peut être utilisée pour établir la variabilité (imprécision de la prédiction) de la variable de sortie qui provient de l'incertitude de l'estimation des paramètres d'entrée. Une analyse de sensibilité peut compléter celle d'incertitude en identifiant les paramètres qui ont une influence maximale sur l'imprécision de la prévision (i.e., étude de l'impact des modifications des valeurs des paramètres d'entrée sur la valeur de la variable de sortie). Dans cet article, des analyses d'incertitude et de sensibilité sont décrites et leurs applications sont présentées; les deux analyses s'appuient sur la méthode d'Echantillonnage des Carrés Latins (ECL) qui est un protocole d'échantillonnage extrêmement efficace proposé par McKay, Conover &amp; Beckman (1979). Les méthodes présentées dans ce papier n'ont jamais été appliquées aux modèles déterministes de la dynamique de la diffusion d'une maladie, même si ces modèles ont de nombreuses caractéristiques en commun avec les modèles d'estimation du risque pour lesquelles ces stratégies ont été développées. L'intérêt des analyses d'incertitude par le ECL et de la sensibilité par le ECL/CPR (Echantillonnage des Carrés Latins/Corrélation Partielle de Rang) est mise en évidence par l'analyse d'un modèle déterministe complexe de transmission du VIH.","DOI":"10.2307/1403510","ISSN":"0306-7734","shortTitle":"Sensitivity and Uncertainty Analysis of Complex Models of Disease Transmission","author":[{"family":"Blower","given":"S. M."},{"family":"Dowlatabadi","given":"H."}],"issued":{"date-parts":[["1994"]]}}}],"schema":"https://github.com/citation-style-language/schema/raw/master/csl-citation.json"} </w:instrText>
      </w:r>
      <w:r w:rsidR="00003FBD" w:rsidRPr="00AB546F">
        <w:rPr>
          <w:rFonts w:ascii="Times New Roman" w:hAnsi="Times New Roman" w:cs="Times New Roman"/>
          <w:sz w:val="20"/>
          <w:szCs w:val="20"/>
          <w:lang w:val="en-GB"/>
        </w:rPr>
        <w:fldChar w:fldCharType="separate"/>
      </w:r>
      <w:r w:rsidR="008C5DFA" w:rsidRPr="008C5DFA">
        <w:rPr>
          <w:rFonts w:ascii="Times New Roman" w:hAnsi="Times New Roman" w:cs="Times New Roman"/>
          <w:sz w:val="20"/>
          <w:lang w:val="en-US"/>
        </w:rPr>
        <w:t>[17]</w:t>
      </w:r>
      <w:r w:rsidR="00003FBD" w:rsidRPr="00AB546F">
        <w:rPr>
          <w:rFonts w:ascii="Times New Roman" w:hAnsi="Times New Roman" w:cs="Times New Roman"/>
          <w:sz w:val="20"/>
          <w:szCs w:val="20"/>
          <w:lang w:val="en-GB"/>
        </w:rPr>
        <w:fldChar w:fldCharType="end"/>
      </w:r>
      <w:r w:rsidR="008C5DFA">
        <w:rPr>
          <w:rFonts w:ascii="Times New Roman" w:hAnsi="Times New Roman" w:cs="Times New Roman"/>
          <w:sz w:val="20"/>
          <w:szCs w:val="20"/>
          <w:lang w:val="en-GB"/>
        </w:rPr>
        <w:t>.</w:t>
      </w:r>
    </w:p>
    <w:p w:rsidR="00B83458" w:rsidRPr="00AB546F" w:rsidRDefault="00B83458" w:rsidP="002758DC">
      <w:pPr>
        <w:jc w:val="both"/>
        <w:rPr>
          <w:rFonts w:ascii="Times New Roman" w:hAnsi="Times New Roman" w:cs="Times New Roman"/>
          <w:sz w:val="24"/>
          <w:szCs w:val="24"/>
          <w:lang w:val="en-US"/>
        </w:rPr>
      </w:pPr>
    </w:p>
    <w:p w:rsidR="00E86F7F" w:rsidRPr="00AB546F" w:rsidRDefault="00E86F7F" w:rsidP="00C3345A">
      <w:pPr>
        <w:jc w:val="both"/>
        <w:rPr>
          <w:rFonts w:ascii="Times New Roman" w:hAnsi="Times New Roman" w:cs="Times New Roman"/>
          <w:b/>
          <w:sz w:val="20"/>
          <w:szCs w:val="20"/>
          <w:lang w:val="en-GB"/>
        </w:rPr>
      </w:pPr>
      <w:r w:rsidRPr="00AB546F">
        <w:rPr>
          <w:rFonts w:ascii="Times New Roman" w:hAnsi="Times New Roman" w:cs="Times New Roman"/>
          <w:b/>
          <w:sz w:val="20"/>
          <w:szCs w:val="20"/>
          <w:lang w:val="en-GB"/>
        </w:rPr>
        <w:t>References</w:t>
      </w:r>
    </w:p>
    <w:p w:rsidR="008C5DFA" w:rsidRPr="008C5DFA" w:rsidRDefault="00FF0184" w:rsidP="008C5DFA">
      <w:pPr>
        <w:pStyle w:val="Bibliographie"/>
        <w:rPr>
          <w:rFonts w:ascii="Times New Roman" w:hAnsi="Times New Roman" w:cs="Times New Roman"/>
          <w:sz w:val="20"/>
          <w:lang w:val="en-US"/>
        </w:rPr>
      </w:pPr>
      <w:r w:rsidRPr="00AB546F">
        <w:rPr>
          <w:sz w:val="20"/>
          <w:szCs w:val="20"/>
          <w:lang w:val="en-US"/>
        </w:rPr>
        <w:fldChar w:fldCharType="begin"/>
      </w:r>
      <w:r w:rsidR="008C5DFA">
        <w:rPr>
          <w:sz w:val="20"/>
          <w:szCs w:val="20"/>
          <w:lang w:val="en-US"/>
        </w:rPr>
        <w:instrText xml:space="preserve"> ADDIN ZOTERO_BIBL {"custom":[]} CSL_BIBLIOGRAPHY </w:instrText>
      </w:r>
      <w:r w:rsidRPr="00AB546F">
        <w:rPr>
          <w:sz w:val="20"/>
          <w:szCs w:val="20"/>
          <w:lang w:val="en-US"/>
        </w:rPr>
        <w:fldChar w:fldCharType="separate"/>
      </w:r>
      <w:r w:rsidR="008C5DFA" w:rsidRPr="008C5DFA">
        <w:rPr>
          <w:rFonts w:ascii="Times New Roman" w:hAnsi="Times New Roman" w:cs="Times New Roman"/>
          <w:sz w:val="20"/>
          <w:lang w:val="en-US"/>
        </w:rPr>
        <w:t xml:space="preserve">1. </w:t>
      </w:r>
      <w:r w:rsidR="008C5DFA" w:rsidRPr="008C5DFA">
        <w:rPr>
          <w:rFonts w:ascii="Times New Roman" w:hAnsi="Times New Roman" w:cs="Times New Roman"/>
          <w:sz w:val="20"/>
          <w:lang w:val="en-US"/>
        </w:rPr>
        <w:tab/>
      </w:r>
      <w:proofErr w:type="spellStart"/>
      <w:r w:rsidR="008C5DFA" w:rsidRPr="008C5DFA">
        <w:rPr>
          <w:rFonts w:ascii="Times New Roman" w:hAnsi="Times New Roman" w:cs="Times New Roman"/>
          <w:sz w:val="20"/>
          <w:lang w:val="en-US"/>
        </w:rPr>
        <w:t>Arcilla</w:t>
      </w:r>
      <w:proofErr w:type="spellEnd"/>
      <w:r w:rsidR="008C5DFA" w:rsidRPr="008C5DFA">
        <w:rPr>
          <w:rFonts w:ascii="Times New Roman" w:hAnsi="Times New Roman" w:cs="Times New Roman"/>
          <w:sz w:val="20"/>
          <w:lang w:val="en-US"/>
        </w:rPr>
        <w:t xml:space="preserve"> MS, </w:t>
      </w:r>
      <w:proofErr w:type="spellStart"/>
      <w:r w:rsidR="008C5DFA" w:rsidRPr="008C5DFA">
        <w:rPr>
          <w:rFonts w:ascii="Times New Roman" w:hAnsi="Times New Roman" w:cs="Times New Roman"/>
          <w:sz w:val="20"/>
          <w:lang w:val="en-US"/>
        </w:rPr>
        <w:t>Hattem</w:t>
      </w:r>
      <w:proofErr w:type="spellEnd"/>
      <w:r w:rsidR="008C5DFA" w:rsidRPr="008C5DFA">
        <w:rPr>
          <w:rFonts w:ascii="Times New Roman" w:hAnsi="Times New Roman" w:cs="Times New Roman"/>
          <w:sz w:val="20"/>
          <w:lang w:val="en-US"/>
        </w:rPr>
        <w:t xml:space="preserve"> JM van, </w:t>
      </w:r>
      <w:proofErr w:type="spellStart"/>
      <w:r w:rsidR="008C5DFA" w:rsidRPr="008C5DFA">
        <w:rPr>
          <w:rFonts w:ascii="Times New Roman" w:hAnsi="Times New Roman" w:cs="Times New Roman"/>
          <w:sz w:val="20"/>
          <w:lang w:val="en-US"/>
        </w:rPr>
        <w:t>Haverkate</w:t>
      </w:r>
      <w:proofErr w:type="spellEnd"/>
      <w:r w:rsidR="008C5DFA" w:rsidRPr="008C5DFA">
        <w:rPr>
          <w:rFonts w:ascii="Times New Roman" w:hAnsi="Times New Roman" w:cs="Times New Roman"/>
          <w:sz w:val="20"/>
          <w:lang w:val="en-US"/>
        </w:rPr>
        <w:t xml:space="preserve"> MR, et al. Import and spread of extended-spectrum </w:t>
      </w:r>
      <w:r w:rsidR="008C5DFA" w:rsidRPr="008C5DFA">
        <w:rPr>
          <w:rFonts w:ascii="Times New Roman" w:hAnsi="Times New Roman" w:cs="Times New Roman"/>
          <w:sz w:val="20"/>
        </w:rPr>
        <w:t>β</w:t>
      </w:r>
      <w:r w:rsidR="008C5DFA" w:rsidRPr="008C5DFA">
        <w:rPr>
          <w:rFonts w:ascii="Times New Roman" w:hAnsi="Times New Roman" w:cs="Times New Roman"/>
          <w:sz w:val="20"/>
          <w:lang w:val="en-US"/>
        </w:rPr>
        <w:t xml:space="preserve">-lactamase-producing </w:t>
      </w:r>
      <w:proofErr w:type="spellStart"/>
      <w:r w:rsidR="008C5DFA" w:rsidRPr="008C5DFA">
        <w:rPr>
          <w:rFonts w:ascii="Times New Roman" w:hAnsi="Times New Roman" w:cs="Times New Roman"/>
          <w:sz w:val="20"/>
          <w:lang w:val="en-US"/>
        </w:rPr>
        <w:t>Enterobacteriaceae</w:t>
      </w:r>
      <w:proofErr w:type="spellEnd"/>
      <w:r w:rsidR="008C5DFA" w:rsidRPr="008C5DFA">
        <w:rPr>
          <w:rFonts w:ascii="Times New Roman" w:hAnsi="Times New Roman" w:cs="Times New Roman"/>
          <w:sz w:val="20"/>
          <w:lang w:val="en-US"/>
        </w:rPr>
        <w:t xml:space="preserve"> by international </w:t>
      </w:r>
      <w:proofErr w:type="spellStart"/>
      <w:r w:rsidR="008C5DFA" w:rsidRPr="008C5DFA">
        <w:rPr>
          <w:rFonts w:ascii="Times New Roman" w:hAnsi="Times New Roman" w:cs="Times New Roman"/>
          <w:sz w:val="20"/>
          <w:lang w:val="en-US"/>
        </w:rPr>
        <w:t>travellers</w:t>
      </w:r>
      <w:proofErr w:type="spellEnd"/>
      <w:r w:rsidR="008C5DFA" w:rsidRPr="008C5DFA">
        <w:rPr>
          <w:rFonts w:ascii="Times New Roman" w:hAnsi="Times New Roman" w:cs="Times New Roman"/>
          <w:sz w:val="20"/>
          <w:lang w:val="en-US"/>
        </w:rPr>
        <w:t xml:space="preserve"> (COMBAT study): a prospective, </w:t>
      </w:r>
      <w:proofErr w:type="spellStart"/>
      <w:r w:rsidR="008C5DFA" w:rsidRPr="008C5DFA">
        <w:rPr>
          <w:rFonts w:ascii="Times New Roman" w:hAnsi="Times New Roman" w:cs="Times New Roman"/>
          <w:sz w:val="20"/>
          <w:lang w:val="en-US"/>
        </w:rPr>
        <w:t>multicentre</w:t>
      </w:r>
      <w:proofErr w:type="spellEnd"/>
      <w:r w:rsidR="008C5DFA" w:rsidRPr="008C5DFA">
        <w:rPr>
          <w:rFonts w:ascii="Times New Roman" w:hAnsi="Times New Roman" w:cs="Times New Roman"/>
          <w:sz w:val="20"/>
          <w:lang w:val="en-US"/>
        </w:rPr>
        <w:t xml:space="preserve"> cohort study. Lancet Infect Dis. </w:t>
      </w:r>
      <w:r w:rsidR="008C5DFA" w:rsidRPr="008C5DFA">
        <w:rPr>
          <w:rFonts w:ascii="Times New Roman" w:hAnsi="Times New Roman" w:cs="Times New Roman"/>
          <w:b/>
          <w:bCs/>
          <w:sz w:val="20"/>
          <w:lang w:val="en-US"/>
        </w:rPr>
        <w:t>2017</w:t>
      </w:r>
      <w:proofErr w:type="gramStart"/>
      <w:r w:rsidR="008C5DFA" w:rsidRPr="008C5DFA">
        <w:rPr>
          <w:rFonts w:ascii="Times New Roman" w:hAnsi="Times New Roman" w:cs="Times New Roman"/>
          <w:sz w:val="20"/>
          <w:lang w:val="en-US"/>
        </w:rPr>
        <w:t>;</w:t>
      </w:r>
      <w:proofErr w:type="gramEnd"/>
      <w:r w:rsidR="008C5DFA" w:rsidRPr="008C5DFA">
        <w:rPr>
          <w:rFonts w:ascii="Times New Roman" w:hAnsi="Times New Roman" w:cs="Times New Roman"/>
          <w:sz w:val="20"/>
          <w:lang w:val="en-US"/>
        </w:rPr>
        <w:t xml:space="preserve"> 17(1):78–85.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lastRenderedPageBreak/>
        <w:t xml:space="preserve">2. </w:t>
      </w:r>
      <w:r w:rsidRPr="008C5DFA">
        <w:rPr>
          <w:rFonts w:ascii="Times New Roman" w:hAnsi="Times New Roman" w:cs="Times New Roman"/>
          <w:sz w:val="20"/>
          <w:lang w:val="en-US"/>
        </w:rPr>
        <w:tab/>
      </w:r>
      <w:proofErr w:type="spellStart"/>
      <w:r w:rsidRPr="008C5DFA">
        <w:rPr>
          <w:rFonts w:ascii="Times New Roman" w:hAnsi="Times New Roman" w:cs="Times New Roman"/>
          <w:sz w:val="20"/>
          <w:lang w:val="en-US"/>
        </w:rPr>
        <w:t>Sabuncu</w:t>
      </w:r>
      <w:proofErr w:type="spellEnd"/>
      <w:r w:rsidRPr="008C5DFA">
        <w:rPr>
          <w:rFonts w:ascii="Times New Roman" w:hAnsi="Times New Roman" w:cs="Times New Roman"/>
          <w:sz w:val="20"/>
          <w:lang w:val="en-US"/>
        </w:rPr>
        <w:t xml:space="preserve"> E, David J, </w:t>
      </w:r>
      <w:proofErr w:type="spellStart"/>
      <w:r w:rsidRPr="008C5DFA">
        <w:rPr>
          <w:rFonts w:ascii="Times New Roman" w:hAnsi="Times New Roman" w:cs="Times New Roman"/>
          <w:sz w:val="20"/>
          <w:lang w:val="en-US"/>
        </w:rPr>
        <w:t>Bernède-Bauduin</w:t>
      </w:r>
      <w:proofErr w:type="spellEnd"/>
      <w:r w:rsidRPr="008C5DFA">
        <w:rPr>
          <w:rFonts w:ascii="Times New Roman" w:hAnsi="Times New Roman" w:cs="Times New Roman"/>
          <w:sz w:val="20"/>
          <w:lang w:val="en-US"/>
        </w:rPr>
        <w:t xml:space="preserve"> C, et al. Significant reduction of antibiotic use in the community after a nationwide campaign in France, 2002-2007. </w:t>
      </w:r>
      <w:proofErr w:type="spellStart"/>
      <w:r w:rsidRPr="008C5DFA">
        <w:rPr>
          <w:rFonts w:ascii="Times New Roman" w:hAnsi="Times New Roman" w:cs="Times New Roman"/>
          <w:sz w:val="20"/>
          <w:lang w:val="en-US"/>
        </w:rPr>
        <w:t>PLoS</w:t>
      </w:r>
      <w:proofErr w:type="spellEnd"/>
      <w:r w:rsidRPr="008C5DFA">
        <w:rPr>
          <w:rFonts w:ascii="Times New Roman" w:hAnsi="Times New Roman" w:cs="Times New Roman"/>
          <w:sz w:val="20"/>
          <w:lang w:val="en-US"/>
        </w:rPr>
        <w:t xml:space="preserve"> Med. </w:t>
      </w:r>
      <w:r w:rsidRPr="008C5DFA">
        <w:rPr>
          <w:rFonts w:ascii="Times New Roman" w:hAnsi="Times New Roman" w:cs="Times New Roman"/>
          <w:b/>
          <w:bCs/>
          <w:sz w:val="20"/>
          <w:lang w:val="en-US"/>
        </w:rPr>
        <w:t>2009</w:t>
      </w:r>
      <w:proofErr w:type="gramStart"/>
      <w:r w:rsidRPr="008C5DFA">
        <w:rPr>
          <w:rFonts w:ascii="Times New Roman" w:hAnsi="Times New Roman" w:cs="Times New Roman"/>
          <w:sz w:val="20"/>
          <w:lang w:val="en-US"/>
        </w:rPr>
        <w:t>;</w:t>
      </w:r>
      <w:proofErr w:type="gramEnd"/>
      <w:r w:rsidRPr="008C5DFA">
        <w:rPr>
          <w:rFonts w:ascii="Times New Roman" w:hAnsi="Times New Roman" w:cs="Times New Roman"/>
          <w:sz w:val="20"/>
          <w:lang w:val="en-US"/>
        </w:rPr>
        <w:t xml:space="preserve"> 6(6):e1000084.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3. </w:t>
      </w:r>
      <w:r w:rsidRPr="008C5DFA">
        <w:rPr>
          <w:rFonts w:ascii="Times New Roman" w:hAnsi="Times New Roman" w:cs="Times New Roman"/>
          <w:sz w:val="20"/>
          <w:lang w:val="en-US"/>
        </w:rPr>
        <w:tab/>
        <w:t xml:space="preserve">ANSM. </w:t>
      </w:r>
      <w:proofErr w:type="spellStart"/>
      <w:r w:rsidRPr="008C5DFA">
        <w:rPr>
          <w:rFonts w:ascii="Times New Roman" w:hAnsi="Times New Roman" w:cs="Times New Roman"/>
          <w:sz w:val="20"/>
          <w:lang w:val="en-US"/>
        </w:rPr>
        <w:t>L’évolution</w:t>
      </w:r>
      <w:proofErr w:type="spellEnd"/>
      <w:r w:rsidRPr="008C5DFA">
        <w:rPr>
          <w:rFonts w:ascii="Times New Roman" w:hAnsi="Times New Roman" w:cs="Times New Roman"/>
          <w:sz w:val="20"/>
          <w:lang w:val="en-US"/>
        </w:rPr>
        <w:t xml:space="preserve"> des </w:t>
      </w:r>
      <w:proofErr w:type="spellStart"/>
      <w:proofErr w:type="gramStart"/>
      <w:r w:rsidRPr="008C5DFA">
        <w:rPr>
          <w:rFonts w:ascii="Times New Roman" w:hAnsi="Times New Roman" w:cs="Times New Roman"/>
          <w:sz w:val="20"/>
          <w:lang w:val="en-US"/>
        </w:rPr>
        <w:t>consommations</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d’antibiotiques</w:t>
      </w:r>
      <w:proofErr w:type="spellEnd"/>
      <w:proofErr w:type="gram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en</w:t>
      </w:r>
      <w:proofErr w:type="spellEnd"/>
      <w:r w:rsidRPr="008C5DFA">
        <w:rPr>
          <w:rFonts w:ascii="Times New Roman" w:hAnsi="Times New Roman" w:cs="Times New Roman"/>
          <w:sz w:val="20"/>
          <w:lang w:val="en-US"/>
        </w:rPr>
        <w:t xml:space="preserve"> France  entre 2000 et 2015 [Internet]. </w:t>
      </w:r>
      <w:proofErr w:type="gramStart"/>
      <w:r w:rsidRPr="008C5DFA">
        <w:rPr>
          <w:rFonts w:ascii="Times New Roman" w:hAnsi="Times New Roman" w:cs="Times New Roman"/>
          <w:sz w:val="20"/>
          <w:lang w:val="en-US"/>
        </w:rPr>
        <w:t>2017</w:t>
      </w:r>
      <w:proofErr w:type="gramEnd"/>
      <w:r w:rsidRPr="008C5DFA">
        <w:rPr>
          <w:rFonts w:ascii="Times New Roman" w:hAnsi="Times New Roman" w:cs="Times New Roman"/>
          <w:sz w:val="20"/>
          <w:lang w:val="en-US"/>
        </w:rPr>
        <w:t xml:space="preserve"> [cited 2019 Jan 15]. Available from: https://ansm.sante.fr/var/ansm_site/storage/original/application/188a6b5cf9cde90848ae9e3419bc3d3f.pdf</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4. </w:t>
      </w:r>
      <w:r w:rsidRPr="008C5DFA">
        <w:rPr>
          <w:rFonts w:ascii="Times New Roman" w:hAnsi="Times New Roman" w:cs="Times New Roman"/>
          <w:sz w:val="20"/>
          <w:lang w:val="en-US"/>
        </w:rPr>
        <w:tab/>
        <w:t xml:space="preserve">Pessoa-Silva CL, </w:t>
      </w:r>
      <w:proofErr w:type="spellStart"/>
      <w:r w:rsidRPr="008C5DFA">
        <w:rPr>
          <w:rFonts w:ascii="Times New Roman" w:hAnsi="Times New Roman" w:cs="Times New Roman"/>
          <w:sz w:val="20"/>
          <w:lang w:val="en-US"/>
        </w:rPr>
        <w:t>Dharan</w:t>
      </w:r>
      <w:proofErr w:type="spellEnd"/>
      <w:r w:rsidRPr="008C5DFA">
        <w:rPr>
          <w:rFonts w:ascii="Times New Roman" w:hAnsi="Times New Roman" w:cs="Times New Roman"/>
          <w:sz w:val="20"/>
          <w:lang w:val="en-US"/>
        </w:rPr>
        <w:t xml:space="preserve"> S, </w:t>
      </w:r>
      <w:proofErr w:type="spellStart"/>
      <w:r w:rsidRPr="008C5DFA">
        <w:rPr>
          <w:rFonts w:ascii="Times New Roman" w:hAnsi="Times New Roman" w:cs="Times New Roman"/>
          <w:sz w:val="20"/>
          <w:lang w:val="en-US"/>
        </w:rPr>
        <w:t>Hugonnet</w:t>
      </w:r>
      <w:proofErr w:type="spellEnd"/>
      <w:r w:rsidRPr="008C5DFA">
        <w:rPr>
          <w:rFonts w:ascii="Times New Roman" w:hAnsi="Times New Roman" w:cs="Times New Roman"/>
          <w:sz w:val="20"/>
          <w:lang w:val="en-US"/>
        </w:rPr>
        <w:t xml:space="preserve"> S, et al. Dynamics of bacterial hand contamination during routine neonatal care. Infect Control </w:t>
      </w:r>
      <w:proofErr w:type="spellStart"/>
      <w:r w:rsidRPr="008C5DFA">
        <w:rPr>
          <w:rFonts w:ascii="Times New Roman" w:hAnsi="Times New Roman" w:cs="Times New Roman"/>
          <w:sz w:val="20"/>
          <w:lang w:val="en-US"/>
        </w:rPr>
        <w:t>Hosp</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Epidemiol</w:t>
      </w:r>
      <w:proofErr w:type="spellEnd"/>
      <w:r w:rsidRPr="008C5DFA">
        <w:rPr>
          <w:rFonts w:ascii="Times New Roman" w:hAnsi="Times New Roman" w:cs="Times New Roman"/>
          <w:sz w:val="20"/>
          <w:lang w:val="en-US"/>
        </w:rPr>
        <w:t xml:space="preserve">. </w:t>
      </w:r>
      <w:proofErr w:type="gramStart"/>
      <w:r w:rsidRPr="008C5DFA">
        <w:rPr>
          <w:rFonts w:ascii="Times New Roman" w:hAnsi="Times New Roman" w:cs="Times New Roman"/>
          <w:b/>
          <w:bCs/>
          <w:sz w:val="20"/>
          <w:lang w:val="en-US"/>
        </w:rPr>
        <w:t>2004</w:t>
      </w:r>
      <w:proofErr w:type="gramEnd"/>
      <w:r w:rsidRPr="008C5DFA">
        <w:rPr>
          <w:rFonts w:ascii="Times New Roman" w:hAnsi="Times New Roman" w:cs="Times New Roman"/>
          <w:sz w:val="20"/>
          <w:lang w:val="en-US"/>
        </w:rPr>
        <w:t xml:space="preserve">; 25(3):192–197.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5. </w:t>
      </w:r>
      <w:r w:rsidRPr="008C5DFA">
        <w:rPr>
          <w:rFonts w:ascii="Times New Roman" w:hAnsi="Times New Roman" w:cs="Times New Roman"/>
          <w:sz w:val="20"/>
          <w:lang w:val="en-US"/>
        </w:rPr>
        <w:tab/>
      </w:r>
      <w:proofErr w:type="spellStart"/>
      <w:r w:rsidRPr="008C5DFA">
        <w:rPr>
          <w:rFonts w:ascii="Times New Roman" w:hAnsi="Times New Roman" w:cs="Times New Roman"/>
          <w:sz w:val="20"/>
          <w:lang w:val="en-US"/>
        </w:rPr>
        <w:t>Bellissimo</w:t>
      </w:r>
      <w:proofErr w:type="spellEnd"/>
      <w:r w:rsidRPr="008C5DFA">
        <w:rPr>
          <w:rFonts w:ascii="Times New Roman" w:hAnsi="Times New Roman" w:cs="Times New Roman"/>
          <w:sz w:val="20"/>
          <w:lang w:val="en-US"/>
        </w:rPr>
        <w:t xml:space="preserve">-Rodrigues F, </w:t>
      </w:r>
      <w:proofErr w:type="spellStart"/>
      <w:r w:rsidRPr="008C5DFA">
        <w:rPr>
          <w:rFonts w:ascii="Times New Roman" w:hAnsi="Times New Roman" w:cs="Times New Roman"/>
          <w:sz w:val="20"/>
          <w:lang w:val="en-US"/>
        </w:rPr>
        <w:t>Pires</w:t>
      </w:r>
      <w:proofErr w:type="spellEnd"/>
      <w:r w:rsidRPr="008C5DFA">
        <w:rPr>
          <w:rFonts w:ascii="Times New Roman" w:hAnsi="Times New Roman" w:cs="Times New Roman"/>
          <w:sz w:val="20"/>
          <w:lang w:val="en-US"/>
        </w:rPr>
        <w:t xml:space="preserve"> D, Soule H, </w:t>
      </w:r>
      <w:proofErr w:type="spellStart"/>
      <w:r w:rsidRPr="008C5DFA">
        <w:rPr>
          <w:rFonts w:ascii="Times New Roman" w:hAnsi="Times New Roman" w:cs="Times New Roman"/>
          <w:sz w:val="20"/>
          <w:lang w:val="en-US"/>
        </w:rPr>
        <w:t>Gayet-Ageron</w:t>
      </w:r>
      <w:proofErr w:type="spellEnd"/>
      <w:r w:rsidRPr="008C5DFA">
        <w:rPr>
          <w:rFonts w:ascii="Times New Roman" w:hAnsi="Times New Roman" w:cs="Times New Roman"/>
          <w:sz w:val="20"/>
          <w:lang w:val="en-US"/>
        </w:rPr>
        <w:t xml:space="preserve"> A, </w:t>
      </w:r>
      <w:proofErr w:type="spellStart"/>
      <w:r w:rsidRPr="008C5DFA">
        <w:rPr>
          <w:rFonts w:ascii="Times New Roman" w:hAnsi="Times New Roman" w:cs="Times New Roman"/>
          <w:sz w:val="20"/>
          <w:lang w:val="en-US"/>
        </w:rPr>
        <w:t>Pittet</w:t>
      </w:r>
      <w:proofErr w:type="spellEnd"/>
      <w:r w:rsidRPr="008C5DFA">
        <w:rPr>
          <w:rFonts w:ascii="Times New Roman" w:hAnsi="Times New Roman" w:cs="Times New Roman"/>
          <w:sz w:val="20"/>
          <w:lang w:val="en-US"/>
        </w:rPr>
        <w:t xml:space="preserve"> D. Assessing the Likelihood of Hand-to-Hand Cross-Transmission of Bacteria: An Experimental Study. Infect Control </w:t>
      </w:r>
      <w:proofErr w:type="spellStart"/>
      <w:r w:rsidRPr="008C5DFA">
        <w:rPr>
          <w:rFonts w:ascii="Times New Roman" w:hAnsi="Times New Roman" w:cs="Times New Roman"/>
          <w:sz w:val="20"/>
          <w:lang w:val="en-US"/>
        </w:rPr>
        <w:t>Hosp</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Epidemiol</w:t>
      </w:r>
      <w:proofErr w:type="spellEnd"/>
      <w:r w:rsidRPr="008C5DFA">
        <w:rPr>
          <w:rFonts w:ascii="Times New Roman" w:hAnsi="Times New Roman" w:cs="Times New Roman"/>
          <w:sz w:val="20"/>
          <w:lang w:val="en-US"/>
        </w:rPr>
        <w:t xml:space="preserve">. </w:t>
      </w:r>
      <w:proofErr w:type="gramStart"/>
      <w:r w:rsidRPr="008C5DFA">
        <w:rPr>
          <w:rFonts w:ascii="Times New Roman" w:hAnsi="Times New Roman" w:cs="Times New Roman"/>
          <w:b/>
          <w:bCs/>
          <w:sz w:val="20"/>
          <w:lang w:val="en-US"/>
        </w:rPr>
        <w:t>2017</w:t>
      </w:r>
      <w:proofErr w:type="gramEnd"/>
      <w:r w:rsidRPr="008C5DFA">
        <w:rPr>
          <w:rFonts w:ascii="Times New Roman" w:hAnsi="Times New Roman" w:cs="Times New Roman"/>
          <w:sz w:val="20"/>
          <w:lang w:val="en-US"/>
        </w:rPr>
        <w:t xml:space="preserve">; 38(5):553–558.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6. </w:t>
      </w:r>
      <w:r w:rsidRPr="008C5DFA">
        <w:rPr>
          <w:rFonts w:ascii="Times New Roman" w:hAnsi="Times New Roman" w:cs="Times New Roman"/>
          <w:sz w:val="20"/>
          <w:lang w:val="en-US"/>
        </w:rPr>
        <w:tab/>
        <w:t xml:space="preserve">Scott E, Bloomfield SF. The survival and transfer of microbial contamination via cloths, hands and utensils. J </w:t>
      </w:r>
      <w:proofErr w:type="spellStart"/>
      <w:r w:rsidRPr="008C5DFA">
        <w:rPr>
          <w:rFonts w:ascii="Times New Roman" w:hAnsi="Times New Roman" w:cs="Times New Roman"/>
          <w:sz w:val="20"/>
          <w:lang w:val="en-US"/>
        </w:rPr>
        <w:t>Appl</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Bacteriol</w:t>
      </w:r>
      <w:proofErr w:type="spellEnd"/>
      <w:r w:rsidRPr="008C5DFA">
        <w:rPr>
          <w:rFonts w:ascii="Times New Roman" w:hAnsi="Times New Roman" w:cs="Times New Roman"/>
          <w:sz w:val="20"/>
          <w:lang w:val="en-US"/>
        </w:rPr>
        <w:t xml:space="preserve">. </w:t>
      </w:r>
      <w:proofErr w:type="gramStart"/>
      <w:r w:rsidRPr="008C5DFA">
        <w:rPr>
          <w:rFonts w:ascii="Times New Roman" w:hAnsi="Times New Roman" w:cs="Times New Roman"/>
          <w:b/>
          <w:bCs/>
          <w:sz w:val="20"/>
          <w:lang w:val="en-US"/>
        </w:rPr>
        <w:t>1990</w:t>
      </w:r>
      <w:proofErr w:type="gramEnd"/>
      <w:r w:rsidRPr="008C5DFA">
        <w:rPr>
          <w:rFonts w:ascii="Times New Roman" w:hAnsi="Times New Roman" w:cs="Times New Roman"/>
          <w:sz w:val="20"/>
          <w:lang w:val="en-US"/>
        </w:rPr>
        <w:t xml:space="preserve">; 68(3):271–278.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7. </w:t>
      </w:r>
      <w:r w:rsidRPr="008C5DFA">
        <w:rPr>
          <w:rFonts w:ascii="Times New Roman" w:hAnsi="Times New Roman" w:cs="Times New Roman"/>
          <w:sz w:val="20"/>
          <w:lang w:val="en-US"/>
        </w:rPr>
        <w:tab/>
        <w:t xml:space="preserve">Gibson LL, Rose JB, Haas CN, </w:t>
      </w:r>
      <w:proofErr w:type="spellStart"/>
      <w:r w:rsidRPr="008C5DFA">
        <w:rPr>
          <w:rFonts w:ascii="Times New Roman" w:hAnsi="Times New Roman" w:cs="Times New Roman"/>
          <w:sz w:val="20"/>
          <w:lang w:val="en-US"/>
        </w:rPr>
        <w:t>Gerba</w:t>
      </w:r>
      <w:proofErr w:type="spellEnd"/>
      <w:r w:rsidRPr="008C5DFA">
        <w:rPr>
          <w:rFonts w:ascii="Times New Roman" w:hAnsi="Times New Roman" w:cs="Times New Roman"/>
          <w:sz w:val="20"/>
          <w:lang w:val="en-US"/>
        </w:rPr>
        <w:t xml:space="preserve"> CP, </w:t>
      </w:r>
      <w:proofErr w:type="spellStart"/>
      <w:r w:rsidRPr="008C5DFA">
        <w:rPr>
          <w:rFonts w:ascii="Times New Roman" w:hAnsi="Times New Roman" w:cs="Times New Roman"/>
          <w:sz w:val="20"/>
          <w:lang w:val="en-US"/>
        </w:rPr>
        <w:t>Rusin</w:t>
      </w:r>
      <w:proofErr w:type="spellEnd"/>
      <w:r w:rsidRPr="008C5DFA">
        <w:rPr>
          <w:rFonts w:ascii="Times New Roman" w:hAnsi="Times New Roman" w:cs="Times New Roman"/>
          <w:sz w:val="20"/>
          <w:lang w:val="en-US"/>
        </w:rPr>
        <w:t xml:space="preserve"> PA. Quantitative assessment of risk reduction from hand washing with antibacterial soaps. J </w:t>
      </w:r>
      <w:proofErr w:type="spellStart"/>
      <w:r w:rsidRPr="008C5DFA">
        <w:rPr>
          <w:rFonts w:ascii="Times New Roman" w:hAnsi="Times New Roman" w:cs="Times New Roman"/>
          <w:sz w:val="20"/>
          <w:lang w:val="en-US"/>
        </w:rPr>
        <w:t>Appl</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Microbiol</w:t>
      </w:r>
      <w:proofErr w:type="spellEnd"/>
      <w:r w:rsidRPr="008C5DFA">
        <w:rPr>
          <w:rFonts w:ascii="Times New Roman" w:hAnsi="Times New Roman" w:cs="Times New Roman"/>
          <w:sz w:val="20"/>
          <w:lang w:val="en-US"/>
        </w:rPr>
        <w:t xml:space="preserve">. </w:t>
      </w:r>
      <w:r w:rsidRPr="008C5DFA">
        <w:rPr>
          <w:rFonts w:ascii="Times New Roman" w:hAnsi="Times New Roman" w:cs="Times New Roman"/>
          <w:b/>
          <w:bCs/>
          <w:sz w:val="20"/>
          <w:lang w:val="en-US"/>
        </w:rPr>
        <w:t>2002</w:t>
      </w:r>
      <w:r w:rsidRPr="008C5DFA">
        <w:rPr>
          <w:rFonts w:ascii="Times New Roman" w:hAnsi="Times New Roman" w:cs="Times New Roman"/>
          <w:sz w:val="20"/>
          <w:lang w:val="en-US"/>
        </w:rPr>
        <w:t>; 92 Suppl</w:t>
      </w:r>
      <w:proofErr w:type="gramStart"/>
      <w:r w:rsidRPr="008C5DFA">
        <w:rPr>
          <w:rFonts w:ascii="Times New Roman" w:hAnsi="Times New Roman" w:cs="Times New Roman"/>
          <w:sz w:val="20"/>
          <w:lang w:val="en-US"/>
        </w:rPr>
        <w:t>:136S</w:t>
      </w:r>
      <w:proofErr w:type="gramEnd"/>
      <w:r w:rsidRPr="008C5DFA">
        <w:rPr>
          <w:rFonts w:ascii="Times New Roman" w:hAnsi="Times New Roman" w:cs="Times New Roman"/>
          <w:sz w:val="20"/>
          <w:lang w:val="en-US"/>
        </w:rPr>
        <w:t xml:space="preserve">–43S.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8. </w:t>
      </w:r>
      <w:r w:rsidRPr="008C5DFA">
        <w:rPr>
          <w:rFonts w:ascii="Times New Roman" w:hAnsi="Times New Roman" w:cs="Times New Roman"/>
          <w:sz w:val="20"/>
          <w:lang w:val="en-US"/>
        </w:rPr>
        <w:tab/>
      </w:r>
      <w:r w:rsidRPr="008C5DFA">
        <w:rPr>
          <w:rFonts w:ascii="Times New Roman" w:hAnsi="Times New Roman" w:cs="Times New Roman"/>
          <w:sz w:val="20"/>
        </w:rPr>
        <w:t xml:space="preserve">Cheng VCC, Li IWS, Wu AKL, et al. </w:t>
      </w:r>
      <w:r w:rsidRPr="008C5DFA">
        <w:rPr>
          <w:rFonts w:ascii="Times New Roman" w:hAnsi="Times New Roman" w:cs="Times New Roman"/>
          <w:sz w:val="20"/>
          <w:lang w:val="en-US"/>
        </w:rPr>
        <w:t xml:space="preserve">Effect of antibiotics on the bacterial load of </w:t>
      </w:r>
      <w:proofErr w:type="spellStart"/>
      <w:r w:rsidRPr="008C5DFA">
        <w:rPr>
          <w:rFonts w:ascii="Times New Roman" w:hAnsi="Times New Roman" w:cs="Times New Roman"/>
          <w:sz w:val="20"/>
          <w:lang w:val="en-US"/>
        </w:rPr>
        <w:t>meticillin</w:t>
      </w:r>
      <w:proofErr w:type="spellEnd"/>
      <w:r w:rsidRPr="008C5DFA">
        <w:rPr>
          <w:rFonts w:ascii="Times New Roman" w:hAnsi="Times New Roman" w:cs="Times New Roman"/>
          <w:sz w:val="20"/>
          <w:lang w:val="en-US"/>
        </w:rPr>
        <w:t xml:space="preserve">-resistant Staphylococcus aureus </w:t>
      </w:r>
      <w:proofErr w:type="spellStart"/>
      <w:r w:rsidRPr="008C5DFA">
        <w:rPr>
          <w:rFonts w:ascii="Times New Roman" w:hAnsi="Times New Roman" w:cs="Times New Roman"/>
          <w:sz w:val="20"/>
          <w:lang w:val="en-US"/>
        </w:rPr>
        <w:t>colonisation</w:t>
      </w:r>
      <w:proofErr w:type="spellEnd"/>
      <w:r w:rsidRPr="008C5DFA">
        <w:rPr>
          <w:rFonts w:ascii="Times New Roman" w:hAnsi="Times New Roman" w:cs="Times New Roman"/>
          <w:sz w:val="20"/>
          <w:lang w:val="en-US"/>
        </w:rPr>
        <w:t xml:space="preserve"> in anterior nares. J </w:t>
      </w:r>
      <w:proofErr w:type="spellStart"/>
      <w:r w:rsidRPr="008C5DFA">
        <w:rPr>
          <w:rFonts w:ascii="Times New Roman" w:hAnsi="Times New Roman" w:cs="Times New Roman"/>
          <w:sz w:val="20"/>
          <w:lang w:val="en-US"/>
        </w:rPr>
        <w:t>Hosp</w:t>
      </w:r>
      <w:proofErr w:type="spellEnd"/>
      <w:r w:rsidRPr="008C5DFA">
        <w:rPr>
          <w:rFonts w:ascii="Times New Roman" w:hAnsi="Times New Roman" w:cs="Times New Roman"/>
          <w:sz w:val="20"/>
          <w:lang w:val="en-US"/>
        </w:rPr>
        <w:t xml:space="preserve"> Infect. </w:t>
      </w:r>
      <w:proofErr w:type="gramStart"/>
      <w:r w:rsidRPr="008C5DFA">
        <w:rPr>
          <w:rFonts w:ascii="Times New Roman" w:hAnsi="Times New Roman" w:cs="Times New Roman"/>
          <w:b/>
          <w:bCs/>
          <w:sz w:val="20"/>
          <w:lang w:val="en-US"/>
        </w:rPr>
        <w:t>2008</w:t>
      </w:r>
      <w:proofErr w:type="gramEnd"/>
      <w:r w:rsidRPr="008C5DFA">
        <w:rPr>
          <w:rFonts w:ascii="Times New Roman" w:hAnsi="Times New Roman" w:cs="Times New Roman"/>
          <w:sz w:val="20"/>
          <w:lang w:val="en-US"/>
        </w:rPr>
        <w:t xml:space="preserve">; 70(1):27–34.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9. </w:t>
      </w:r>
      <w:r w:rsidRPr="008C5DFA">
        <w:rPr>
          <w:rFonts w:ascii="Times New Roman" w:hAnsi="Times New Roman" w:cs="Times New Roman"/>
          <w:sz w:val="20"/>
          <w:lang w:val="en-US"/>
        </w:rPr>
        <w:tab/>
        <w:t xml:space="preserve">Wang J, Wang M, Huang Y, et al. Colonization pressure adjusted by degree of environmental contamination: A better indicator for predicting methicillin-resistant Staphylococcus aureus acquisition. Am J Infect </w:t>
      </w:r>
      <w:proofErr w:type="gramStart"/>
      <w:r w:rsidRPr="008C5DFA">
        <w:rPr>
          <w:rFonts w:ascii="Times New Roman" w:hAnsi="Times New Roman" w:cs="Times New Roman"/>
          <w:sz w:val="20"/>
          <w:lang w:val="en-US"/>
        </w:rPr>
        <w:t>Control.</w:t>
      </w:r>
      <w:proofErr w:type="gramEnd"/>
      <w:r w:rsidRPr="008C5DFA">
        <w:rPr>
          <w:rFonts w:ascii="Times New Roman" w:hAnsi="Times New Roman" w:cs="Times New Roman"/>
          <w:sz w:val="20"/>
          <w:lang w:val="en-US"/>
        </w:rPr>
        <w:t xml:space="preserve"> </w:t>
      </w:r>
      <w:proofErr w:type="gramStart"/>
      <w:r w:rsidRPr="008C5DFA">
        <w:rPr>
          <w:rFonts w:ascii="Times New Roman" w:hAnsi="Times New Roman" w:cs="Times New Roman"/>
          <w:b/>
          <w:bCs/>
          <w:sz w:val="20"/>
          <w:lang w:val="en-US"/>
        </w:rPr>
        <w:t>2011</w:t>
      </w:r>
      <w:proofErr w:type="gramEnd"/>
      <w:r w:rsidRPr="008C5DFA">
        <w:rPr>
          <w:rFonts w:ascii="Times New Roman" w:hAnsi="Times New Roman" w:cs="Times New Roman"/>
          <w:sz w:val="20"/>
          <w:lang w:val="en-US"/>
        </w:rPr>
        <w:t xml:space="preserve">; 39(9):763–769.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10. </w:t>
      </w:r>
      <w:r w:rsidRPr="008C5DFA">
        <w:rPr>
          <w:rFonts w:ascii="Times New Roman" w:hAnsi="Times New Roman" w:cs="Times New Roman"/>
          <w:sz w:val="20"/>
          <w:lang w:val="en-US"/>
        </w:rPr>
        <w:tab/>
      </w:r>
      <w:proofErr w:type="spellStart"/>
      <w:r w:rsidRPr="008C5DFA">
        <w:rPr>
          <w:rFonts w:ascii="Times New Roman" w:hAnsi="Times New Roman" w:cs="Times New Roman"/>
          <w:sz w:val="20"/>
          <w:lang w:val="en-US"/>
        </w:rPr>
        <w:t>Hilliquin</w:t>
      </w:r>
      <w:proofErr w:type="spellEnd"/>
      <w:r w:rsidRPr="008C5DFA">
        <w:rPr>
          <w:rFonts w:ascii="Times New Roman" w:hAnsi="Times New Roman" w:cs="Times New Roman"/>
          <w:sz w:val="20"/>
          <w:lang w:val="en-US"/>
        </w:rPr>
        <w:t xml:space="preserve"> D, Le </w:t>
      </w:r>
      <w:proofErr w:type="spellStart"/>
      <w:r w:rsidRPr="008C5DFA">
        <w:rPr>
          <w:rFonts w:ascii="Times New Roman" w:hAnsi="Times New Roman" w:cs="Times New Roman"/>
          <w:sz w:val="20"/>
          <w:lang w:val="en-US"/>
        </w:rPr>
        <w:t>Guern</w:t>
      </w:r>
      <w:proofErr w:type="spellEnd"/>
      <w:r w:rsidRPr="008C5DFA">
        <w:rPr>
          <w:rFonts w:ascii="Times New Roman" w:hAnsi="Times New Roman" w:cs="Times New Roman"/>
          <w:sz w:val="20"/>
          <w:lang w:val="en-US"/>
        </w:rPr>
        <w:t xml:space="preserve"> R, </w:t>
      </w:r>
      <w:proofErr w:type="spellStart"/>
      <w:r w:rsidRPr="008C5DFA">
        <w:rPr>
          <w:rFonts w:ascii="Times New Roman" w:hAnsi="Times New Roman" w:cs="Times New Roman"/>
          <w:sz w:val="20"/>
          <w:lang w:val="en-US"/>
        </w:rPr>
        <w:t>Thepot</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Seegers</w:t>
      </w:r>
      <w:proofErr w:type="spellEnd"/>
      <w:r w:rsidRPr="008C5DFA">
        <w:rPr>
          <w:rFonts w:ascii="Times New Roman" w:hAnsi="Times New Roman" w:cs="Times New Roman"/>
          <w:sz w:val="20"/>
          <w:lang w:val="en-US"/>
        </w:rPr>
        <w:t xml:space="preserve"> V, et al. Risk factors for acquisition of OXA-48-producing </w:t>
      </w:r>
      <w:proofErr w:type="spellStart"/>
      <w:r w:rsidRPr="008C5DFA">
        <w:rPr>
          <w:rFonts w:ascii="Times New Roman" w:hAnsi="Times New Roman" w:cs="Times New Roman"/>
          <w:sz w:val="20"/>
          <w:lang w:val="en-US"/>
        </w:rPr>
        <w:t>Klebsiella</w:t>
      </w:r>
      <w:proofErr w:type="spellEnd"/>
      <w:r w:rsidRPr="008C5DFA">
        <w:rPr>
          <w:rFonts w:ascii="Times New Roman" w:hAnsi="Times New Roman" w:cs="Times New Roman"/>
          <w:sz w:val="20"/>
          <w:lang w:val="en-US"/>
        </w:rPr>
        <w:t xml:space="preserve"> pneumonia among contact patients: a </w:t>
      </w:r>
      <w:proofErr w:type="spellStart"/>
      <w:r w:rsidRPr="008C5DFA">
        <w:rPr>
          <w:rFonts w:ascii="Times New Roman" w:hAnsi="Times New Roman" w:cs="Times New Roman"/>
          <w:sz w:val="20"/>
          <w:lang w:val="en-US"/>
        </w:rPr>
        <w:t>multicentre</w:t>
      </w:r>
      <w:proofErr w:type="spellEnd"/>
      <w:r w:rsidRPr="008C5DFA">
        <w:rPr>
          <w:rFonts w:ascii="Times New Roman" w:hAnsi="Times New Roman" w:cs="Times New Roman"/>
          <w:sz w:val="20"/>
          <w:lang w:val="en-US"/>
        </w:rPr>
        <w:t xml:space="preserve"> study. J </w:t>
      </w:r>
      <w:proofErr w:type="spellStart"/>
      <w:r w:rsidRPr="008C5DFA">
        <w:rPr>
          <w:rFonts w:ascii="Times New Roman" w:hAnsi="Times New Roman" w:cs="Times New Roman"/>
          <w:sz w:val="20"/>
          <w:lang w:val="en-US"/>
        </w:rPr>
        <w:t>Hosp</w:t>
      </w:r>
      <w:proofErr w:type="spellEnd"/>
      <w:r w:rsidRPr="008C5DFA">
        <w:rPr>
          <w:rFonts w:ascii="Times New Roman" w:hAnsi="Times New Roman" w:cs="Times New Roman"/>
          <w:sz w:val="20"/>
          <w:lang w:val="en-US"/>
        </w:rPr>
        <w:t xml:space="preserve"> Infect. </w:t>
      </w:r>
      <w:proofErr w:type="gramStart"/>
      <w:r w:rsidRPr="008C5DFA">
        <w:rPr>
          <w:rFonts w:ascii="Times New Roman" w:hAnsi="Times New Roman" w:cs="Times New Roman"/>
          <w:b/>
          <w:bCs/>
          <w:sz w:val="20"/>
          <w:lang w:val="en-US"/>
        </w:rPr>
        <w:t>2018</w:t>
      </w:r>
      <w:proofErr w:type="gramEnd"/>
      <w:r w:rsidRPr="008C5DFA">
        <w:rPr>
          <w:rFonts w:ascii="Times New Roman" w:hAnsi="Times New Roman" w:cs="Times New Roman"/>
          <w:sz w:val="20"/>
          <w:lang w:val="en-US"/>
        </w:rPr>
        <w:t xml:space="preserve">; 98(3):253–259.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11. </w:t>
      </w:r>
      <w:r w:rsidRPr="008C5DFA">
        <w:rPr>
          <w:rFonts w:ascii="Times New Roman" w:hAnsi="Times New Roman" w:cs="Times New Roman"/>
          <w:sz w:val="20"/>
          <w:lang w:val="en-US"/>
        </w:rPr>
        <w:tab/>
      </w:r>
      <w:proofErr w:type="spellStart"/>
      <w:r w:rsidRPr="008C5DFA">
        <w:rPr>
          <w:rFonts w:ascii="Times New Roman" w:hAnsi="Times New Roman" w:cs="Times New Roman"/>
          <w:sz w:val="20"/>
          <w:lang w:val="en-US"/>
        </w:rPr>
        <w:t>Carmeli</w:t>
      </w:r>
      <w:proofErr w:type="spellEnd"/>
      <w:r w:rsidRPr="008C5DFA">
        <w:rPr>
          <w:rFonts w:ascii="Times New Roman" w:hAnsi="Times New Roman" w:cs="Times New Roman"/>
          <w:sz w:val="20"/>
          <w:lang w:val="en-US"/>
        </w:rPr>
        <w:t xml:space="preserve"> Y, Eliopoulos GM, </w:t>
      </w:r>
      <w:proofErr w:type="spellStart"/>
      <w:r w:rsidRPr="008C5DFA">
        <w:rPr>
          <w:rFonts w:ascii="Times New Roman" w:hAnsi="Times New Roman" w:cs="Times New Roman"/>
          <w:sz w:val="20"/>
          <w:lang w:val="en-US"/>
        </w:rPr>
        <w:t>Samore</w:t>
      </w:r>
      <w:proofErr w:type="spellEnd"/>
      <w:r w:rsidRPr="008C5DFA">
        <w:rPr>
          <w:rFonts w:ascii="Times New Roman" w:hAnsi="Times New Roman" w:cs="Times New Roman"/>
          <w:sz w:val="20"/>
          <w:lang w:val="en-US"/>
        </w:rPr>
        <w:t xml:space="preserve"> MH. Antecedent Treatment with Different Antibiotic Agents as a Risk Factor for Vancomycin-Resistant Enterococcus. </w:t>
      </w:r>
      <w:proofErr w:type="spellStart"/>
      <w:r w:rsidRPr="008C5DFA">
        <w:rPr>
          <w:rFonts w:ascii="Times New Roman" w:hAnsi="Times New Roman" w:cs="Times New Roman"/>
          <w:sz w:val="20"/>
          <w:lang w:val="en-US"/>
        </w:rPr>
        <w:t>Emerg</w:t>
      </w:r>
      <w:proofErr w:type="spellEnd"/>
      <w:r w:rsidRPr="008C5DFA">
        <w:rPr>
          <w:rFonts w:ascii="Times New Roman" w:hAnsi="Times New Roman" w:cs="Times New Roman"/>
          <w:sz w:val="20"/>
          <w:lang w:val="en-US"/>
        </w:rPr>
        <w:t xml:space="preserve"> Infect Dis. </w:t>
      </w:r>
      <w:r w:rsidRPr="008C5DFA">
        <w:rPr>
          <w:rFonts w:ascii="Times New Roman" w:hAnsi="Times New Roman" w:cs="Times New Roman"/>
          <w:b/>
          <w:bCs/>
          <w:sz w:val="20"/>
          <w:lang w:val="en-US"/>
        </w:rPr>
        <w:t>2002</w:t>
      </w:r>
      <w:proofErr w:type="gramStart"/>
      <w:r w:rsidRPr="008C5DFA">
        <w:rPr>
          <w:rFonts w:ascii="Times New Roman" w:hAnsi="Times New Roman" w:cs="Times New Roman"/>
          <w:sz w:val="20"/>
          <w:lang w:val="en-US"/>
        </w:rPr>
        <w:t>;</w:t>
      </w:r>
      <w:proofErr w:type="gramEnd"/>
      <w:r w:rsidRPr="008C5DFA">
        <w:rPr>
          <w:rFonts w:ascii="Times New Roman" w:hAnsi="Times New Roman" w:cs="Times New Roman"/>
          <w:sz w:val="20"/>
          <w:lang w:val="en-US"/>
        </w:rPr>
        <w:t xml:space="preserve"> 8(8):802–807.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12. </w:t>
      </w:r>
      <w:r w:rsidRPr="008C5DFA">
        <w:rPr>
          <w:rFonts w:ascii="Times New Roman" w:hAnsi="Times New Roman" w:cs="Times New Roman"/>
          <w:sz w:val="20"/>
          <w:lang w:val="en-US"/>
        </w:rPr>
        <w:tab/>
      </w:r>
      <w:proofErr w:type="spellStart"/>
      <w:r w:rsidRPr="008C5DFA">
        <w:rPr>
          <w:rFonts w:ascii="Times New Roman" w:hAnsi="Times New Roman" w:cs="Times New Roman"/>
          <w:sz w:val="20"/>
          <w:lang w:val="en-US"/>
        </w:rPr>
        <w:t>Graffunder</w:t>
      </w:r>
      <w:proofErr w:type="spellEnd"/>
      <w:r w:rsidRPr="008C5DFA">
        <w:rPr>
          <w:rFonts w:ascii="Times New Roman" w:hAnsi="Times New Roman" w:cs="Times New Roman"/>
          <w:sz w:val="20"/>
          <w:lang w:val="en-US"/>
        </w:rPr>
        <w:t xml:space="preserve"> EM, Preston KE, Evans AM, </w:t>
      </w:r>
      <w:proofErr w:type="spellStart"/>
      <w:r w:rsidRPr="008C5DFA">
        <w:rPr>
          <w:rFonts w:ascii="Times New Roman" w:hAnsi="Times New Roman" w:cs="Times New Roman"/>
          <w:sz w:val="20"/>
          <w:lang w:val="en-US"/>
        </w:rPr>
        <w:t>Venezia</w:t>
      </w:r>
      <w:proofErr w:type="spellEnd"/>
      <w:r w:rsidRPr="008C5DFA">
        <w:rPr>
          <w:rFonts w:ascii="Times New Roman" w:hAnsi="Times New Roman" w:cs="Times New Roman"/>
          <w:sz w:val="20"/>
          <w:lang w:val="en-US"/>
        </w:rPr>
        <w:t xml:space="preserve"> RA. Risk factors associated with extended-spectrum </w:t>
      </w:r>
      <w:r w:rsidRPr="008C5DFA">
        <w:rPr>
          <w:rFonts w:ascii="Times New Roman" w:hAnsi="Times New Roman" w:cs="Times New Roman"/>
          <w:sz w:val="20"/>
        </w:rPr>
        <w:t>β</w:t>
      </w:r>
      <w:r w:rsidRPr="008C5DFA">
        <w:rPr>
          <w:rFonts w:ascii="Times New Roman" w:hAnsi="Times New Roman" w:cs="Times New Roman"/>
          <w:sz w:val="20"/>
          <w:lang w:val="en-US"/>
        </w:rPr>
        <w:t xml:space="preserve">-lactamase-producing organisms at a tertiary care hospital. J </w:t>
      </w:r>
      <w:proofErr w:type="spellStart"/>
      <w:r w:rsidRPr="008C5DFA">
        <w:rPr>
          <w:rFonts w:ascii="Times New Roman" w:hAnsi="Times New Roman" w:cs="Times New Roman"/>
          <w:sz w:val="20"/>
          <w:lang w:val="en-US"/>
        </w:rPr>
        <w:t>Antimicrob</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Chemother</w:t>
      </w:r>
      <w:proofErr w:type="spellEnd"/>
      <w:r w:rsidRPr="008C5DFA">
        <w:rPr>
          <w:rFonts w:ascii="Times New Roman" w:hAnsi="Times New Roman" w:cs="Times New Roman"/>
          <w:sz w:val="20"/>
          <w:lang w:val="en-US"/>
        </w:rPr>
        <w:t xml:space="preserve">. </w:t>
      </w:r>
      <w:proofErr w:type="gramStart"/>
      <w:r w:rsidRPr="008C5DFA">
        <w:rPr>
          <w:rFonts w:ascii="Times New Roman" w:hAnsi="Times New Roman" w:cs="Times New Roman"/>
          <w:b/>
          <w:bCs/>
          <w:sz w:val="20"/>
          <w:lang w:val="en-US"/>
        </w:rPr>
        <w:t>2005</w:t>
      </w:r>
      <w:proofErr w:type="gramEnd"/>
      <w:r w:rsidRPr="008C5DFA">
        <w:rPr>
          <w:rFonts w:ascii="Times New Roman" w:hAnsi="Times New Roman" w:cs="Times New Roman"/>
          <w:sz w:val="20"/>
          <w:lang w:val="en-US"/>
        </w:rPr>
        <w:t xml:space="preserve">; 56(1):139–145.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13. </w:t>
      </w:r>
      <w:r w:rsidRPr="008C5DFA">
        <w:rPr>
          <w:rFonts w:ascii="Times New Roman" w:hAnsi="Times New Roman" w:cs="Times New Roman"/>
          <w:sz w:val="20"/>
          <w:lang w:val="en-US"/>
        </w:rPr>
        <w:tab/>
      </w:r>
      <w:proofErr w:type="spellStart"/>
      <w:r w:rsidRPr="008C5DFA">
        <w:rPr>
          <w:rFonts w:ascii="Times New Roman" w:hAnsi="Times New Roman" w:cs="Times New Roman"/>
          <w:sz w:val="20"/>
          <w:lang w:val="en-US"/>
        </w:rPr>
        <w:t>Donskey</w:t>
      </w:r>
      <w:proofErr w:type="spellEnd"/>
      <w:r w:rsidRPr="008C5DFA">
        <w:rPr>
          <w:rFonts w:ascii="Times New Roman" w:hAnsi="Times New Roman" w:cs="Times New Roman"/>
          <w:sz w:val="20"/>
          <w:lang w:val="en-US"/>
        </w:rPr>
        <w:t xml:space="preserve"> CJ, </w:t>
      </w:r>
      <w:proofErr w:type="spellStart"/>
      <w:r w:rsidRPr="008C5DFA">
        <w:rPr>
          <w:rFonts w:ascii="Times New Roman" w:hAnsi="Times New Roman" w:cs="Times New Roman"/>
          <w:sz w:val="20"/>
          <w:lang w:val="en-US"/>
        </w:rPr>
        <w:t>Chowdhry</w:t>
      </w:r>
      <w:proofErr w:type="spellEnd"/>
      <w:r w:rsidRPr="008C5DFA">
        <w:rPr>
          <w:rFonts w:ascii="Times New Roman" w:hAnsi="Times New Roman" w:cs="Times New Roman"/>
          <w:sz w:val="20"/>
          <w:lang w:val="en-US"/>
        </w:rPr>
        <w:t xml:space="preserve"> TK, Hecker MT, et al. Effect of Antibiotic Therapy on the Density of Vancomycin-Resistant Enterococci in the Stool of Colonized Patients. N </w:t>
      </w:r>
      <w:proofErr w:type="spellStart"/>
      <w:r w:rsidRPr="008C5DFA">
        <w:rPr>
          <w:rFonts w:ascii="Times New Roman" w:hAnsi="Times New Roman" w:cs="Times New Roman"/>
          <w:sz w:val="20"/>
          <w:lang w:val="en-US"/>
        </w:rPr>
        <w:t>Engl</w:t>
      </w:r>
      <w:proofErr w:type="spellEnd"/>
      <w:r w:rsidRPr="008C5DFA">
        <w:rPr>
          <w:rFonts w:ascii="Times New Roman" w:hAnsi="Times New Roman" w:cs="Times New Roman"/>
          <w:sz w:val="20"/>
          <w:lang w:val="en-US"/>
        </w:rPr>
        <w:t xml:space="preserve"> J Med. </w:t>
      </w:r>
      <w:r w:rsidRPr="008C5DFA">
        <w:rPr>
          <w:rFonts w:ascii="Times New Roman" w:hAnsi="Times New Roman" w:cs="Times New Roman"/>
          <w:b/>
          <w:bCs/>
          <w:sz w:val="20"/>
          <w:lang w:val="en-US"/>
        </w:rPr>
        <w:t>2000</w:t>
      </w:r>
      <w:proofErr w:type="gramStart"/>
      <w:r w:rsidRPr="008C5DFA">
        <w:rPr>
          <w:rFonts w:ascii="Times New Roman" w:hAnsi="Times New Roman" w:cs="Times New Roman"/>
          <w:sz w:val="20"/>
          <w:lang w:val="en-US"/>
        </w:rPr>
        <w:t>;</w:t>
      </w:r>
      <w:proofErr w:type="gramEnd"/>
      <w:r w:rsidRPr="008C5DFA">
        <w:rPr>
          <w:rFonts w:ascii="Times New Roman" w:hAnsi="Times New Roman" w:cs="Times New Roman"/>
          <w:sz w:val="20"/>
          <w:lang w:val="en-US"/>
        </w:rPr>
        <w:t xml:space="preserve"> 343(26):1925–1932.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lang w:val="en-US"/>
        </w:rPr>
        <w:t xml:space="preserve">14. </w:t>
      </w:r>
      <w:r w:rsidRPr="008C5DFA">
        <w:rPr>
          <w:rFonts w:ascii="Times New Roman" w:hAnsi="Times New Roman" w:cs="Times New Roman"/>
          <w:sz w:val="20"/>
          <w:lang w:val="en-US"/>
        </w:rPr>
        <w:tab/>
      </w:r>
      <w:proofErr w:type="spellStart"/>
      <w:r w:rsidRPr="008C5DFA">
        <w:rPr>
          <w:rFonts w:ascii="Times New Roman" w:hAnsi="Times New Roman" w:cs="Times New Roman"/>
          <w:sz w:val="20"/>
          <w:lang w:val="en-US"/>
        </w:rPr>
        <w:t>Haverkate</w:t>
      </w:r>
      <w:proofErr w:type="spellEnd"/>
      <w:r w:rsidRPr="008C5DFA">
        <w:rPr>
          <w:rFonts w:ascii="Times New Roman" w:hAnsi="Times New Roman" w:cs="Times New Roman"/>
          <w:sz w:val="20"/>
          <w:lang w:val="en-US"/>
        </w:rPr>
        <w:t xml:space="preserve"> MR, </w:t>
      </w:r>
      <w:proofErr w:type="spellStart"/>
      <w:r w:rsidRPr="008C5DFA">
        <w:rPr>
          <w:rFonts w:ascii="Times New Roman" w:hAnsi="Times New Roman" w:cs="Times New Roman"/>
          <w:sz w:val="20"/>
          <w:lang w:val="en-US"/>
        </w:rPr>
        <w:t>Platteel</w:t>
      </w:r>
      <w:proofErr w:type="spellEnd"/>
      <w:r w:rsidRPr="008C5DFA">
        <w:rPr>
          <w:rFonts w:ascii="Times New Roman" w:hAnsi="Times New Roman" w:cs="Times New Roman"/>
          <w:sz w:val="20"/>
          <w:lang w:val="en-US"/>
        </w:rPr>
        <w:t xml:space="preserve"> TN, </w:t>
      </w:r>
      <w:proofErr w:type="spellStart"/>
      <w:r w:rsidRPr="008C5DFA">
        <w:rPr>
          <w:rFonts w:ascii="Times New Roman" w:hAnsi="Times New Roman" w:cs="Times New Roman"/>
          <w:sz w:val="20"/>
          <w:lang w:val="en-US"/>
        </w:rPr>
        <w:t>Fluit</w:t>
      </w:r>
      <w:proofErr w:type="spellEnd"/>
      <w:r w:rsidRPr="008C5DFA">
        <w:rPr>
          <w:rFonts w:ascii="Times New Roman" w:hAnsi="Times New Roman" w:cs="Times New Roman"/>
          <w:sz w:val="20"/>
          <w:lang w:val="en-US"/>
        </w:rPr>
        <w:t xml:space="preserve"> AC, et al. Quantifying within-household transmission of extended-spectrum </w:t>
      </w:r>
      <w:r w:rsidRPr="008C5DFA">
        <w:rPr>
          <w:rFonts w:ascii="Times New Roman" w:hAnsi="Times New Roman" w:cs="Times New Roman"/>
          <w:sz w:val="20"/>
        </w:rPr>
        <w:t>β</w:t>
      </w:r>
      <w:r w:rsidRPr="008C5DFA">
        <w:rPr>
          <w:rFonts w:ascii="Times New Roman" w:hAnsi="Times New Roman" w:cs="Times New Roman"/>
          <w:sz w:val="20"/>
          <w:lang w:val="en-US"/>
        </w:rPr>
        <w:t xml:space="preserve">-lactamase-producing bacteria. </w:t>
      </w:r>
      <w:proofErr w:type="spellStart"/>
      <w:r w:rsidRPr="008C5DFA">
        <w:rPr>
          <w:rFonts w:ascii="Times New Roman" w:hAnsi="Times New Roman" w:cs="Times New Roman"/>
          <w:sz w:val="20"/>
          <w:lang w:val="en-US"/>
        </w:rPr>
        <w:t>Clin</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Microbiol</w:t>
      </w:r>
      <w:proofErr w:type="spellEnd"/>
      <w:r w:rsidRPr="008C5DFA">
        <w:rPr>
          <w:rFonts w:ascii="Times New Roman" w:hAnsi="Times New Roman" w:cs="Times New Roman"/>
          <w:sz w:val="20"/>
          <w:lang w:val="en-US"/>
        </w:rPr>
        <w:t xml:space="preserve"> Infect Off </w:t>
      </w:r>
      <w:proofErr w:type="spellStart"/>
      <w:r w:rsidRPr="008C5DFA">
        <w:rPr>
          <w:rFonts w:ascii="Times New Roman" w:hAnsi="Times New Roman" w:cs="Times New Roman"/>
          <w:sz w:val="20"/>
          <w:lang w:val="en-US"/>
        </w:rPr>
        <w:t>Publ</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Eur</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Soc</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Clin</w:t>
      </w:r>
      <w:proofErr w:type="spellEnd"/>
      <w:r w:rsidRPr="008C5DFA">
        <w:rPr>
          <w:rFonts w:ascii="Times New Roman" w:hAnsi="Times New Roman" w:cs="Times New Roman"/>
          <w:sz w:val="20"/>
          <w:lang w:val="en-US"/>
        </w:rPr>
        <w:t xml:space="preserve"> </w:t>
      </w:r>
      <w:proofErr w:type="spellStart"/>
      <w:r w:rsidRPr="008C5DFA">
        <w:rPr>
          <w:rFonts w:ascii="Times New Roman" w:hAnsi="Times New Roman" w:cs="Times New Roman"/>
          <w:sz w:val="20"/>
          <w:lang w:val="en-US"/>
        </w:rPr>
        <w:t>Microbiol</w:t>
      </w:r>
      <w:proofErr w:type="spellEnd"/>
      <w:r w:rsidRPr="008C5DFA">
        <w:rPr>
          <w:rFonts w:ascii="Times New Roman" w:hAnsi="Times New Roman" w:cs="Times New Roman"/>
          <w:sz w:val="20"/>
          <w:lang w:val="en-US"/>
        </w:rPr>
        <w:t xml:space="preserve"> Infect Dis. </w:t>
      </w:r>
      <w:r w:rsidRPr="008C5DFA">
        <w:rPr>
          <w:rFonts w:ascii="Times New Roman" w:hAnsi="Times New Roman" w:cs="Times New Roman"/>
          <w:b/>
          <w:bCs/>
          <w:sz w:val="20"/>
          <w:lang w:val="en-US"/>
        </w:rPr>
        <w:t>2017</w:t>
      </w:r>
      <w:proofErr w:type="gramStart"/>
      <w:r w:rsidRPr="008C5DFA">
        <w:rPr>
          <w:rFonts w:ascii="Times New Roman" w:hAnsi="Times New Roman" w:cs="Times New Roman"/>
          <w:sz w:val="20"/>
          <w:lang w:val="en-US"/>
        </w:rPr>
        <w:t>;</w:t>
      </w:r>
      <w:proofErr w:type="gramEnd"/>
      <w:r w:rsidRPr="008C5DFA">
        <w:rPr>
          <w:rFonts w:ascii="Times New Roman" w:hAnsi="Times New Roman" w:cs="Times New Roman"/>
          <w:sz w:val="20"/>
          <w:lang w:val="en-US"/>
        </w:rPr>
        <w:t xml:space="preserve"> 23(1):46.e1-46.e7. </w:t>
      </w:r>
    </w:p>
    <w:p w:rsidR="008C5DFA" w:rsidRPr="008C5DFA" w:rsidRDefault="008C5DFA" w:rsidP="008C5DFA">
      <w:pPr>
        <w:pStyle w:val="Bibliographie"/>
        <w:rPr>
          <w:rFonts w:ascii="Times New Roman" w:hAnsi="Times New Roman" w:cs="Times New Roman"/>
          <w:sz w:val="20"/>
        </w:rPr>
      </w:pPr>
      <w:r w:rsidRPr="008C5DFA">
        <w:rPr>
          <w:rFonts w:ascii="Times New Roman" w:hAnsi="Times New Roman" w:cs="Times New Roman"/>
          <w:sz w:val="20"/>
          <w:lang w:val="en-US"/>
        </w:rPr>
        <w:t xml:space="preserve">15. </w:t>
      </w:r>
      <w:r w:rsidRPr="008C5DFA">
        <w:rPr>
          <w:rFonts w:ascii="Times New Roman" w:hAnsi="Times New Roman" w:cs="Times New Roman"/>
          <w:sz w:val="20"/>
          <w:lang w:val="en-US"/>
        </w:rPr>
        <w:tab/>
        <w:t xml:space="preserve">Miura F, Watanabe T, Watanabe K, Takemoto K, </w:t>
      </w:r>
      <w:proofErr w:type="spellStart"/>
      <w:r w:rsidRPr="008C5DFA">
        <w:rPr>
          <w:rFonts w:ascii="Times New Roman" w:hAnsi="Times New Roman" w:cs="Times New Roman"/>
          <w:sz w:val="20"/>
          <w:lang w:val="en-US"/>
        </w:rPr>
        <w:t>Fukushi</w:t>
      </w:r>
      <w:proofErr w:type="spellEnd"/>
      <w:r w:rsidRPr="008C5DFA">
        <w:rPr>
          <w:rFonts w:ascii="Times New Roman" w:hAnsi="Times New Roman" w:cs="Times New Roman"/>
          <w:sz w:val="20"/>
          <w:lang w:val="en-US"/>
        </w:rPr>
        <w:t xml:space="preserve"> K. Comparative assessment of primary and secondary infection risks in a norovirus outbreak using a household model simulation. </w:t>
      </w:r>
      <w:r w:rsidRPr="008C5DFA">
        <w:rPr>
          <w:rFonts w:ascii="Times New Roman" w:hAnsi="Times New Roman" w:cs="Times New Roman"/>
          <w:sz w:val="20"/>
        </w:rPr>
        <w:t xml:space="preserve">J Environ </w:t>
      </w:r>
      <w:proofErr w:type="spellStart"/>
      <w:r w:rsidRPr="008C5DFA">
        <w:rPr>
          <w:rFonts w:ascii="Times New Roman" w:hAnsi="Times New Roman" w:cs="Times New Roman"/>
          <w:sz w:val="20"/>
        </w:rPr>
        <w:t>Sci</w:t>
      </w:r>
      <w:proofErr w:type="spellEnd"/>
      <w:r w:rsidRPr="008C5DFA">
        <w:rPr>
          <w:rFonts w:ascii="Times New Roman" w:hAnsi="Times New Roman" w:cs="Times New Roman"/>
          <w:sz w:val="20"/>
        </w:rPr>
        <w:t xml:space="preserve"> China. </w:t>
      </w:r>
      <w:r w:rsidRPr="008C5DFA">
        <w:rPr>
          <w:rFonts w:ascii="Times New Roman" w:hAnsi="Times New Roman" w:cs="Times New Roman"/>
          <w:b/>
          <w:bCs/>
          <w:sz w:val="20"/>
        </w:rPr>
        <w:t>2016</w:t>
      </w:r>
      <w:r w:rsidRPr="008C5DFA">
        <w:rPr>
          <w:rFonts w:ascii="Times New Roman" w:hAnsi="Times New Roman" w:cs="Times New Roman"/>
          <w:sz w:val="20"/>
        </w:rPr>
        <w:t xml:space="preserve">; 50:13–20. </w:t>
      </w:r>
    </w:p>
    <w:p w:rsidR="008C5DFA" w:rsidRPr="008C5DFA" w:rsidRDefault="008C5DFA" w:rsidP="008C5DFA">
      <w:pPr>
        <w:pStyle w:val="Bibliographie"/>
        <w:rPr>
          <w:rFonts w:ascii="Times New Roman" w:hAnsi="Times New Roman" w:cs="Times New Roman"/>
          <w:sz w:val="20"/>
          <w:lang w:val="en-US"/>
        </w:rPr>
      </w:pPr>
      <w:r w:rsidRPr="008C5DFA">
        <w:rPr>
          <w:rFonts w:ascii="Times New Roman" w:hAnsi="Times New Roman" w:cs="Times New Roman"/>
          <w:sz w:val="20"/>
        </w:rPr>
        <w:t xml:space="preserve">16. </w:t>
      </w:r>
      <w:r w:rsidRPr="008C5DFA">
        <w:rPr>
          <w:rFonts w:ascii="Times New Roman" w:hAnsi="Times New Roman" w:cs="Times New Roman"/>
          <w:sz w:val="20"/>
        </w:rPr>
        <w:tab/>
        <w:t xml:space="preserve">Marino S, </w:t>
      </w:r>
      <w:proofErr w:type="spellStart"/>
      <w:r w:rsidRPr="008C5DFA">
        <w:rPr>
          <w:rFonts w:ascii="Times New Roman" w:hAnsi="Times New Roman" w:cs="Times New Roman"/>
          <w:sz w:val="20"/>
        </w:rPr>
        <w:t>Hogue</w:t>
      </w:r>
      <w:proofErr w:type="spellEnd"/>
      <w:r w:rsidRPr="008C5DFA">
        <w:rPr>
          <w:rFonts w:ascii="Times New Roman" w:hAnsi="Times New Roman" w:cs="Times New Roman"/>
          <w:sz w:val="20"/>
        </w:rPr>
        <w:t xml:space="preserve"> IB, Ray CJ, </w:t>
      </w:r>
      <w:proofErr w:type="spellStart"/>
      <w:r w:rsidRPr="008C5DFA">
        <w:rPr>
          <w:rFonts w:ascii="Times New Roman" w:hAnsi="Times New Roman" w:cs="Times New Roman"/>
          <w:sz w:val="20"/>
        </w:rPr>
        <w:t>Kirschner</w:t>
      </w:r>
      <w:proofErr w:type="spellEnd"/>
      <w:r w:rsidRPr="008C5DFA">
        <w:rPr>
          <w:rFonts w:ascii="Times New Roman" w:hAnsi="Times New Roman" w:cs="Times New Roman"/>
          <w:sz w:val="20"/>
        </w:rPr>
        <w:t xml:space="preserve"> DE. </w:t>
      </w:r>
      <w:r w:rsidRPr="008C5DFA">
        <w:rPr>
          <w:rFonts w:ascii="Times New Roman" w:hAnsi="Times New Roman" w:cs="Times New Roman"/>
          <w:sz w:val="20"/>
          <w:lang w:val="en-US"/>
        </w:rPr>
        <w:t xml:space="preserve">A methodology for performing global uncertainty and sensitivity analysis in systems biology. J </w:t>
      </w:r>
      <w:proofErr w:type="spellStart"/>
      <w:r w:rsidRPr="008C5DFA">
        <w:rPr>
          <w:rFonts w:ascii="Times New Roman" w:hAnsi="Times New Roman" w:cs="Times New Roman"/>
          <w:sz w:val="20"/>
          <w:lang w:val="en-US"/>
        </w:rPr>
        <w:t>Theor</w:t>
      </w:r>
      <w:proofErr w:type="spellEnd"/>
      <w:r w:rsidRPr="008C5DFA">
        <w:rPr>
          <w:rFonts w:ascii="Times New Roman" w:hAnsi="Times New Roman" w:cs="Times New Roman"/>
          <w:sz w:val="20"/>
          <w:lang w:val="en-US"/>
        </w:rPr>
        <w:t xml:space="preserve"> Biol. </w:t>
      </w:r>
      <w:r w:rsidRPr="008C5DFA">
        <w:rPr>
          <w:rFonts w:ascii="Times New Roman" w:hAnsi="Times New Roman" w:cs="Times New Roman"/>
          <w:b/>
          <w:bCs/>
          <w:sz w:val="20"/>
          <w:lang w:val="en-US"/>
        </w:rPr>
        <w:t>2008</w:t>
      </w:r>
      <w:proofErr w:type="gramStart"/>
      <w:r w:rsidRPr="008C5DFA">
        <w:rPr>
          <w:rFonts w:ascii="Times New Roman" w:hAnsi="Times New Roman" w:cs="Times New Roman"/>
          <w:sz w:val="20"/>
          <w:lang w:val="en-US"/>
        </w:rPr>
        <w:t>;</w:t>
      </w:r>
      <w:proofErr w:type="gramEnd"/>
      <w:r w:rsidRPr="008C5DFA">
        <w:rPr>
          <w:rFonts w:ascii="Times New Roman" w:hAnsi="Times New Roman" w:cs="Times New Roman"/>
          <w:sz w:val="20"/>
          <w:lang w:val="en-US"/>
        </w:rPr>
        <w:t xml:space="preserve"> 254(1):178–196. </w:t>
      </w:r>
    </w:p>
    <w:p w:rsidR="008C5DFA" w:rsidRPr="008C5DFA" w:rsidRDefault="008C5DFA" w:rsidP="008C5DFA">
      <w:pPr>
        <w:pStyle w:val="Bibliographie"/>
        <w:rPr>
          <w:rFonts w:ascii="Times New Roman" w:hAnsi="Times New Roman" w:cs="Times New Roman"/>
          <w:sz w:val="20"/>
        </w:rPr>
      </w:pPr>
      <w:r w:rsidRPr="008C5DFA">
        <w:rPr>
          <w:rFonts w:ascii="Times New Roman" w:hAnsi="Times New Roman" w:cs="Times New Roman"/>
          <w:sz w:val="20"/>
          <w:lang w:val="en-US"/>
        </w:rPr>
        <w:t xml:space="preserve">17. </w:t>
      </w:r>
      <w:r w:rsidRPr="008C5DFA">
        <w:rPr>
          <w:rFonts w:ascii="Times New Roman" w:hAnsi="Times New Roman" w:cs="Times New Roman"/>
          <w:sz w:val="20"/>
          <w:lang w:val="en-US"/>
        </w:rPr>
        <w:tab/>
        <w:t xml:space="preserve">Blower SM, </w:t>
      </w:r>
      <w:proofErr w:type="spellStart"/>
      <w:r w:rsidRPr="008C5DFA">
        <w:rPr>
          <w:rFonts w:ascii="Times New Roman" w:hAnsi="Times New Roman" w:cs="Times New Roman"/>
          <w:sz w:val="20"/>
          <w:lang w:val="en-US"/>
        </w:rPr>
        <w:t>Dowlatabadi</w:t>
      </w:r>
      <w:proofErr w:type="spellEnd"/>
      <w:r w:rsidRPr="008C5DFA">
        <w:rPr>
          <w:rFonts w:ascii="Times New Roman" w:hAnsi="Times New Roman" w:cs="Times New Roman"/>
          <w:sz w:val="20"/>
          <w:lang w:val="en-US"/>
        </w:rPr>
        <w:t xml:space="preserve"> H. Sensitivity and Uncertainty Analysis of Complex Models of Disease Transmission: An HIV Model, as an Example. </w:t>
      </w:r>
      <w:r w:rsidRPr="008C5DFA">
        <w:rPr>
          <w:rFonts w:ascii="Times New Roman" w:hAnsi="Times New Roman" w:cs="Times New Roman"/>
          <w:sz w:val="20"/>
        </w:rPr>
        <w:t xml:space="preserve">Int Stat </w:t>
      </w:r>
      <w:proofErr w:type="spellStart"/>
      <w:r w:rsidRPr="008C5DFA">
        <w:rPr>
          <w:rFonts w:ascii="Times New Roman" w:hAnsi="Times New Roman" w:cs="Times New Roman"/>
          <w:sz w:val="20"/>
        </w:rPr>
        <w:t>Rev</w:t>
      </w:r>
      <w:proofErr w:type="spellEnd"/>
      <w:r w:rsidRPr="008C5DFA">
        <w:rPr>
          <w:rFonts w:ascii="Times New Roman" w:hAnsi="Times New Roman" w:cs="Times New Roman"/>
          <w:sz w:val="20"/>
        </w:rPr>
        <w:t xml:space="preserve"> </w:t>
      </w:r>
      <w:proofErr w:type="spellStart"/>
      <w:r w:rsidRPr="008C5DFA">
        <w:rPr>
          <w:rFonts w:ascii="Times New Roman" w:hAnsi="Times New Roman" w:cs="Times New Roman"/>
          <w:sz w:val="20"/>
        </w:rPr>
        <w:t>Rev</w:t>
      </w:r>
      <w:proofErr w:type="spellEnd"/>
      <w:r w:rsidRPr="008C5DFA">
        <w:rPr>
          <w:rFonts w:ascii="Times New Roman" w:hAnsi="Times New Roman" w:cs="Times New Roman"/>
          <w:sz w:val="20"/>
        </w:rPr>
        <w:t xml:space="preserve"> Int Stat. </w:t>
      </w:r>
      <w:r w:rsidRPr="008C5DFA">
        <w:rPr>
          <w:rFonts w:ascii="Times New Roman" w:hAnsi="Times New Roman" w:cs="Times New Roman"/>
          <w:b/>
          <w:bCs/>
          <w:sz w:val="20"/>
        </w:rPr>
        <w:t>1994</w:t>
      </w:r>
      <w:r w:rsidRPr="008C5DFA">
        <w:rPr>
          <w:rFonts w:ascii="Times New Roman" w:hAnsi="Times New Roman" w:cs="Times New Roman"/>
          <w:sz w:val="20"/>
        </w:rPr>
        <w:t xml:space="preserve">; 62(2):229–243. </w:t>
      </w:r>
    </w:p>
    <w:p w:rsidR="00954DAA" w:rsidRDefault="00FF0184" w:rsidP="00C3345A">
      <w:pPr>
        <w:jc w:val="both"/>
        <w:rPr>
          <w:rFonts w:ascii="Times New Roman" w:hAnsi="Times New Roman" w:cs="Times New Roman"/>
          <w:sz w:val="20"/>
          <w:szCs w:val="20"/>
          <w:lang w:val="en-US"/>
        </w:rPr>
      </w:pPr>
      <w:r w:rsidRPr="00AB546F">
        <w:rPr>
          <w:rFonts w:ascii="Times New Roman" w:hAnsi="Times New Roman" w:cs="Times New Roman"/>
          <w:sz w:val="20"/>
          <w:szCs w:val="20"/>
          <w:lang w:val="en-US"/>
        </w:rPr>
        <w:fldChar w:fldCharType="end"/>
      </w:r>
    </w:p>
    <w:p w:rsidR="00CA4FD3" w:rsidRDefault="00CA4FD3" w:rsidP="00C3345A">
      <w:pPr>
        <w:jc w:val="both"/>
        <w:rPr>
          <w:rFonts w:ascii="Times New Roman" w:hAnsi="Times New Roman" w:cs="Times New Roman"/>
          <w:sz w:val="20"/>
          <w:szCs w:val="20"/>
          <w:lang w:val="en-US"/>
        </w:rPr>
      </w:pPr>
    </w:p>
    <w:p w:rsidR="00C54618" w:rsidRDefault="00C54618" w:rsidP="00C3345A">
      <w:pPr>
        <w:jc w:val="both"/>
        <w:rPr>
          <w:rFonts w:ascii="Times New Roman" w:hAnsi="Times New Roman" w:cs="Times New Roman"/>
          <w:sz w:val="20"/>
          <w:szCs w:val="20"/>
          <w:lang w:val="en-US"/>
        </w:rPr>
      </w:pPr>
    </w:p>
    <w:p w:rsidR="00C54618" w:rsidRDefault="00C54618" w:rsidP="00B77C5D">
      <w:pPr>
        <w:jc w:val="both"/>
        <w:rPr>
          <w:rFonts w:ascii="Times New Roman" w:hAnsi="Times New Roman" w:cs="Times New Roman"/>
          <w:sz w:val="20"/>
          <w:szCs w:val="20"/>
          <w:lang w:val="en-US"/>
        </w:rPr>
      </w:pPr>
    </w:p>
    <w:p w:rsidR="00CA4FD3" w:rsidRPr="002F3EED" w:rsidRDefault="00CA4FD3" w:rsidP="00CA4FD3">
      <w:pPr>
        <w:jc w:val="center"/>
        <w:rPr>
          <w:rFonts w:ascii="Times New Roman" w:hAnsi="Times New Roman" w:cs="Times New Roman"/>
          <w:b/>
          <w:sz w:val="24"/>
          <w:szCs w:val="24"/>
          <w:lang w:val="en-GB"/>
        </w:rPr>
      </w:pPr>
      <w:r w:rsidRPr="002F3EED">
        <w:rPr>
          <w:rFonts w:ascii="Times New Roman" w:hAnsi="Times New Roman" w:cs="Times New Roman"/>
          <w:b/>
          <w:sz w:val="24"/>
          <w:szCs w:val="24"/>
          <w:lang w:val="en-GB"/>
        </w:rPr>
        <w:t>Supplementary Text S2</w:t>
      </w:r>
    </w:p>
    <w:p w:rsidR="00CA4FD3" w:rsidRPr="002F3EED" w:rsidRDefault="00CA4FD3" w:rsidP="00CA4FD3">
      <w:pPr>
        <w:rPr>
          <w:rFonts w:ascii="Times New Roman" w:hAnsi="Times New Roman" w:cs="Times New Roman"/>
          <w:b/>
          <w:sz w:val="24"/>
          <w:szCs w:val="24"/>
          <w:lang w:val="en-GB"/>
        </w:rPr>
      </w:pPr>
      <w:r w:rsidRPr="002F3EED">
        <w:rPr>
          <w:rFonts w:ascii="Times New Roman" w:hAnsi="Times New Roman" w:cs="Times New Roman"/>
          <w:b/>
          <w:sz w:val="24"/>
          <w:szCs w:val="24"/>
          <w:lang w:val="en-GB"/>
        </w:rPr>
        <w:t>Uncertainty analysis</w:t>
      </w:r>
    </w:p>
    <w:p w:rsidR="00CA4FD3" w:rsidRPr="002F3EED" w:rsidRDefault="00CA4FD3" w:rsidP="00CA4FD3">
      <w:pPr>
        <w:pStyle w:val="Paragraphedeliste"/>
        <w:numPr>
          <w:ilvl w:val="0"/>
          <w:numId w:val="1"/>
        </w:numPr>
        <w:rPr>
          <w:rFonts w:ascii="Times New Roman" w:hAnsi="Times New Roman" w:cs="Times New Roman"/>
          <w:b/>
          <w:i/>
          <w:sz w:val="20"/>
          <w:szCs w:val="20"/>
          <w:lang w:val="en-GB"/>
        </w:rPr>
      </w:pPr>
      <w:r w:rsidRPr="002F3EED">
        <w:rPr>
          <w:rFonts w:ascii="Times New Roman" w:hAnsi="Times New Roman" w:cs="Times New Roman"/>
          <w:b/>
          <w:i/>
          <w:sz w:val="20"/>
          <w:szCs w:val="20"/>
          <w:lang w:val="en-GB"/>
        </w:rPr>
        <w:t xml:space="preserve">Impact of the lower duration of intestinal colonisation. </w:t>
      </w:r>
    </w:p>
    <w:p w:rsidR="00CA4FD3" w:rsidRPr="002F3EED" w:rsidRDefault="00CA4FD3" w:rsidP="00CA4FD3">
      <w:pPr>
        <w:spacing w:line="240" w:lineRule="auto"/>
        <w:jc w:val="both"/>
        <w:rPr>
          <w:rFonts w:ascii="Times New Roman" w:hAnsi="Times New Roman" w:cs="Times New Roman"/>
          <w:b/>
          <w:i/>
          <w:sz w:val="20"/>
          <w:szCs w:val="20"/>
          <w:lang w:val="en-GB"/>
        </w:rPr>
      </w:pPr>
      <w:r w:rsidRPr="002F3EED">
        <w:rPr>
          <w:rFonts w:ascii="Times New Roman" w:hAnsi="Times New Roman" w:cs="Times New Roman"/>
          <w:sz w:val="20"/>
          <w:szCs w:val="20"/>
          <w:lang w:val="en-GB"/>
        </w:rPr>
        <w:t xml:space="preserve">We run an uncertainty analysis with the duration of intestinal colonisation lower than in our main analysis; 36 days </w:t>
      </w:r>
      <w:r w:rsidRPr="002F3EED">
        <w:rPr>
          <w:rFonts w:ascii="Times New Roman" w:hAnsi="Times New Roman" w:cs="Times New Roman"/>
          <w:sz w:val="20"/>
          <w:szCs w:val="20"/>
          <w:lang w:val="en-US"/>
        </w:rPr>
        <w:t>(vs 111 at baseline).</w:t>
      </w:r>
    </w:p>
    <w:p w:rsidR="00CA4FD3" w:rsidRPr="002F3EED" w:rsidRDefault="00CA4FD3" w:rsidP="00CA4FD3">
      <w:pPr>
        <w:rPr>
          <w:rFonts w:ascii="Times New Roman" w:hAnsi="Times New Roman" w:cs="Times New Roman"/>
          <w:b/>
          <w:i/>
          <w:sz w:val="20"/>
          <w:szCs w:val="20"/>
          <w:lang w:val="en-GB"/>
        </w:rPr>
      </w:pPr>
      <w:r w:rsidRPr="002F3EED">
        <w:rPr>
          <w:rFonts w:ascii="Times New Roman" w:hAnsi="Times New Roman" w:cs="Times New Roman"/>
          <w:b/>
          <w:i/>
          <w:sz w:val="20"/>
          <w:szCs w:val="20"/>
          <w:lang w:val="en-GB"/>
        </w:rPr>
        <w:t>Results</w:t>
      </w:r>
    </w:p>
    <w:p w:rsidR="00CA4FD3" w:rsidRPr="002F3EED" w:rsidRDefault="00CA4FD3" w:rsidP="00CA4FD3">
      <w:pPr>
        <w:spacing w:line="240" w:lineRule="auto"/>
        <w:jc w:val="both"/>
        <w:rPr>
          <w:rFonts w:ascii="Times New Roman" w:hAnsi="Times New Roman" w:cs="Times New Roman"/>
          <w:sz w:val="20"/>
          <w:szCs w:val="20"/>
          <w:lang w:val="en-GB"/>
        </w:rPr>
      </w:pPr>
      <w:r w:rsidRPr="002F3EED">
        <w:rPr>
          <w:rFonts w:ascii="Times New Roman" w:hAnsi="Times New Roman" w:cs="Times New Roman"/>
          <w:sz w:val="20"/>
          <w:szCs w:val="20"/>
          <w:lang w:val="en-GB"/>
        </w:rPr>
        <w:t>The estimated probability of ESBL-EC acquisition in a 2-persons household was 1.8% and 2</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 xml:space="preserve">2% when the index person was a woman or a man, respectively (Supplementary Table S1). In the household composed of </w:t>
      </w:r>
      <w:proofErr w:type="gramStart"/>
      <w:r w:rsidRPr="002F3EED">
        <w:rPr>
          <w:rFonts w:ascii="Times New Roman" w:hAnsi="Times New Roman" w:cs="Times New Roman"/>
          <w:sz w:val="20"/>
          <w:szCs w:val="20"/>
          <w:lang w:val="en-GB"/>
        </w:rPr>
        <w:t>2</w:t>
      </w:r>
      <w:proofErr w:type="gramEnd"/>
      <w:r w:rsidRPr="002F3EED">
        <w:rPr>
          <w:rFonts w:ascii="Times New Roman" w:hAnsi="Times New Roman" w:cs="Times New Roman"/>
          <w:sz w:val="20"/>
          <w:szCs w:val="20"/>
          <w:lang w:val="en-GB"/>
        </w:rPr>
        <w:t xml:space="preserve"> adults and a child the probability of ESBL-EC acquisition varied from 7</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2 11.4%. In the household composed of two adults and a baby, the probability of acquisition ranged from 18</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1 to 22</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1%. In the household composed of four persons, the probability of ESBL-EC acquisition varied from 26</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1 to 31</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 xml:space="preserve">8%. </w:t>
      </w:r>
    </w:p>
    <w:tbl>
      <w:tblPr>
        <w:tblStyle w:val="Grilledutableau"/>
        <w:tblpPr w:leftFromText="141" w:rightFromText="141" w:vertAnchor="text" w:horzAnchor="margin" w:tblpY="715"/>
        <w:tblW w:w="8926" w:type="dxa"/>
        <w:tblLayout w:type="fixed"/>
        <w:tblLook w:val="04A0" w:firstRow="1" w:lastRow="0" w:firstColumn="1" w:lastColumn="0" w:noHBand="0" w:noVBand="1"/>
      </w:tblPr>
      <w:tblGrid>
        <w:gridCol w:w="1413"/>
        <w:gridCol w:w="2268"/>
        <w:gridCol w:w="1701"/>
        <w:gridCol w:w="1701"/>
        <w:gridCol w:w="1843"/>
      </w:tblGrid>
      <w:tr w:rsidR="00CA4FD3" w:rsidRPr="002C7656" w:rsidTr="00C3345A">
        <w:trPr>
          <w:trHeight w:val="517"/>
        </w:trPr>
        <w:tc>
          <w:tcPr>
            <w:tcW w:w="1413" w:type="dxa"/>
          </w:tcPr>
          <w:p w:rsidR="00CA4FD3" w:rsidRPr="00C54618" w:rsidRDefault="00CA4FD3" w:rsidP="00C54618">
            <w:pPr>
              <w:keepNext/>
              <w:jc w:val="center"/>
              <w:rPr>
                <w:rFonts w:ascii="Times New Roman" w:hAnsi="Times New Roman" w:cs="Times New Roman"/>
                <w:b/>
                <w:sz w:val="20"/>
                <w:szCs w:val="20"/>
                <w:lang w:val="en-US"/>
              </w:rPr>
            </w:pPr>
            <w:r w:rsidRPr="00C54618">
              <w:rPr>
                <w:rFonts w:ascii="Times New Roman" w:hAnsi="Times New Roman" w:cs="Times New Roman"/>
                <w:b/>
                <w:sz w:val="20"/>
                <w:szCs w:val="20"/>
                <w:lang w:val="en-US"/>
              </w:rPr>
              <w:t>Household composition*</w:t>
            </w:r>
          </w:p>
        </w:tc>
        <w:tc>
          <w:tcPr>
            <w:tcW w:w="7513" w:type="dxa"/>
            <w:gridSpan w:val="4"/>
          </w:tcPr>
          <w:p w:rsidR="00CA4FD3" w:rsidRPr="00C54618" w:rsidRDefault="00CA4FD3" w:rsidP="00C54618">
            <w:pPr>
              <w:keepNext/>
              <w:jc w:val="center"/>
              <w:rPr>
                <w:rFonts w:ascii="Times New Roman" w:hAnsi="Times New Roman" w:cs="Times New Roman"/>
                <w:b/>
                <w:sz w:val="20"/>
                <w:szCs w:val="20"/>
                <w:lang w:val="en-US"/>
              </w:rPr>
            </w:pPr>
            <w:r w:rsidRPr="00C54618">
              <w:rPr>
                <w:rFonts w:ascii="Times New Roman" w:hAnsi="Times New Roman" w:cs="Times New Roman"/>
                <w:b/>
                <w:sz w:val="20"/>
                <w:szCs w:val="20"/>
                <w:lang w:val="en-US"/>
              </w:rPr>
              <w:t>Probability of ESBL-EC acquisition according to the profile of the initial carrier (%) [95% CI]</w:t>
            </w:r>
          </w:p>
        </w:tc>
      </w:tr>
      <w:tr w:rsidR="00CA4FD3" w:rsidRPr="00C54618" w:rsidTr="00C3345A">
        <w:trPr>
          <w:trHeight w:val="269"/>
        </w:trPr>
        <w:tc>
          <w:tcPr>
            <w:tcW w:w="1413" w:type="dxa"/>
          </w:tcPr>
          <w:p w:rsidR="00CA4FD3" w:rsidRPr="00C54618" w:rsidRDefault="00CA4FD3" w:rsidP="00C54618">
            <w:pPr>
              <w:keepNext/>
              <w:jc w:val="center"/>
              <w:rPr>
                <w:rFonts w:ascii="Times New Roman" w:hAnsi="Times New Roman" w:cs="Times New Roman"/>
                <w:sz w:val="16"/>
                <w:szCs w:val="16"/>
                <w:lang w:val="en-US"/>
              </w:rPr>
            </w:pPr>
          </w:p>
        </w:tc>
        <w:tc>
          <w:tcPr>
            <w:tcW w:w="2268"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woman</w:t>
            </w:r>
          </w:p>
        </w:tc>
        <w:tc>
          <w:tcPr>
            <w:tcW w:w="1701"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man</w:t>
            </w:r>
          </w:p>
        </w:tc>
        <w:tc>
          <w:tcPr>
            <w:tcW w:w="1701"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child</w:t>
            </w:r>
          </w:p>
        </w:tc>
        <w:tc>
          <w:tcPr>
            <w:tcW w:w="1843"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baby</w:t>
            </w:r>
          </w:p>
        </w:tc>
      </w:tr>
      <w:tr w:rsidR="00CA4FD3" w:rsidRPr="00C54618" w:rsidTr="00C3345A">
        <w:trPr>
          <w:trHeight w:val="258"/>
        </w:trPr>
        <w:tc>
          <w:tcPr>
            <w:tcW w:w="1413"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b0c0</w:t>
            </w:r>
          </w:p>
        </w:tc>
        <w:tc>
          <w:tcPr>
            <w:tcW w:w="2268"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8 [1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6-1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9]</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2</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2 [2</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1-2</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4]</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c>
          <w:tcPr>
            <w:tcW w:w="1843"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r>
      <w:tr w:rsidR="00CA4FD3" w:rsidRPr="00C54618" w:rsidTr="00C3345A">
        <w:trPr>
          <w:trHeight w:val="258"/>
        </w:trPr>
        <w:tc>
          <w:tcPr>
            <w:tcW w:w="1413"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b0c1</w:t>
            </w:r>
          </w:p>
        </w:tc>
        <w:tc>
          <w:tcPr>
            <w:tcW w:w="2268"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7</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6 [7</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3-7</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9]</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7</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2 [6</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9-7</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5]</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11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4 [11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0-11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8]</w:t>
            </w:r>
          </w:p>
        </w:tc>
        <w:tc>
          <w:tcPr>
            <w:tcW w:w="1843"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r>
      <w:tr w:rsidR="00CA4FD3" w:rsidRPr="00C54618" w:rsidTr="00C3345A">
        <w:trPr>
          <w:trHeight w:val="258"/>
        </w:trPr>
        <w:tc>
          <w:tcPr>
            <w:tcW w:w="1413"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b1c0</w:t>
            </w:r>
          </w:p>
        </w:tc>
        <w:tc>
          <w:tcPr>
            <w:tcW w:w="2268"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21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5 [21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0-21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9]</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18</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1 [17</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6-18</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5]</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c>
          <w:tcPr>
            <w:tcW w:w="1843"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22</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1[21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6-22</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5]</w:t>
            </w:r>
          </w:p>
        </w:tc>
      </w:tr>
      <w:tr w:rsidR="00CA4FD3" w:rsidRPr="00C54618" w:rsidTr="00C3345A">
        <w:trPr>
          <w:trHeight w:val="258"/>
        </w:trPr>
        <w:tc>
          <w:tcPr>
            <w:tcW w:w="1413" w:type="dxa"/>
          </w:tcPr>
          <w:p w:rsidR="00CA4FD3" w:rsidRPr="00C54618" w:rsidRDefault="00CA4FD3" w:rsidP="00C54618">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b1c1</w:t>
            </w:r>
          </w:p>
        </w:tc>
        <w:tc>
          <w:tcPr>
            <w:tcW w:w="2268"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29</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6 [29</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1-30</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2]</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26</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1 [25</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6-26</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6]</w:t>
            </w:r>
          </w:p>
        </w:tc>
        <w:tc>
          <w:tcPr>
            <w:tcW w:w="1701"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31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0 [30</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5-31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5]</w:t>
            </w:r>
          </w:p>
        </w:tc>
        <w:tc>
          <w:tcPr>
            <w:tcW w:w="1843" w:type="dxa"/>
          </w:tcPr>
          <w:p w:rsidR="00CA4FD3" w:rsidRPr="00C54618" w:rsidRDefault="00CA4FD3" w:rsidP="00C54618">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31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8 [31</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2-32</w:t>
            </w:r>
            <w:r w:rsidR="002C7656">
              <w:rPr>
                <w:rFonts w:ascii="Times New Roman" w:hAnsi="Times New Roman" w:cs="Times New Roman"/>
                <w:sz w:val="16"/>
                <w:szCs w:val="16"/>
                <w:lang w:val="en-US"/>
              </w:rPr>
              <w:t>.</w:t>
            </w:r>
            <w:r w:rsidRPr="00C54618">
              <w:rPr>
                <w:rFonts w:ascii="Times New Roman" w:hAnsi="Times New Roman" w:cs="Times New Roman"/>
                <w:sz w:val="16"/>
                <w:szCs w:val="16"/>
                <w:lang w:val="en-US"/>
              </w:rPr>
              <w:t>3]</w:t>
            </w:r>
          </w:p>
        </w:tc>
      </w:tr>
    </w:tbl>
    <w:p w:rsidR="00CA4FD3" w:rsidRPr="002F3EED" w:rsidRDefault="00CA4FD3" w:rsidP="00CA4FD3">
      <w:pPr>
        <w:pStyle w:val="Lgende"/>
        <w:keepNext/>
        <w:jc w:val="both"/>
        <w:rPr>
          <w:sz w:val="20"/>
          <w:szCs w:val="20"/>
          <w:lang w:val="en-US"/>
        </w:rPr>
      </w:pPr>
      <w:r w:rsidRPr="002F3EED">
        <w:rPr>
          <w:rFonts w:ascii="Times New Roman" w:hAnsi="Times New Roman" w:cs="Times New Roman"/>
          <w:b/>
          <w:i w:val="0"/>
          <w:color w:val="000000" w:themeColor="text1"/>
          <w:sz w:val="20"/>
          <w:szCs w:val="20"/>
          <w:lang w:val="en-US"/>
        </w:rPr>
        <w:t>Supplementary Table S1</w:t>
      </w:r>
      <w:r w:rsidRPr="002F3EED">
        <w:rPr>
          <w:rFonts w:ascii="Times New Roman" w:hAnsi="Times New Roman" w:cs="Times New Roman"/>
          <w:color w:val="000000" w:themeColor="text1"/>
          <w:sz w:val="20"/>
          <w:szCs w:val="20"/>
          <w:lang w:val="en-US"/>
        </w:rPr>
        <w:t>.</w:t>
      </w:r>
      <w:r w:rsidRPr="002F3EED">
        <w:rPr>
          <w:rFonts w:ascii="Times New Roman" w:hAnsi="Times New Roman" w:cs="Times New Roman"/>
          <w:i w:val="0"/>
          <w:color w:val="000000" w:themeColor="text1"/>
          <w:sz w:val="20"/>
          <w:szCs w:val="20"/>
          <w:lang w:val="en-GB"/>
        </w:rPr>
        <w:t xml:space="preserve"> Results of univariate uncertainty analysis where the duration of intestinal colonisation was 36 days (vs 111 days).</w:t>
      </w:r>
    </w:p>
    <w:p w:rsidR="00CA4FD3" w:rsidRDefault="00CA4FD3" w:rsidP="008C5DFA">
      <w:pPr>
        <w:pStyle w:val="Lgende"/>
        <w:keepNext/>
        <w:spacing w:after="0"/>
        <w:rPr>
          <w:sz w:val="20"/>
          <w:szCs w:val="20"/>
          <w:lang w:val="en-US"/>
        </w:rPr>
      </w:pPr>
      <w:r w:rsidRPr="002F3EED">
        <w:rPr>
          <w:sz w:val="20"/>
          <w:szCs w:val="20"/>
          <w:lang w:val="en-US"/>
        </w:rPr>
        <w:t>*b0c0- 2 adults without children, b0c1- 2 adults+ child, b1c0- 2 adults + baby, b1c1- 2 adults+ child+ baby.</w:t>
      </w:r>
    </w:p>
    <w:p w:rsidR="008C5DFA" w:rsidRPr="008C5DFA" w:rsidRDefault="008C5DFA" w:rsidP="008C5DFA">
      <w:pPr>
        <w:rPr>
          <w:lang w:val="en-US"/>
        </w:rPr>
      </w:pPr>
    </w:p>
    <w:p w:rsidR="00CA4FD3" w:rsidRPr="002F3EED" w:rsidRDefault="00CA4FD3" w:rsidP="00CA4FD3">
      <w:pPr>
        <w:pStyle w:val="Paragraphedeliste"/>
        <w:numPr>
          <w:ilvl w:val="0"/>
          <w:numId w:val="1"/>
        </w:numPr>
        <w:rPr>
          <w:rFonts w:ascii="Times New Roman" w:hAnsi="Times New Roman" w:cs="Times New Roman"/>
          <w:sz w:val="20"/>
          <w:szCs w:val="20"/>
          <w:lang w:val="en-GB"/>
        </w:rPr>
      </w:pPr>
      <w:r w:rsidRPr="002F3EED">
        <w:rPr>
          <w:rFonts w:ascii="Times New Roman" w:hAnsi="Times New Roman" w:cs="Times New Roman"/>
          <w:b/>
          <w:i/>
          <w:sz w:val="20"/>
          <w:szCs w:val="20"/>
          <w:lang w:val="en-GB"/>
        </w:rPr>
        <w:t>Impact of the lower duration of hand contamination with ESBL-EC.</w:t>
      </w:r>
    </w:p>
    <w:p w:rsidR="00CA4FD3" w:rsidRPr="002F3EED" w:rsidRDefault="00CA4FD3" w:rsidP="00CA4FD3">
      <w:pPr>
        <w:spacing w:line="240" w:lineRule="auto"/>
        <w:jc w:val="both"/>
        <w:rPr>
          <w:rFonts w:ascii="Times New Roman" w:hAnsi="Times New Roman" w:cs="Times New Roman"/>
          <w:sz w:val="20"/>
          <w:szCs w:val="20"/>
          <w:lang w:val="en-GB"/>
        </w:rPr>
      </w:pPr>
      <w:r w:rsidRPr="002F3EED">
        <w:rPr>
          <w:rFonts w:ascii="Times New Roman" w:hAnsi="Times New Roman" w:cs="Times New Roman"/>
          <w:sz w:val="20"/>
          <w:szCs w:val="20"/>
          <w:lang w:val="en-US"/>
        </w:rPr>
        <w:t xml:space="preserve">We investigated a modified model, in which </w:t>
      </w:r>
      <w:r w:rsidRPr="002F3EED">
        <w:rPr>
          <w:rFonts w:ascii="Times New Roman" w:hAnsi="Times New Roman" w:cs="Times New Roman"/>
          <w:sz w:val="20"/>
          <w:szCs w:val="20"/>
          <w:lang w:val="en-GB"/>
        </w:rPr>
        <w:t xml:space="preserve">the duration of hand contamination with ESBL-EC less than </w:t>
      </w:r>
      <w:proofErr w:type="gramStart"/>
      <w:r w:rsidRPr="002F3EED">
        <w:rPr>
          <w:rFonts w:ascii="Times New Roman" w:hAnsi="Times New Roman" w:cs="Times New Roman"/>
          <w:sz w:val="20"/>
          <w:szCs w:val="20"/>
          <w:lang w:val="en-GB"/>
        </w:rPr>
        <w:t>one hour</w:t>
      </w:r>
      <w:proofErr w:type="gramEnd"/>
      <w:r w:rsidRPr="002F3EED">
        <w:rPr>
          <w:rFonts w:ascii="Times New Roman" w:hAnsi="Times New Roman" w:cs="Times New Roman"/>
          <w:sz w:val="20"/>
          <w:szCs w:val="20"/>
          <w:lang w:val="en-GB"/>
        </w:rPr>
        <w:t xml:space="preserve"> vs less than one day in the central analysis. </w:t>
      </w:r>
    </w:p>
    <w:p w:rsidR="00CA4FD3" w:rsidRPr="002F3EED" w:rsidRDefault="00CA4FD3" w:rsidP="00CA4FD3">
      <w:pPr>
        <w:rPr>
          <w:rFonts w:ascii="Times New Roman" w:hAnsi="Times New Roman" w:cs="Times New Roman"/>
          <w:b/>
          <w:i/>
          <w:sz w:val="20"/>
          <w:szCs w:val="20"/>
          <w:lang w:val="en-GB"/>
        </w:rPr>
      </w:pPr>
      <w:r w:rsidRPr="002F3EED">
        <w:rPr>
          <w:rFonts w:ascii="Times New Roman" w:hAnsi="Times New Roman" w:cs="Times New Roman"/>
          <w:b/>
          <w:i/>
          <w:sz w:val="20"/>
          <w:szCs w:val="20"/>
          <w:lang w:val="en-GB"/>
        </w:rPr>
        <w:t>Results</w:t>
      </w:r>
    </w:p>
    <w:p w:rsidR="00CA4FD3" w:rsidRDefault="00CA4FD3" w:rsidP="00CA4FD3">
      <w:pPr>
        <w:spacing w:line="240" w:lineRule="auto"/>
        <w:jc w:val="both"/>
        <w:rPr>
          <w:rFonts w:ascii="Times New Roman" w:hAnsi="Times New Roman" w:cs="Times New Roman"/>
          <w:sz w:val="20"/>
          <w:szCs w:val="20"/>
          <w:lang w:val="en-GB"/>
        </w:rPr>
      </w:pPr>
      <w:r w:rsidRPr="002F3EED">
        <w:rPr>
          <w:rFonts w:ascii="Times New Roman" w:hAnsi="Times New Roman" w:cs="Times New Roman"/>
          <w:sz w:val="20"/>
          <w:szCs w:val="20"/>
          <w:lang w:val="en-GB"/>
        </w:rPr>
        <w:t>Lower duration of hand contamination reduced the overall probability of ESBL-EC acquisition in a household. In a 2-persons household, it was 2</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8% and 3</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 xml:space="preserve">5% when the index person was a woman or a man, respectively (Supplementary Table S2). In the household composed of </w:t>
      </w:r>
      <w:proofErr w:type="gramStart"/>
      <w:r w:rsidRPr="002F3EED">
        <w:rPr>
          <w:rFonts w:ascii="Times New Roman" w:hAnsi="Times New Roman" w:cs="Times New Roman"/>
          <w:sz w:val="20"/>
          <w:szCs w:val="20"/>
          <w:lang w:val="en-GB"/>
        </w:rPr>
        <w:t>2</w:t>
      </w:r>
      <w:proofErr w:type="gramEnd"/>
      <w:r w:rsidRPr="002F3EED">
        <w:rPr>
          <w:rFonts w:ascii="Times New Roman" w:hAnsi="Times New Roman" w:cs="Times New Roman"/>
          <w:sz w:val="20"/>
          <w:szCs w:val="20"/>
          <w:lang w:val="en-GB"/>
        </w:rPr>
        <w:t xml:space="preserve"> adults and a child the probability of ESBL-EC acquisition varied from 10</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2 to 18</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0% and was the highest when the initial carrier was the child. In the household composed of two adults and a baby, the probability of acquisition ranged from 25</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2 to 40</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7% and was the highest when the initial carrier was the baby. In the household composed of four persons, the probability of ESBL-EC acquisition varied from 30</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0 to 48</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 xml:space="preserve">2% and was the highest when the index patient was the baby. </w:t>
      </w:r>
    </w:p>
    <w:p w:rsidR="008C5DFA" w:rsidRPr="002F3EED" w:rsidRDefault="008C5DFA" w:rsidP="008C5DFA">
      <w:pPr>
        <w:pStyle w:val="Lgende"/>
        <w:keepNext/>
        <w:jc w:val="both"/>
        <w:rPr>
          <w:sz w:val="20"/>
          <w:szCs w:val="20"/>
          <w:lang w:val="en-US"/>
        </w:rPr>
      </w:pPr>
      <w:r w:rsidRPr="002F3EED">
        <w:rPr>
          <w:rFonts w:ascii="Times New Roman" w:hAnsi="Times New Roman" w:cs="Times New Roman"/>
          <w:b/>
          <w:i w:val="0"/>
          <w:color w:val="000000" w:themeColor="text1"/>
          <w:sz w:val="20"/>
          <w:szCs w:val="20"/>
          <w:lang w:val="en-US"/>
        </w:rPr>
        <w:t>Supplementary Table S2.</w:t>
      </w:r>
      <w:r w:rsidRPr="002F3EED">
        <w:rPr>
          <w:rFonts w:ascii="Times New Roman" w:hAnsi="Times New Roman" w:cs="Times New Roman"/>
          <w:i w:val="0"/>
          <w:color w:val="000000" w:themeColor="text1"/>
          <w:sz w:val="20"/>
          <w:szCs w:val="20"/>
          <w:lang w:val="en-GB"/>
        </w:rPr>
        <w:t xml:space="preserve"> Results of univariate uncertainty analysis where the duration of hand contamination with ESBL-EC was less than one hour (vs. less than 1 day in the base case analysis). </w:t>
      </w:r>
    </w:p>
    <w:tbl>
      <w:tblPr>
        <w:tblStyle w:val="Grilledutableau"/>
        <w:tblpPr w:leftFromText="141" w:rightFromText="141" w:vertAnchor="text" w:horzAnchor="margin" w:tblpY="18"/>
        <w:tblW w:w="9067" w:type="dxa"/>
        <w:tblLayout w:type="fixed"/>
        <w:tblLook w:val="04A0" w:firstRow="1" w:lastRow="0" w:firstColumn="1" w:lastColumn="0" w:noHBand="0" w:noVBand="1"/>
      </w:tblPr>
      <w:tblGrid>
        <w:gridCol w:w="1413"/>
        <w:gridCol w:w="2410"/>
        <w:gridCol w:w="1701"/>
        <w:gridCol w:w="1701"/>
        <w:gridCol w:w="1842"/>
      </w:tblGrid>
      <w:tr w:rsidR="008C5DFA" w:rsidRPr="008C5DFA" w:rsidTr="008C5DFA">
        <w:trPr>
          <w:trHeight w:val="517"/>
        </w:trPr>
        <w:tc>
          <w:tcPr>
            <w:tcW w:w="1413" w:type="dxa"/>
          </w:tcPr>
          <w:p w:rsidR="008C5DFA" w:rsidRPr="00C54618" w:rsidRDefault="008C5DFA" w:rsidP="008C5DFA">
            <w:pPr>
              <w:keepNext/>
              <w:jc w:val="center"/>
              <w:rPr>
                <w:rFonts w:ascii="Times New Roman" w:hAnsi="Times New Roman" w:cs="Times New Roman"/>
                <w:b/>
                <w:sz w:val="20"/>
                <w:szCs w:val="20"/>
                <w:lang w:val="en-US"/>
              </w:rPr>
            </w:pPr>
            <w:r w:rsidRPr="00C54618">
              <w:rPr>
                <w:rFonts w:ascii="Times New Roman" w:hAnsi="Times New Roman" w:cs="Times New Roman"/>
                <w:b/>
                <w:sz w:val="20"/>
                <w:szCs w:val="20"/>
                <w:lang w:val="en-US"/>
              </w:rPr>
              <w:t>Household composition*</w:t>
            </w:r>
          </w:p>
        </w:tc>
        <w:tc>
          <w:tcPr>
            <w:tcW w:w="7654" w:type="dxa"/>
            <w:gridSpan w:val="4"/>
          </w:tcPr>
          <w:p w:rsidR="008C5DFA" w:rsidRPr="00C54618" w:rsidRDefault="008C5DFA" w:rsidP="008C5DFA">
            <w:pPr>
              <w:keepNext/>
              <w:jc w:val="center"/>
              <w:rPr>
                <w:rFonts w:ascii="Times New Roman" w:hAnsi="Times New Roman" w:cs="Times New Roman"/>
                <w:b/>
                <w:sz w:val="20"/>
                <w:szCs w:val="20"/>
                <w:lang w:val="en-US"/>
              </w:rPr>
            </w:pPr>
            <w:r w:rsidRPr="00C54618">
              <w:rPr>
                <w:rFonts w:ascii="Times New Roman" w:hAnsi="Times New Roman" w:cs="Times New Roman"/>
                <w:b/>
                <w:sz w:val="20"/>
                <w:szCs w:val="20"/>
                <w:lang w:val="en-US"/>
              </w:rPr>
              <w:t>Probability of ESBL-EC acquisition according to the profile of the initial carrier (%)</w:t>
            </w:r>
            <w:r>
              <w:rPr>
                <w:rFonts w:ascii="Times New Roman" w:hAnsi="Times New Roman" w:cs="Times New Roman"/>
                <w:b/>
                <w:sz w:val="20"/>
                <w:szCs w:val="20"/>
                <w:lang w:val="en-US"/>
              </w:rPr>
              <w:t xml:space="preserve"> </w:t>
            </w:r>
            <w:r w:rsidRPr="00C54618">
              <w:rPr>
                <w:rFonts w:ascii="Times New Roman" w:hAnsi="Times New Roman" w:cs="Times New Roman"/>
                <w:b/>
                <w:sz w:val="20"/>
                <w:szCs w:val="20"/>
                <w:lang w:val="en-US"/>
              </w:rPr>
              <w:t>[95% CI]</w:t>
            </w:r>
          </w:p>
        </w:tc>
      </w:tr>
      <w:tr w:rsidR="008C5DFA" w:rsidRPr="00C54618" w:rsidTr="008C5DFA">
        <w:trPr>
          <w:trHeight w:val="269"/>
        </w:trPr>
        <w:tc>
          <w:tcPr>
            <w:tcW w:w="1413" w:type="dxa"/>
          </w:tcPr>
          <w:p w:rsidR="008C5DFA" w:rsidRPr="00C54618" w:rsidRDefault="008C5DFA" w:rsidP="008C5DFA">
            <w:pPr>
              <w:keepNext/>
              <w:jc w:val="center"/>
              <w:rPr>
                <w:rFonts w:ascii="Times New Roman" w:hAnsi="Times New Roman" w:cs="Times New Roman"/>
                <w:b/>
                <w:sz w:val="16"/>
                <w:szCs w:val="16"/>
                <w:lang w:val="en-US"/>
              </w:rPr>
            </w:pPr>
          </w:p>
        </w:tc>
        <w:tc>
          <w:tcPr>
            <w:tcW w:w="2410" w:type="dxa"/>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woman</w:t>
            </w:r>
          </w:p>
        </w:tc>
        <w:tc>
          <w:tcPr>
            <w:tcW w:w="1701" w:type="dxa"/>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man</w:t>
            </w:r>
          </w:p>
        </w:tc>
        <w:tc>
          <w:tcPr>
            <w:tcW w:w="1701" w:type="dxa"/>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child</w:t>
            </w:r>
          </w:p>
        </w:tc>
        <w:tc>
          <w:tcPr>
            <w:tcW w:w="1842" w:type="dxa"/>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baby</w:t>
            </w:r>
          </w:p>
        </w:tc>
      </w:tr>
      <w:tr w:rsidR="008C5DFA" w:rsidRPr="00C54618" w:rsidTr="008C5DFA">
        <w:trPr>
          <w:trHeight w:val="258"/>
        </w:trPr>
        <w:tc>
          <w:tcPr>
            <w:tcW w:w="1413" w:type="dxa"/>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b0c0</w:t>
            </w:r>
          </w:p>
        </w:tc>
        <w:tc>
          <w:tcPr>
            <w:tcW w:w="2410"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2.8 [2.6-3.0]</w:t>
            </w:r>
          </w:p>
        </w:tc>
        <w:tc>
          <w:tcPr>
            <w:tcW w:w="1701"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3.5 [3.3-3.7]</w:t>
            </w:r>
          </w:p>
        </w:tc>
        <w:tc>
          <w:tcPr>
            <w:tcW w:w="1701"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c>
          <w:tcPr>
            <w:tcW w:w="1842"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r>
      <w:tr w:rsidR="008C5DFA" w:rsidRPr="00C54618" w:rsidTr="008C5DFA">
        <w:trPr>
          <w:trHeight w:val="258"/>
        </w:trPr>
        <w:tc>
          <w:tcPr>
            <w:tcW w:w="1413" w:type="dxa"/>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b0c1</w:t>
            </w:r>
          </w:p>
        </w:tc>
        <w:tc>
          <w:tcPr>
            <w:tcW w:w="2410"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10.8 [10.4-11.1]</w:t>
            </w:r>
          </w:p>
        </w:tc>
        <w:tc>
          <w:tcPr>
            <w:tcW w:w="1701"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10.2 [9.8-10.5]</w:t>
            </w:r>
          </w:p>
        </w:tc>
        <w:tc>
          <w:tcPr>
            <w:tcW w:w="1701"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18.0 [17.5-18.4]</w:t>
            </w:r>
          </w:p>
        </w:tc>
        <w:tc>
          <w:tcPr>
            <w:tcW w:w="1842" w:type="dxa"/>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r>
      <w:tr w:rsidR="008C5DFA" w:rsidRPr="00C54618" w:rsidTr="008C5DFA">
        <w:trPr>
          <w:trHeight w:val="258"/>
        </w:trPr>
        <w:tc>
          <w:tcPr>
            <w:tcW w:w="1413" w:type="dxa"/>
            <w:shd w:val="clear" w:color="auto" w:fill="auto"/>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b1c0</w:t>
            </w:r>
          </w:p>
        </w:tc>
        <w:tc>
          <w:tcPr>
            <w:tcW w:w="2410"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34.5 [33.9-35.0]</w:t>
            </w:r>
          </w:p>
        </w:tc>
        <w:tc>
          <w:tcPr>
            <w:tcW w:w="1701"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25.2 [24.7-25.7]</w:t>
            </w:r>
          </w:p>
        </w:tc>
        <w:tc>
          <w:tcPr>
            <w:tcW w:w="1701"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w:t>
            </w:r>
          </w:p>
        </w:tc>
        <w:tc>
          <w:tcPr>
            <w:tcW w:w="1842"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40.7 [40.1-41.2]</w:t>
            </w:r>
          </w:p>
        </w:tc>
      </w:tr>
      <w:tr w:rsidR="008C5DFA" w:rsidRPr="00C54618" w:rsidTr="008C5DFA">
        <w:trPr>
          <w:trHeight w:val="258"/>
        </w:trPr>
        <w:tc>
          <w:tcPr>
            <w:tcW w:w="1413" w:type="dxa"/>
            <w:shd w:val="clear" w:color="auto" w:fill="auto"/>
          </w:tcPr>
          <w:p w:rsidR="008C5DFA" w:rsidRPr="00C54618" w:rsidRDefault="008C5DFA" w:rsidP="008C5DFA">
            <w:pPr>
              <w:keepNext/>
              <w:jc w:val="center"/>
              <w:rPr>
                <w:rFonts w:ascii="Times New Roman" w:hAnsi="Times New Roman" w:cs="Times New Roman"/>
                <w:b/>
                <w:sz w:val="16"/>
                <w:szCs w:val="16"/>
                <w:lang w:val="en-US"/>
              </w:rPr>
            </w:pPr>
            <w:r w:rsidRPr="00C54618">
              <w:rPr>
                <w:rFonts w:ascii="Times New Roman" w:hAnsi="Times New Roman" w:cs="Times New Roman"/>
                <w:b/>
                <w:sz w:val="16"/>
                <w:szCs w:val="16"/>
                <w:lang w:val="en-US"/>
              </w:rPr>
              <w:t>b1c1</w:t>
            </w:r>
          </w:p>
        </w:tc>
        <w:tc>
          <w:tcPr>
            <w:tcW w:w="2410"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40.4 [39.8-40.9]</w:t>
            </w:r>
          </w:p>
        </w:tc>
        <w:tc>
          <w:tcPr>
            <w:tcW w:w="1701"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30.0 [29.5-30.5]</w:t>
            </w:r>
          </w:p>
        </w:tc>
        <w:tc>
          <w:tcPr>
            <w:tcW w:w="1701"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37.0 [36.4-37.5]</w:t>
            </w:r>
          </w:p>
        </w:tc>
        <w:tc>
          <w:tcPr>
            <w:tcW w:w="1842" w:type="dxa"/>
            <w:shd w:val="clear" w:color="auto" w:fill="auto"/>
          </w:tcPr>
          <w:p w:rsidR="008C5DFA" w:rsidRPr="00C54618" w:rsidRDefault="008C5DFA" w:rsidP="008C5DFA">
            <w:pPr>
              <w:keepNext/>
              <w:jc w:val="center"/>
              <w:rPr>
                <w:rFonts w:ascii="Times New Roman" w:hAnsi="Times New Roman" w:cs="Times New Roman"/>
                <w:sz w:val="16"/>
                <w:szCs w:val="16"/>
                <w:lang w:val="en-US"/>
              </w:rPr>
            </w:pPr>
            <w:r w:rsidRPr="00C54618">
              <w:rPr>
                <w:rFonts w:ascii="Times New Roman" w:hAnsi="Times New Roman" w:cs="Times New Roman"/>
                <w:sz w:val="16"/>
                <w:szCs w:val="16"/>
                <w:lang w:val="en-US"/>
              </w:rPr>
              <w:t>48.2 [47.6-48.8]</w:t>
            </w:r>
          </w:p>
        </w:tc>
      </w:tr>
    </w:tbl>
    <w:p w:rsidR="00CA4FD3" w:rsidRPr="002F3EED" w:rsidRDefault="00CA4FD3" w:rsidP="00CA4FD3">
      <w:pPr>
        <w:pStyle w:val="Lgende"/>
        <w:keepNext/>
        <w:rPr>
          <w:sz w:val="20"/>
          <w:szCs w:val="20"/>
          <w:lang w:val="en-US"/>
        </w:rPr>
      </w:pPr>
      <w:r w:rsidRPr="002F3EED">
        <w:rPr>
          <w:sz w:val="20"/>
          <w:szCs w:val="20"/>
          <w:lang w:val="en-US"/>
        </w:rPr>
        <w:t>*b0c0- 2 adults without children, b0c1- 2 adults+ child, b1c0- 2 adults + baby, b1c1- 2 adults+ child+ baby.</w:t>
      </w:r>
    </w:p>
    <w:p w:rsidR="00CA4FD3" w:rsidRPr="002F3EED" w:rsidRDefault="00CA4FD3" w:rsidP="00CA4FD3">
      <w:pPr>
        <w:rPr>
          <w:rFonts w:ascii="Times New Roman" w:hAnsi="Times New Roman" w:cs="Times New Roman"/>
          <w:b/>
          <w:i/>
          <w:sz w:val="20"/>
          <w:szCs w:val="20"/>
          <w:lang w:val="en-US"/>
        </w:rPr>
      </w:pPr>
    </w:p>
    <w:p w:rsidR="00CA4FD3" w:rsidRPr="002F3EED" w:rsidRDefault="00CA4FD3" w:rsidP="00CA4FD3">
      <w:pPr>
        <w:pStyle w:val="Paragraphedeliste"/>
        <w:numPr>
          <w:ilvl w:val="0"/>
          <w:numId w:val="1"/>
        </w:numPr>
        <w:rPr>
          <w:rFonts w:ascii="Times New Roman" w:hAnsi="Times New Roman" w:cs="Times New Roman"/>
          <w:b/>
          <w:i/>
          <w:sz w:val="20"/>
          <w:szCs w:val="20"/>
          <w:lang w:val="en-GB"/>
        </w:rPr>
      </w:pPr>
      <w:bookmarkStart w:id="0" w:name="_GoBack"/>
      <w:bookmarkEnd w:id="0"/>
      <w:r w:rsidRPr="002F3EED">
        <w:rPr>
          <w:rFonts w:ascii="Times New Roman" w:hAnsi="Times New Roman" w:cs="Times New Roman"/>
          <w:b/>
          <w:i/>
          <w:sz w:val="20"/>
          <w:szCs w:val="20"/>
          <w:lang w:val="en-GB"/>
        </w:rPr>
        <w:lastRenderedPageBreak/>
        <w:t xml:space="preserve">Impact of the higher probability of background colonisation and impact of improvement in HH. </w:t>
      </w:r>
    </w:p>
    <w:p w:rsidR="00CA4FD3" w:rsidRPr="002F3EED" w:rsidRDefault="00CA4FD3" w:rsidP="00CA4FD3">
      <w:pPr>
        <w:spacing w:line="240" w:lineRule="auto"/>
        <w:jc w:val="both"/>
        <w:rPr>
          <w:rFonts w:ascii="Times New Roman" w:hAnsi="Times New Roman" w:cs="Times New Roman"/>
          <w:sz w:val="20"/>
          <w:szCs w:val="20"/>
          <w:lang w:val="en-GB"/>
        </w:rPr>
      </w:pPr>
      <w:r w:rsidRPr="002F3EED">
        <w:rPr>
          <w:rFonts w:ascii="Times New Roman" w:hAnsi="Times New Roman" w:cs="Times New Roman"/>
          <w:sz w:val="20"/>
          <w:szCs w:val="20"/>
          <w:lang w:val="en-GB"/>
        </w:rPr>
        <w:t>We also investigated the model in which the daily probability of background colonisation (</w:t>
      </w:r>
      <w:proofErr w:type="spellStart"/>
      <w:r w:rsidRPr="002F3EED">
        <w:rPr>
          <w:i/>
          <w:sz w:val="20"/>
          <w:szCs w:val="20"/>
          <w:lang w:val="en-GB"/>
        </w:rPr>
        <w:t>p</w:t>
      </w:r>
      <w:r w:rsidRPr="002F3EED">
        <w:rPr>
          <w:i/>
          <w:sz w:val="20"/>
          <w:szCs w:val="20"/>
          <w:vertAlign w:val="subscript"/>
          <w:lang w:val="en-GB"/>
        </w:rPr>
        <w:t>col</w:t>
      </w:r>
      <w:proofErr w:type="gramStart"/>
      <w:r w:rsidRPr="002F3EED">
        <w:rPr>
          <w:i/>
          <w:sz w:val="20"/>
          <w:szCs w:val="20"/>
          <w:vertAlign w:val="subscript"/>
          <w:lang w:val="en-GB"/>
        </w:rPr>
        <w:t>,env</w:t>
      </w:r>
      <w:proofErr w:type="spellEnd"/>
      <w:proofErr w:type="gramEnd"/>
      <w:r w:rsidRPr="002F3EED">
        <w:rPr>
          <w:rFonts w:ascii="Times New Roman" w:hAnsi="Times New Roman" w:cs="Times New Roman"/>
          <w:sz w:val="20"/>
          <w:szCs w:val="20"/>
          <w:lang w:val="en-GB"/>
        </w:rPr>
        <w:t xml:space="preserve">) was higher than in our main analysis. </w:t>
      </w:r>
    </w:p>
    <w:p w:rsidR="00CA4FD3" w:rsidRPr="002F3EED" w:rsidRDefault="00CA4FD3" w:rsidP="00CA4FD3">
      <w:pPr>
        <w:rPr>
          <w:rFonts w:ascii="Times New Roman" w:hAnsi="Times New Roman" w:cs="Times New Roman"/>
          <w:b/>
          <w:i/>
          <w:sz w:val="20"/>
          <w:szCs w:val="20"/>
          <w:lang w:val="en-GB"/>
        </w:rPr>
      </w:pPr>
      <w:r w:rsidRPr="002F3EED">
        <w:rPr>
          <w:rFonts w:ascii="Times New Roman" w:hAnsi="Times New Roman" w:cs="Times New Roman"/>
          <w:b/>
          <w:i/>
          <w:sz w:val="20"/>
          <w:szCs w:val="20"/>
          <w:lang w:val="en-GB"/>
        </w:rPr>
        <w:t>Results</w:t>
      </w:r>
    </w:p>
    <w:p w:rsidR="00CA4FD3" w:rsidRPr="002F3EED" w:rsidRDefault="00CA4FD3" w:rsidP="00CA4FD3">
      <w:pPr>
        <w:spacing w:line="240" w:lineRule="auto"/>
        <w:jc w:val="both"/>
        <w:rPr>
          <w:rFonts w:ascii="Times New Roman" w:hAnsi="Times New Roman" w:cs="Times New Roman"/>
          <w:sz w:val="20"/>
          <w:szCs w:val="20"/>
          <w:lang w:val="en-GB"/>
        </w:rPr>
      </w:pPr>
      <w:r w:rsidRPr="002F3EED">
        <w:rPr>
          <w:rFonts w:ascii="Times New Roman" w:hAnsi="Times New Roman" w:cs="Times New Roman"/>
          <w:sz w:val="20"/>
          <w:szCs w:val="20"/>
          <w:lang w:val="en-GB"/>
        </w:rPr>
        <w:t xml:space="preserve">Higher probability of background colonisation had a little impact on the probability of ESBL-PE acquisition (Supplementary Figure S1A). Moreover, with very high values of background colonisation, the acquisition originated from household members decreased, the persistence time of ESBL-EC colonisation increased, and the impact of improved HH by 50% was very limited. These results indicated that the environment became the most important source of household colonisation and HH improvement will not be sufficient to limit the spread of ESBL-EC (Supplementary Figure S1B). </w:t>
      </w:r>
    </w:p>
    <w:p w:rsidR="00CA4FD3" w:rsidRPr="002F3EED" w:rsidRDefault="00CA4FD3" w:rsidP="00CA4FD3">
      <w:pPr>
        <w:spacing w:line="240" w:lineRule="auto"/>
        <w:jc w:val="both"/>
        <w:rPr>
          <w:noProof/>
          <w:sz w:val="20"/>
          <w:szCs w:val="20"/>
          <w:lang w:val="en-US" w:eastAsia="fr-FR"/>
        </w:rPr>
      </w:pPr>
      <w:r w:rsidRPr="002F3EED">
        <w:rPr>
          <w:rFonts w:ascii="Times New Roman" w:hAnsi="Times New Roman" w:cs="Times New Roman"/>
          <w:b/>
          <w:color w:val="000000" w:themeColor="text1"/>
          <w:sz w:val="20"/>
          <w:szCs w:val="20"/>
          <w:lang w:val="en-US"/>
        </w:rPr>
        <w:t>Supplementary Figure S1A</w:t>
      </w:r>
      <w:r w:rsidRPr="002F3EED">
        <w:rPr>
          <w:rFonts w:ascii="Times New Roman" w:hAnsi="Times New Roman" w:cs="Times New Roman"/>
          <w:color w:val="000000" w:themeColor="text1"/>
          <w:sz w:val="20"/>
          <w:szCs w:val="20"/>
          <w:lang w:val="en-US"/>
        </w:rPr>
        <w:t>.</w:t>
      </w:r>
      <w:r w:rsidRPr="002F3EED">
        <w:rPr>
          <w:rFonts w:ascii="Times New Roman" w:hAnsi="Times New Roman" w:cs="Times New Roman"/>
          <w:color w:val="000000" w:themeColor="text1"/>
          <w:sz w:val="20"/>
          <w:szCs w:val="20"/>
          <w:lang w:val="en-GB"/>
        </w:rPr>
        <w:t xml:space="preserve"> Probability of ESBL-EC acquisition in the model where the daily probability of background colonisation was higher than 0.00015 (base case). Results presented for the 4-persons household, where the initial carrier was the woman.</w:t>
      </w:r>
      <w:r w:rsidRPr="002F3EED">
        <w:rPr>
          <w:noProof/>
          <w:sz w:val="20"/>
          <w:szCs w:val="20"/>
          <w:lang w:val="en-US" w:eastAsia="fr-FR"/>
        </w:rPr>
        <w:t xml:space="preserve"> </w:t>
      </w:r>
    </w:p>
    <w:p w:rsidR="00CA4FD3" w:rsidRPr="002F3EED" w:rsidRDefault="00CA4FD3" w:rsidP="00CA4FD3">
      <w:pPr>
        <w:jc w:val="center"/>
        <w:rPr>
          <w:rFonts w:ascii="Times New Roman" w:hAnsi="Times New Roman" w:cs="Times New Roman"/>
          <w:color w:val="000000" w:themeColor="text1"/>
          <w:sz w:val="20"/>
          <w:szCs w:val="20"/>
          <w:lang w:val="en-GB"/>
        </w:rPr>
      </w:pPr>
      <w:r w:rsidRPr="002F3EED">
        <w:rPr>
          <w:noProof/>
          <w:sz w:val="20"/>
          <w:szCs w:val="20"/>
          <w:lang w:eastAsia="fr-FR"/>
        </w:rPr>
        <w:drawing>
          <wp:inline distT="0" distB="0" distL="0" distR="0" wp14:anchorId="1476F76F" wp14:editId="32FF14EC">
            <wp:extent cx="4800600" cy="2676525"/>
            <wp:effectExtent l="0" t="0" r="0" b="9525"/>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CA4FD3" w:rsidRPr="002F3EED" w:rsidRDefault="00CA4FD3" w:rsidP="00CA4FD3">
      <w:pPr>
        <w:pStyle w:val="Lgende"/>
        <w:keepNext/>
        <w:jc w:val="both"/>
        <w:rPr>
          <w:rFonts w:ascii="Times New Roman" w:hAnsi="Times New Roman" w:cs="Times New Roman"/>
          <w:i w:val="0"/>
          <w:color w:val="000000" w:themeColor="text1"/>
          <w:sz w:val="20"/>
          <w:szCs w:val="20"/>
          <w:lang w:val="en-GB"/>
        </w:rPr>
      </w:pPr>
      <w:r w:rsidRPr="002F3EED">
        <w:rPr>
          <w:rFonts w:ascii="Times New Roman" w:hAnsi="Times New Roman" w:cs="Times New Roman"/>
          <w:b/>
          <w:i w:val="0"/>
          <w:color w:val="000000" w:themeColor="text1"/>
          <w:sz w:val="20"/>
          <w:szCs w:val="20"/>
          <w:lang w:val="en-US"/>
        </w:rPr>
        <w:t>Supplementary Figure S1B</w:t>
      </w:r>
      <w:r w:rsidRPr="002F3EED">
        <w:rPr>
          <w:rFonts w:ascii="Times New Roman" w:hAnsi="Times New Roman" w:cs="Times New Roman"/>
          <w:color w:val="000000" w:themeColor="text1"/>
          <w:sz w:val="20"/>
          <w:szCs w:val="20"/>
          <w:lang w:val="en-US"/>
        </w:rPr>
        <w:t>.</w:t>
      </w:r>
      <w:r w:rsidRPr="002F3EED">
        <w:rPr>
          <w:rFonts w:ascii="Times New Roman" w:hAnsi="Times New Roman" w:cs="Times New Roman"/>
          <w:i w:val="0"/>
          <w:color w:val="000000" w:themeColor="text1"/>
          <w:sz w:val="20"/>
          <w:szCs w:val="20"/>
          <w:lang w:val="en-GB"/>
        </w:rPr>
        <w:t xml:space="preserve"> Persistence time of ESBL-EC acquisition in the model where the daily probability of background colonisation was higher than 0.00015 (base case) and the impact of improving HH by 50%. Results presented for the 4-persons household, where the initial carrier was the woman.</w:t>
      </w:r>
    </w:p>
    <w:p w:rsidR="00CA4FD3" w:rsidRPr="002F3EED" w:rsidRDefault="00CA4FD3" w:rsidP="00CA4FD3">
      <w:pPr>
        <w:pStyle w:val="Lgende"/>
        <w:keepNext/>
        <w:jc w:val="center"/>
        <w:rPr>
          <w:rFonts w:ascii="Times New Roman" w:hAnsi="Times New Roman" w:cs="Times New Roman"/>
          <w:i w:val="0"/>
          <w:color w:val="000000" w:themeColor="text1"/>
          <w:sz w:val="20"/>
          <w:szCs w:val="20"/>
          <w:lang w:val="en-GB"/>
        </w:rPr>
      </w:pPr>
      <w:r w:rsidRPr="002F3EED">
        <w:rPr>
          <w:noProof/>
          <w:sz w:val="20"/>
          <w:szCs w:val="20"/>
          <w:lang w:eastAsia="fr-FR"/>
        </w:rPr>
        <w:drawing>
          <wp:inline distT="0" distB="0" distL="0" distR="0" wp14:anchorId="7ED27307" wp14:editId="6A93D6D1">
            <wp:extent cx="5410201" cy="2743200"/>
            <wp:effectExtent l="0" t="0" r="0" b="0"/>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CA4FD3" w:rsidRPr="002F3EED" w:rsidRDefault="00CA4FD3" w:rsidP="00CA4FD3">
      <w:pPr>
        <w:rPr>
          <w:rFonts w:ascii="Times New Roman" w:hAnsi="Times New Roman" w:cs="Times New Roman"/>
          <w:b/>
          <w:i/>
          <w:sz w:val="20"/>
          <w:szCs w:val="20"/>
          <w:lang w:val="en-US"/>
        </w:rPr>
      </w:pPr>
    </w:p>
    <w:p w:rsidR="00CA4FD3" w:rsidRPr="002F3EED" w:rsidRDefault="00CA4FD3" w:rsidP="00CA4FD3">
      <w:pPr>
        <w:pStyle w:val="Paragraphedeliste"/>
        <w:numPr>
          <w:ilvl w:val="0"/>
          <w:numId w:val="1"/>
        </w:numPr>
        <w:rPr>
          <w:rFonts w:ascii="Times New Roman" w:hAnsi="Times New Roman" w:cs="Times New Roman"/>
          <w:b/>
          <w:i/>
          <w:sz w:val="20"/>
          <w:szCs w:val="20"/>
          <w:lang w:val="en-GB"/>
        </w:rPr>
      </w:pPr>
      <w:r w:rsidRPr="002F3EED">
        <w:rPr>
          <w:rFonts w:ascii="Times New Roman" w:hAnsi="Times New Roman" w:cs="Times New Roman"/>
          <w:b/>
          <w:i/>
          <w:sz w:val="20"/>
          <w:szCs w:val="20"/>
          <w:lang w:val="en-GB"/>
        </w:rPr>
        <w:lastRenderedPageBreak/>
        <w:t xml:space="preserve">Impact of the increased number of daily contacts between man and woman in a household. </w:t>
      </w:r>
    </w:p>
    <w:p w:rsidR="00CA4FD3" w:rsidRPr="002F3EED" w:rsidRDefault="00CA4FD3" w:rsidP="00CA4FD3">
      <w:pPr>
        <w:spacing w:line="240" w:lineRule="auto"/>
        <w:jc w:val="both"/>
        <w:rPr>
          <w:rFonts w:ascii="Times New Roman" w:hAnsi="Times New Roman" w:cs="Times New Roman"/>
          <w:sz w:val="20"/>
          <w:szCs w:val="20"/>
          <w:lang w:val="en-GB"/>
        </w:rPr>
      </w:pPr>
      <w:r w:rsidRPr="002F3EED">
        <w:rPr>
          <w:rFonts w:ascii="Times New Roman" w:hAnsi="Times New Roman" w:cs="Times New Roman"/>
          <w:sz w:val="20"/>
          <w:szCs w:val="20"/>
          <w:lang w:val="en-GB"/>
        </w:rPr>
        <w:t>We investigated the model with the daily frequency of contacts between man and woman higher than the reported 1</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2 contacts/day to take into account that contacts between man and woman may be less frequent than reported but may last longer (e.g., by sleeping in the same bed).</w:t>
      </w:r>
    </w:p>
    <w:p w:rsidR="00CA4FD3" w:rsidRPr="002F3EED" w:rsidRDefault="00CA4FD3" w:rsidP="00CA4FD3">
      <w:pPr>
        <w:rPr>
          <w:rFonts w:ascii="Times New Roman" w:hAnsi="Times New Roman" w:cs="Times New Roman"/>
          <w:b/>
          <w:i/>
          <w:sz w:val="20"/>
          <w:szCs w:val="20"/>
          <w:lang w:val="en-GB"/>
        </w:rPr>
      </w:pPr>
      <w:r w:rsidRPr="002F3EED">
        <w:rPr>
          <w:rFonts w:ascii="Times New Roman" w:hAnsi="Times New Roman" w:cs="Times New Roman"/>
          <w:b/>
          <w:i/>
          <w:sz w:val="20"/>
          <w:szCs w:val="20"/>
          <w:lang w:val="en-GB"/>
        </w:rPr>
        <w:t>Results</w:t>
      </w:r>
    </w:p>
    <w:p w:rsidR="00CA4FD3" w:rsidRPr="002F3EED" w:rsidRDefault="00CA4FD3" w:rsidP="00CA4FD3">
      <w:pPr>
        <w:spacing w:line="240" w:lineRule="auto"/>
        <w:jc w:val="both"/>
        <w:rPr>
          <w:rFonts w:ascii="Times New Roman" w:hAnsi="Times New Roman" w:cs="Times New Roman"/>
          <w:sz w:val="20"/>
          <w:szCs w:val="20"/>
          <w:lang w:val="en-GB"/>
        </w:rPr>
      </w:pPr>
      <w:r w:rsidRPr="002F3EED">
        <w:rPr>
          <w:rFonts w:ascii="Times New Roman" w:hAnsi="Times New Roman" w:cs="Times New Roman"/>
          <w:sz w:val="20"/>
          <w:szCs w:val="20"/>
          <w:lang w:val="en-GB"/>
        </w:rPr>
        <w:t>When the number of daily contacts between man and woman was increased to 5</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9 per day (vs. 1</w:t>
      </w:r>
      <w:r w:rsidR="002C7656">
        <w:rPr>
          <w:rFonts w:ascii="Times New Roman" w:hAnsi="Times New Roman" w:cs="Times New Roman"/>
          <w:sz w:val="20"/>
          <w:szCs w:val="20"/>
          <w:lang w:val="en-GB"/>
        </w:rPr>
        <w:t>.</w:t>
      </w:r>
      <w:r w:rsidRPr="002F3EED">
        <w:rPr>
          <w:rFonts w:ascii="Times New Roman" w:hAnsi="Times New Roman" w:cs="Times New Roman"/>
          <w:sz w:val="20"/>
          <w:szCs w:val="20"/>
          <w:lang w:val="en-GB"/>
        </w:rPr>
        <w:t xml:space="preserve">2 in the base case analysis), the probability of ESBL-PE acquisition increased for all household compositions, with the highest, more than twice higher, in a household composed of 2 persons (Supplementary Table S4). </w:t>
      </w:r>
    </w:p>
    <w:p w:rsidR="00CA4FD3" w:rsidRPr="002F3EED" w:rsidRDefault="00CA4FD3" w:rsidP="00CA4FD3">
      <w:pPr>
        <w:pStyle w:val="Lgende"/>
        <w:keepNext/>
        <w:spacing w:after="0"/>
        <w:contextualSpacing/>
        <w:mirrorIndents/>
        <w:rPr>
          <w:rFonts w:ascii="Times New Roman" w:hAnsi="Times New Roman" w:cs="Times New Roman"/>
          <w:i w:val="0"/>
          <w:color w:val="auto"/>
          <w:sz w:val="20"/>
          <w:szCs w:val="20"/>
          <w:lang w:val="en-GB"/>
        </w:rPr>
      </w:pPr>
    </w:p>
    <w:p w:rsidR="00CA4FD3" w:rsidRPr="002F3EED" w:rsidRDefault="00CA4FD3" w:rsidP="00CA4FD3">
      <w:pPr>
        <w:pStyle w:val="Lgende"/>
        <w:keepNext/>
        <w:jc w:val="both"/>
        <w:rPr>
          <w:rFonts w:ascii="Times New Roman" w:hAnsi="Times New Roman" w:cs="Times New Roman"/>
          <w:color w:val="000000" w:themeColor="text1"/>
          <w:sz w:val="20"/>
          <w:szCs w:val="20"/>
          <w:lang w:val="en-US"/>
        </w:rPr>
      </w:pPr>
      <w:r w:rsidRPr="002F3EED">
        <w:rPr>
          <w:rFonts w:ascii="Times New Roman" w:hAnsi="Times New Roman" w:cs="Times New Roman"/>
          <w:b/>
          <w:color w:val="000000" w:themeColor="text1"/>
          <w:sz w:val="20"/>
          <w:szCs w:val="20"/>
          <w:lang w:val="en-US"/>
        </w:rPr>
        <w:t>Supplementary Table S4.</w:t>
      </w:r>
      <w:r w:rsidRPr="002F3EED">
        <w:rPr>
          <w:rFonts w:ascii="Times New Roman" w:hAnsi="Times New Roman" w:cs="Times New Roman"/>
          <w:color w:val="000000" w:themeColor="text1"/>
          <w:sz w:val="20"/>
          <w:szCs w:val="20"/>
          <w:lang w:val="en-US"/>
        </w:rPr>
        <w:t xml:space="preserve"> </w:t>
      </w:r>
      <w:r w:rsidRPr="002F3EED">
        <w:rPr>
          <w:rFonts w:ascii="Times New Roman" w:hAnsi="Times New Roman" w:cs="Times New Roman"/>
          <w:i w:val="0"/>
          <w:color w:val="000000" w:themeColor="text1"/>
          <w:sz w:val="20"/>
          <w:szCs w:val="20"/>
          <w:lang w:val="en-GB"/>
        </w:rPr>
        <w:t>Results of univariate uncertainty analysis where the daily frequency of contacts between man and woman was 5.9 (vs 1.2 in the base case analysis).</w:t>
      </w:r>
    </w:p>
    <w:tbl>
      <w:tblPr>
        <w:tblStyle w:val="Grilledutableau"/>
        <w:tblpPr w:leftFromText="141" w:rightFromText="141" w:vertAnchor="text" w:horzAnchor="margin" w:tblpY="46"/>
        <w:tblW w:w="9067" w:type="dxa"/>
        <w:tblLayout w:type="fixed"/>
        <w:tblLook w:val="04A0" w:firstRow="1" w:lastRow="0" w:firstColumn="1" w:lastColumn="0" w:noHBand="0" w:noVBand="1"/>
      </w:tblPr>
      <w:tblGrid>
        <w:gridCol w:w="1413"/>
        <w:gridCol w:w="1989"/>
        <w:gridCol w:w="1838"/>
        <w:gridCol w:w="1843"/>
        <w:gridCol w:w="1984"/>
      </w:tblGrid>
      <w:tr w:rsidR="00CA4FD3" w:rsidRPr="008C5DFA" w:rsidTr="00C3345A">
        <w:tc>
          <w:tcPr>
            <w:tcW w:w="1413" w:type="dxa"/>
            <w:vMerge w:val="restart"/>
          </w:tcPr>
          <w:p w:rsidR="00CA4FD3" w:rsidRPr="006263B3" w:rsidRDefault="00CA4FD3" w:rsidP="00C54618">
            <w:pPr>
              <w:keepNext/>
              <w:contextualSpacing/>
              <w:mirrorIndents/>
              <w:jc w:val="center"/>
              <w:rPr>
                <w:rFonts w:ascii="Times New Roman" w:hAnsi="Times New Roman" w:cs="Times New Roman"/>
                <w:b/>
                <w:sz w:val="20"/>
                <w:szCs w:val="20"/>
                <w:lang w:val="en-GB"/>
              </w:rPr>
            </w:pPr>
            <w:r w:rsidRPr="006263B3">
              <w:rPr>
                <w:rFonts w:ascii="Times New Roman" w:hAnsi="Times New Roman" w:cs="Times New Roman"/>
                <w:b/>
                <w:sz w:val="20"/>
                <w:szCs w:val="20"/>
                <w:lang w:val="en-GB"/>
              </w:rPr>
              <w:t>Household composition*</w:t>
            </w:r>
          </w:p>
        </w:tc>
        <w:tc>
          <w:tcPr>
            <w:tcW w:w="7654" w:type="dxa"/>
            <w:gridSpan w:val="4"/>
          </w:tcPr>
          <w:p w:rsidR="00CA4FD3" w:rsidRPr="006263B3" w:rsidRDefault="00CA4FD3" w:rsidP="00C54618">
            <w:pPr>
              <w:keepNext/>
              <w:contextualSpacing/>
              <w:mirrorIndents/>
              <w:jc w:val="center"/>
              <w:rPr>
                <w:rFonts w:ascii="Times New Roman" w:hAnsi="Times New Roman" w:cs="Times New Roman"/>
                <w:b/>
                <w:sz w:val="20"/>
                <w:szCs w:val="20"/>
                <w:lang w:val="en-GB"/>
              </w:rPr>
            </w:pPr>
            <w:r w:rsidRPr="006263B3">
              <w:rPr>
                <w:rFonts w:ascii="Times New Roman" w:hAnsi="Times New Roman" w:cs="Times New Roman"/>
                <w:b/>
                <w:sz w:val="20"/>
                <w:szCs w:val="20"/>
                <w:lang w:val="en-GB"/>
              </w:rPr>
              <w:t>Probability of ESBL-EC acquisition according to the profile of the initial carrier (%)</w:t>
            </w:r>
            <w:r w:rsidR="00C3345A">
              <w:rPr>
                <w:rFonts w:ascii="Times New Roman" w:hAnsi="Times New Roman" w:cs="Times New Roman"/>
                <w:b/>
                <w:sz w:val="20"/>
                <w:szCs w:val="20"/>
                <w:lang w:val="en-GB"/>
              </w:rPr>
              <w:t xml:space="preserve"> </w:t>
            </w:r>
            <w:r w:rsidRPr="006263B3">
              <w:rPr>
                <w:rFonts w:ascii="Times New Roman" w:hAnsi="Times New Roman" w:cs="Times New Roman"/>
                <w:b/>
                <w:sz w:val="20"/>
                <w:szCs w:val="20"/>
                <w:lang w:val="en-US"/>
              </w:rPr>
              <w:t>[95% CI]</w:t>
            </w:r>
          </w:p>
        </w:tc>
      </w:tr>
      <w:tr w:rsidR="00CA4FD3" w:rsidRPr="00C54618" w:rsidTr="00C3345A">
        <w:tc>
          <w:tcPr>
            <w:tcW w:w="1413" w:type="dxa"/>
            <w:vMerge/>
            <w:shd w:val="clear" w:color="auto" w:fill="auto"/>
          </w:tcPr>
          <w:p w:rsidR="00CA4FD3" w:rsidRPr="006263B3" w:rsidRDefault="00CA4FD3" w:rsidP="00C54618">
            <w:pPr>
              <w:keepNext/>
              <w:contextualSpacing/>
              <w:mirrorIndents/>
              <w:jc w:val="center"/>
              <w:rPr>
                <w:rFonts w:ascii="Times New Roman" w:hAnsi="Times New Roman" w:cs="Times New Roman"/>
                <w:b/>
                <w:sz w:val="20"/>
                <w:szCs w:val="20"/>
                <w:lang w:val="en-GB"/>
              </w:rPr>
            </w:pPr>
          </w:p>
        </w:tc>
        <w:tc>
          <w:tcPr>
            <w:tcW w:w="1989"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woman</w:t>
            </w:r>
          </w:p>
        </w:tc>
        <w:tc>
          <w:tcPr>
            <w:tcW w:w="1838"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man</w:t>
            </w:r>
          </w:p>
        </w:tc>
        <w:tc>
          <w:tcPr>
            <w:tcW w:w="1843"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child</w:t>
            </w:r>
          </w:p>
        </w:tc>
        <w:tc>
          <w:tcPr>
            <w:tcW w:w="1984"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baby</w:t>
            </w:r>
          </w:p>
        </w:tc>
      </w:tr>
      <w:tr w:rsidR="00CA4FD3" w:rsidRPr="00C54618" w:rsidTr="00C3345A">
        <w:tc>
          <w:tcPr>
            <w:tcW w:w="1413"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b0c0</w:t>
            </w:r>
          </w:p>
        </w:tc>
        <w:tc>
          <w:tcPr>
            <w:tcW w:w="1989"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18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 [18.2-19.0]</w:t>
            </w:r>
          </w:p>
        </w:tc>
        <w:tc>
          <w:tcPr>
            <w:tcW w:w="1838"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22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 [21.5-22.4]</w:t>
            </w:r>
          </w:p>
        </w:tc>
        <w:tc>
          <w:tcPr>
            <w:tcW w:w="1843"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1984"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r>
      <w:tr w:rsidR="00CA4FD3" w:rsidRPr="00C54618" w:rsidTr="00C3345A">
        <w:tc>
          <w:tcPr>
            <w:tcW w:w="1413"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b0c1</w:t>
            </w:r>
          </w:p>
        </w:tc>
        <w:tc>
          <w:tcPr>
            <w:tcW w:w="1989"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 [33.1-34.1]</w:t>
            </w:r>
          </w:p>
        </w:tc>
        <w:tc>
          <w:tcPr>
            <w:tcW w:w="1838"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4 [34.9-36.0]</w:t>
            </w:r>
          </w:p>
        </w:tc>
        <w:tc>
          <w:tcPr>
            <w:tcW w:w="1843"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3[34.8-35.9]</w:t>
            </w:r>
          </w:p>
        </w:tc>
        <w:tc>
          <w:tcPr>
            <w:tcW w:w="1984"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r>
      <w:tr w:rsidR="00CA4FD3" w:rsidRPr="00C54618" w:rsidTr="00C3345A">
        <w:tc>
          <w:tcPr>
            <w:tcW w:w="1413"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b1c0</w:t>
            </w:r>
          </w:p>
        </w:tc>
        <w:tc>
          <w:tcPr>
            <w:tcW w:w="1989"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 [62.0-63.1]</w:t>
            </w:r>
          </w:p>
        </w:tc>
        <w:tc>
          <w:tcPr>
            <w:tcW w:w="1838"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 [65.6-66.6]</w:t>
            </w:r>
          </w:p>
        </w:tc>
        <w:tc>
          <w:tcPr>
            <w:tcW w:w="1843"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1984"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61</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 [60.6-61.8]</w:t>
            </w:r>
          </w:p>
        </w:tc>
      </w:tr>
      <w:tr w:rsidR="00CA4FD3" w:rsidRPr="00C54618" w:rsidTr="00C3345A">
        <w:tc>
          <w:tcPr>
            <w:tcW w:w="1413" w:type="dxa"/>
          </w:tcPr>
          <w:p w:rsidR="00CA4FD3" w:rsidRPr="006263B3" w:rsidRDefault="00CA4FD3" w:rsidP="00C54618">
            <w:pPr>
              <w:keepNext/>
              <w:contextualSpacing/>
              <w:mirrorIndents/>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b1c1</w:t>
            </w:r>
          </w:p>
        </w:tc>
        <w:tc>
          <w:tcPr>
            <w:tcW w:w="1989"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74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1[73.6-74.6]</w:t>
            </w:r>
          </w:p>
        </w:tc>
        <w:tc>
          <w:tcPr>
            <w:tcW w:w="1838"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76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8[76.3-77.3]</w:t>
            </w:r>
          </w:p>
        </w:tc>
        <w:tc>
          <w:tcPr>
            <w:tcW w:w="1843"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73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 [72.6-73.6]</w:t>
            </w:r>
          </w:p>
        </w:tc>
        <w:tc>
          <w:tcPr>
            <w:tcW w:w="1984" w:type="dxa"/>
          </w:tcPr>
          <w:p w:rsidR="00CA4FD3" w:rsidRPr="006263B3" w:rsidRDefault="00CA4FD3" w:rsidP="00C54618">
            <w:pPr>
              <w:keepNext/>
              <w:contextualSpacing/>
              <w:mirrorIndents/>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74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 [73.6-74.6]</w:t>
            </w:r>
          </w:p>
        </w:tc>
      </w:tr>
    </w:tbl>
    <w:p w:rsidR="00CA4FD3" w:rsidRDefault="00CA4FD3" w:rsidP="00CA4FD3">
      <w:pPr>
        <w:pStyle w:val="Lgende"/>
        <w:keepNext/>
        <w:contextualSpacing/>
        <w:rPr>
          <w:sz w:val="20"/>
          <w:szCs w:val="20"/>
          <w:lang w:val="en-GB"/>
        </w:rPr>
      </w:pPr>
      <w:r w:rsidRPr="002F3EED">
        <w:rPr>
          <w:sz w:val="20"/>
          <w:szCs w:val="20"/>
          <w:lang w:val="en-GB"/>
        </w:rPr>
        <w:t>*b0c0- 2 adults without children, b0c1- 2 adults+ child, b1c0- 2 adults + baby, b1c1- 2 adults+ child+ baby.</w:t>
      </w:r>
    </w:p>
    <w:p w:rsidR="00B14787" w:rsidRDefault="00B14787" w:rsidP="00B14787">
      <w:pPr>
        <w:rPr>
          <w:lang w:val="en-GB"/>
        </w:rPr>
      </w:pPr>
    </w:p>
    <w:p w:rsidR="00C3345A" w:rsidRPr="002F3EED" w:rsidRDefault="00C3345A" w:rsidP="00C3345A">
      <w:pPr>
        <w:pStyle w:val="Paragraphedeliste"/>
        <w:numPr>
          <w:ilvl w:val="0"/>
          <w:numId w:val="1"/>
        </w:numPr>
        <w:rPr>
          <w:rFonts w:ascii="Times New Roman" w:hAnsi="Times New Roman" w:cs="Times New Roman"/>
          <w:b/>
          <w:i/>
          <w:sz w:val="20"/>
          <w:szCs w:val="20"/>
          <w:lang w:val="en-GB"/>
        </w:rPr>
      </w:pPr>
      <w:proofErr w:type="gramStart"/>
      <w:r w:rsidRPr="002F3EED">
        <w:rPr>
          <w:rFonts w:ascii="Times New Roman" w:hAnsi="Times New Roman" w:cs="Times New Roman"/>
          <w:b/>
          <w:i/>
          <w:sz w:val="20"/>
          <w:szCs w:val="20"/>
          <w:lang w:val="en-GB"/>
        </w:rPr>
        <w:t>Impact</w:t>
      </w:r>
      <w:proofErr w:type="gramEnd"/>
      <w:r w:rsidRPr="002F3EED">
        <w:rPr>
          <w:rFonts w:ascii="Times New Roman" w:hAnsi="Times New Roman" w:cs="Times New Roman"/>
          <w:b/>
          <w:i/>
          <w:sz w:val="20"/>
          <w:szCs w:val="20"/>
          <w:lang w:val="en-GB"/>
        </w:rPr>
        <w:t xml:space="preserve"> of the 10% improvement in hand hygiene compliance. </w:t>
      </w:r>
    </w:p>
    <w:p w:rsidR="00C3345A" w:rsidRPr="002F3EED" w:rsidRDefault="00C3345A" w:rsidP="00C3345A">
      <w:pPr>
        <w:pStyle w:val="Lgende"/>
        <w:keepNext/>
        <w:jc w:val="both"/>
        <w:rPr>
          <w:sz w:val="20"/>
          <w:szCs w:val="20"/>
          <w:lang w:val="en-GB"/>
        </w:rPr>
      </w:pPr>
      <w:r w:rsidRPr="002F3EED">
        <w:rPr>
          <w:rFonts w:ascii="Times New Roman" w:hAnsi="Times New Roman" w:cs="Times New Roman"/>
          <w:i w:val="0"/>
          <w:color w:val="auto"/>
          <w:sz w:val="20"/>
          <w:szCs w:val="20"/>
          <w:lang w:val="en-GB"/>
        </w:rPr>
        <w:t>When the impact of HH on the probability of ESBL-PE acquisition was lower than in our main analysis (10% vs. 50%), the superiority of the intervention targeting hand hygiene compliance over reduction in antibiotic use was conﬁrmed (Supplementary Table S5).</w:t>
      </w:r>
    </w:p>
    <w:p w:rsidR="00C3345A" w:rsidRPr="002F3EED" w:rsidRDefault="00C3345A" w:rsidP="00C3345A">
      <w:pPr>
        <w:pStyle w:val="Lgende"/>
        <w:keepNext/>
        <w:jc w:val="both"/>
        <w:rPr>
          <w:rFonts w:ascii="Times New Roman" w:hAnsi="Times New Roman" w:cs="Times New Roman"/>
          <w:i w:val="0"/>
          <w:color w:val="000000" w:themeColor="text1"/>
          <w:sz w:val="20"/>
          <w:szCs w:val="20"/>
          <w:lang w:val="en-GB"/>
        </w:rPr>
      </w:pPr>
      <w:r w:rsidRPr="002F3EED">
        <w:rPr>
          <w:rFonts w:ascii="Times New Roman" w:hAnsi="Times New Roman" w:cs="Times New Roman"/>
          <w:b/>
          <w:color w:val="000000" w:themeColor="text1"/>
          <w:sz w:val="20"/>
          <w:szCs w:val="20"/>
          <w:lang w:val="en-US"/>
        </w:rPr>
        <w:t>Supplementary Table S5.</w:t>
      </w:r>
      <w:r w:rsidRPr="002F3EED">
        <w:rPr>
          <w:rFonts w:ascii="Times New Roman" w:hAnsi="Times New Roman" w:cs="Times New Roman"/>
          <w:color w:val="000000" w:themeColor="text1"/>
          <w:sz w:val="20"/>
          <w:szCs w:val="20"/>
          <w:lang w:val="en-US"/>
        </w:rPr>
        <w:t xml:space="preserve"> </w:t>
      </w:r>
      <w:r w:rsidRPr="002F3EED">
        <w:rPr>
          <w:rFonts w:ascii="Times New Roman" w:hAnsi="Times New Roman" w:cs="Times New Roman"/>
          <w:i w:val="0"/>
          <w:color w:val="000000" w:themeColor="text1"/>
          <w:sz w:val="20"/>
          <w:szCs w:val="20"/>
          <w:lang w:val="en-GB"/>
        </w:rPr>
        <w:t>Results of univariate uncertainty analysis where the HH improved by 10% (vs 50%).</w:t>
      </w:r>
    </w:p>
    <w:tbl>
      <w:tblPr>
        <w:tblStyle w:val="Grilledutableau"/>
        <w:tblpPr w:leftFromText="141" w:rightFromText="141" w:vertAnchor="text" w:horzAnchor="margin" w:tblpY="-27"/>
        <w:tblW w:w="10201" w:type="dxa"/>
        <w:tblLayout w:type="fixed"/>
        <w:tblLook w:val="04A0" w:firstRow="1" w:lastRow="0" w:firstColumn="1" w:lastColumn="0" w:noHBand="0" w:noVBand="1"/>
      </w:tblPr>
      <w:tblGrid>
        <w:gridCol w:w="1413"/>
        <w:gridCol w:w="1559"/>
        <w:gridCol w:w="1418"/>
        <w:gridCol w:w="1417"/>
        <w:gridCol w:w="1418"/>
        <w:gridCol w:w="850"/>
        <w:gridCol w:w="709"/>
        <w:gridCol w:w="709"/>
        <w:gridCol w:w="708"/>
      </w:tblGrid>
      <w:tr w:rsidR="00C3345A" w:rsidRPr="008C5DFA" w:rsidTr="00F45BD9">
        <w:tc>
          <w:tcPr>
            <w:tcW w:w="1413" w:type="dxa"/>
            <w:vMerge w:val="restart"/>
          </w:tcPr>
          <w:p w:rsidR="00C3345A" w:rsidRPr="00C3345A" w:rsidRDefault="00C3345A" w:rsidP="00F45BD9">
            <w:pPr>
              <w:keepNext/>
              <w:jc w:val="center"/>
              <w:rPr>
                <w:rFonts w:ascii="Times New Roman" w:hAnsi="Times New Roman" w:cs="Times New Roman"/>
                <w:b/>
                <w:sz w:val="20"/>
                <w:szCs w:val="20"/>
                <w:lang w:val="en-GB"/>
              </w:rPr>
            </w:pPr>
            <w:r w:rsidRPr="00C3345A">
              <w:rPr>
                <w:rFonts w:ascii="Times New Roman" w:hAnsi="Times New Roman" w:cs="Times New Roman"/>
                <w:b/>
                <w:sz w:val="20"/>
                <w:szCs w:val="20"/>
                <w:lang w:val="en-GB"/>
              </w:rPr>
              <w:t>Household composition*</w:t>
            </w:r>
          </w:p>
        </w:tc>
        <w:tc>
          <w:tcPr>
            <w:tcW w:w="5812" w:type="dxa"/>
            <w:gridSpan w:val="4"/>
          </w:tcPr>
          <w:p w:rsidR="00C3345A" w:rsidRPr="00C3345A" w:rsidRDefault="00C3345A" w:rsidP="00F45BD9">
            <w:pPr>
              <w:keepNext/>
              <w:jc w:val="center"/>
              <w:rPr>
                <w:rFonts w:ascii="Times New Roman" w:hAnsi="Times New Roman" w:cs="Times New Roman"/>
                <w:b/>
                <w:sz w:val="20"/>
                <w:szCs w:val="20"/>
                <w:lang w:val="en-GB"/>
              </w:rPr>
            </w:pPr>
            <w:r w:rsidRPr="00C3345A">
              <w:rPr>
                <w:rFonts w:ascii="Times New Roman" w:hAnsi="Times New Roman" w:cs="Times New Roman"/>
                <w:b/>
                <w:sz w:val="20"/>
                <w:szCs w:val="20"/>
                <w:lang w:val="en-GB"/>
              </w:rPr>
              <w:t>Probability of ESBL-EC acquisition according to the profile of the initial carrier (%)</w:t>
            </w:r>
            <w:r w:rsidRPr="00C3345A">
              <w:rPr>
                <w:rFonts w:ascii="Times New Roman" w:hAnsi="Times New Roman" w:cs="Times New Roman"/>
                <w:b/>
                <w:sz w:val="20"/>
                <w:szCs w:val="20"/>
                <w:lang w:val="en-US"/>
              </w:rPr>
              <w:t>[95% CI]</w:t>
            </w:r>
          </w:p>
        </w:tc>
        <w:tc>
          <w:tcPr>
            <w:tcW w:w="2976" w:type="dxa"/>
            <w:gridSpan w:val="4"/>
          </w:tcPr>
          <w:p w:rsidR="00C3345A" w:rsidRPr="00C3345A" w:rsidRDefault="00C3345A" w:rsidP="00F45BD9">
            <w:pPr>
              <w:keepNext/>
              <w:jc w:val="center"/>
              <w:rPr>
                <w:rFonts w:ascii="Times New Roman" w:hAnsi="Times New Roman" w:cs="Times New Roman"/>
                <w:b/>
                <w:sz w:val="20"/>
                <w:szCs w:val="20"/>
                <w:lang w:val="en-GB"/>
              </w:rPr>
            </w:pPr>
            <w:r w:rsidRPr="00C3345A">
              <w:rPr>
                <w:rFonts w:ascii="Times New Roman" w:hAnsi="Times New Roman" w:cs="Times New Roman"/>
                <w:b/>
                <w:sz w:val="20"/>
                <w:szCs w:val="20"/>
                <w:lang w:val="en-GB"/>
              </w:rPr>
              <w:t>Reduction from the base case</w:t>
            </w:r>
          </w:p>
          <w:p w:rsidR="00C3345A" w:rsidRPr="00C3345A" w:rsidRDefault="00C3345A" w:rsidP="00F45BD9">
            <w:pPr>
              <w:keepNext/>
              <w:jc w:val="center"/>
              <w:rPr>
                <w:rFonts w:ascii="Times New Roman" w:hAnsi="Times New Roman" w:cs="Times New Roman"/>
                <w:b/>
                <w:sz w:val="20"/>
                <w:szCs w:val="20"/>
                <w:lang w:val="en-GB"/>
              </w:rPr>
            </w:pPr>
            <w:r w:rsidRPr="00C3345A">
              <w:rPr>
                <w:rFonts w:ascii="Times New Roman" w:hAnsi="Times New Roman" w:cs="Times New Roman"/>
                <w:b/>
                <w:sz w:val="20"/>
                <w:szCs w:val="20"/>
                <w:lang w:val="en-GB"/>
              </w:rPr>
              <w:t>(%)</w:t>
            </w:r>
          </w:p>
        </w:tc>
      </w:tr>
      <w:tr w:rsidR="00C3345A" w:rsidRPr="006263B3" w:rsidTr="00F45BD9">
        <w:tc>
          <w:tcPr>
            <w:tcW w:w="1413" w:type="dxa"/>
            <w:vMerge/>
            <w:shd w:val="clear" w:color="auto" w:fill="auto"/>
          </w:tcPr>
          <w:p w:rsidR="00C3345A" w:rsidRPr="006263B3" w:rsidRDefault="00C3345A" w:rsidP="00F45BD9">
            <w:pPr>
              <w:keepNext/>
              <w:jc w:val="center"/>
              <w:rPr>
                <w:rFonts w:ascii="Times New Roman" w:hAnsi="Times New Roman" w:cs="Times New Roman"/>
                <w:sz w:val="20"/>
                <w:szCs w:val="20"/>
                <w:lang w:val="en-GB"/>
              </w:rPr>
            </w:pPr>
          </w:p>
        </w:tc>
        <w:tc>
          <w:tcPr>
            <w:tcW w:w="1559"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woman</w:t>
            </w:r>
          </w:p>
        </w:tc>
        <w:tc>
          <w:tcPr>
            <w:tcW w:w="1418"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man</w:t>
            </w:r>
          </w:p>
        </w:tc>
        <w:tc>
          <w:tcPr>
            <w:tcW w:w="1417"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child</w:t>
            </w:r>
          </w:p>
        </w:tc>
        <w:tc>
          <w:tcPr>
            <w:tcW w:w="1418"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baby</w:t>
            </w:r>
          </w:p>
        </w:tc>
        <w:tc>
          <w:tcPr>
            <w:tcW w:w="850"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woman</w:t>
            </w:r>
          </w:p>
        </w:tc>
        <w:tc>
          <w:tcPr>
            <w:tcW w:w="709"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man</w:t>
            </w:r>
          </w:p>
        </w:tc>
        <w:tc>
          <w:tcPr>
            <w:tcW w:w="709"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child</w:t>
            </w:r>
          </w:p>
        </w:tc>
        <w:tc>
          <w:tcPr>
            <w:tcW w:w="708"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baby</w:t>
            </w:r>
          </w:p>
        </w:tc>
      </w:tr>
      <w:tr w:rsidR="00C3345A" w:rsidRPr="006263B3" w:rsidTr="00F45BD9">
        <w:tc>
          <w:tcPr>
            <w:tcW w:w="1413"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b0c0</w:t>
            </w:r>
          </w:p>
        </w:tc>
        <w:tc>
          <w:tcPr>
            <w:tcW w:w="155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 [4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w:t>
            </w:r>
          </w:p>
        </w:tc>
        <w:tc>
          <w:tcPr>
            <w:tcW w:w="141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 [5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3]</w:t>
            </w:r>
          </w:p>
        </w:tc>
        <w:tc>
          <w:tcPr>
            <w:tcW w:w="1417"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141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850"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w:t>
            </w:r>
          </w:p>
        </w:tc>
        <w:tc>
          <w:tcPr>
            <w:tcW w:w="70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-7</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w:t>
            </w:r>
          </w:p>
        </w:tc>
        <w:tc>
          <w:tcPr>
            <w:tcW w:w="70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70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r>
      <w:tr w:rsidR="00C3345A" w:rsidRPr="006263B3" w:rsidTr="00F45BD9">
        <w:tc>
          <w:tcPr>
            <w:tcW w:w="1413"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b0c1</w:t>
            </w:r>
          </w:p>
        </w:tc>
        <w:tc>
          <w:tcPr>
            <w:tcW w:w="155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19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 [18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8-19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w:t>
            </w:r>
          </w:p>
        </w:tc>
        <w:tc>
          <w:tcPr>
            <w:tcW w:w="141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19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 [18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8-19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w:t>
            </w:r>
          </w:p>
        </w:tc>
        <w:tc>
          <w:tcPr>
            <w:tcW w:w="1417"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28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 [28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2-29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w:t>
            </w:r>
          </w:p>
        </w:tc>
        <w:tc>
          <w:tcPr>
            <w:tcW w:w="141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850"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-10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3</w:t>
            </w:r>
          </w:p>
        </w:tc>
        <w:tc>
          <w:tcPr>
            <w:tcW w:w="70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9</w:t>
            </w:r>
          </w:p>
        </w:tc>
        <w:tc>
          <w:tcPr>
            <w:tcW w:w="70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w:t>
            </w:r>
          </w:p>
        </w:tc>
        <w:tc>
          <w:tcPr>
            <w:tcW w:w="70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r>
      <w:tr w:rsidR="00C3345A" w:rsidRPr="006263B3" w:rsidTr="00F45BD9">
        <w:tc>
          <w:tcPr>
            <w:tcW w:w="1413" w:type="dxa"/>
          </w:tcPr>
          <w:p w:rsidR="00C3345A" w:rsidRPr="006263B3" w:rsidRDefault="00C3345A"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b1c0</w:t>
            </w:r>
          </w:p>
        </w:tc>
        <w:tc>
          <w:tcPr>
            <w:tcW w:w="155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 [46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1-47</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w:t>
            </w:r>
          </w:p>
        </w:tc>
        <w:tc>
          <w:tcPr>
            <w:tcW w:w="141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4 [41</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8-42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9]</w:t>
            </w:r>
          </w:p>
        </w:tc>
        <w:tc>
          <w:tcPr>
            <w:tcW w:w="1417"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141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47</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 [47</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0-48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w:t>
            </w:r>
          </w:p>
        </w:tc>
        <w:tc>
          <w:tcPr>
            <w:tcW w:w="850"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5</w:t>
            </w:r>
          </w:p>
        </w:tc>
        <w:tc>
          <w:tcPr>
            <w:tcW w:w="70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w:t>
            </w:r>
          </w:p>
        </w:tc>
        <w:tc>
          <w:tcPr>
            <w:tcW w:w="709"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708" w:type="dxa"/>
          </w:tcPr>
          <w:p w:rsidR="00C3345A" w:rsidRPr="006263B3" w:rsidRDefault="00C3345A"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w:t>
            </w:r>
          </w:p>
        </w:tc>
      </w:tr>
      <w:tr w:rsidR="00C3345A" w:rsidRPr="006263B3" w:rsidTr="00F45BD9">
        <w:tc>
          <w:tcPr>
            <w:tcW w:w="1413" w:type="dxa"/>
          </w:tcPr>
          <w:p w:rsidR="00C3345A" w:rsidRPr="006263B3" w:rsidRDefault="00C3345A" w:rsidP="00F45BD9">
            <w:pPr>
              <w:keepNext/>
              <w:contextualSpacing/>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b1c1</w:t>
            </w:r>
          </w:p>
        </w:tc>
        <w:tc>
          <w:tcPr>
            <w:tcW w:w="1559"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 [59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6-60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w:t>
            </w:r>
          </w:p>
        </w:tc>
        <w:tc>
          <w:tcPr>
            <w:tcW w:w="1418"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57</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4 [56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8-58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w:t>
            </w:r>
          </w:p>
        </w:tc>
        <w:tc>
          <w:tcPr>
            <w:tcW w:w="1417"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 [64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1-65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w:t>
            </w:r>
          </w:p>
        </w:tc>
        <w:tc>
          <w:tcPr>
            <w:tcW w:w="1418"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3 [62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7-63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w:t>
            </w:r>
          </w:p>
        </w:tc>
        <w:tc>
          <w:tcPr>
            <w:tcW w:w="850"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5</w:t>
            </w:r>
          </w:p>
        </w:tc>
        <w:tc>
          <w:tcPr>
            <w:tcW w:w="709"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5</w:t>
            </w:r>
          </w:p>
        </w:tc>
        <w:tc>
          <w:tcPr>
            <w:tcW w:w="709"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w:t>
            </w:r>
          </w:p>
        </w:tc>
        <w:tc>
          <w:tcPr>
            <w:tcW w:w="708" w:type="dxa"/>
          </w:tcPr>
          <w:p w:rsidR="00C3345A" w:rsidRPr="006263B3" w:rsidRDefault="00C3345A" w:rsidP="00F45BD9">
            <w:pPr>
              <w:keepNext/>
              <w:contextualSpacing/>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w:t>
            </w:r>
          </w:p>
        </w:tc>
      </w:tr>
    </w:tbl>
    <w:p w:rsidR="00C3345A" w:rsidRPr="002F3EED" w:rsidRDefault="00C3345A" w:rsidP="00C3345A">
      <w:pPr>
        <w:pStyle w:val="Lgende"/>
        <w:keepNext/>
        <w:spacing w:after="160"/>
        <w:contextualSpacing/>
        <w:rPr>
          <w:sz w:val="20"/>
          <w:szCs w:val="20"/>
          <w:lang w:val="en-GB"/>
        </w:rPr>
      </w:pPr>
      <w:r w:rsidRPr="002F3EED">
        <w:rPr>
          <w:sz w:val="20"/>
          <w:szCs w:val="20"/>
          <w:lang w:val="en-GB"/>
        </w:rPr>
        <w:t>*b0c0- 2 adults without children, b0c1- 2 adults+ child, b1c0- 2 adults + baby, b1c1- 2 adults+ child+ baby.</w:t>
      </w:r>
    </w:p>
    <w:p w:rsidR="00C3345A" w:rsidRDefault="00C3345A" w:rsidP="00B14787">
      <w:pPr>
        <w:rPr>
          <w:lang w:val="en-GB"/>
        </w:rPr>
      </w:pPr>
    </w:p>
    <w:p w:rsidR="00F51893" w:rsidRPr="002F3EED" w:rsidRDefault="00F51893" w:rsidP="00F51893">
      <w:pPr>
        <w:pStyle w:val="Paragraphedeliste"/>
        <w:numPr>
          <w:ilvl w:val="0"/>
          <w:numId w:val="1"/>
        </w:numPr>
        <w:rPr>
          <w:rFonts w:ascii="Times New Roman" w:hAnsi="Times New Roman" w:cs="Times New Roman"/>
          <w:b/>
          <w:i/>
          <w:sz w:val="20"/>
          <w:szCs w:val="20"/>
          <w:lang w:val="en-GB"/>
        </w:rPr>
      </w:pPr>
      <w:r w:rsidRPr="002F3EED">
        <w:rPr>
          <w:rFonts w:ascii="Times New Roman" w:hAnsi="Times New Roman" w:cs="Times New Roman"/>
          <w:b/>
          <w:i/>
          <w:sz w:val="20"/>
          <w:szCs w:val="20"/>
          <w:lang w:val="en-GB"/>
        </w:rPr>
        <w:t xml:space="preserve">Impact of the 62% reduction in antibiotic use. </w:t>
      </w:r>
    </w:p>
    <w:p w:rsidR="00F51893" w:rsidRPr="002F3EED" w:rsidRDefault="00F51893" w:rsidP="00F51893">
      <w:pPr>
        <w:spacing w:line="240" w:lineRule="auto"/>
        <w:jc w:val="both"/>
        <w:rPr>
          <w:rFonts w:ascii="Times New Roman" w:hAnsi="Times New Roman" w:cs="Times New Roman"/>
          <w:color w:val="000000" w:themeColor="text1"/>
          <w:sz w:val="20"/>
          <w:szCs w:val="20"/>
          <w:lang w:val="en-GB"/>
        </w:rPr>
      </w:pPr>
      <w:r w:rsidRPr="002F3EED">
        <w:rPr>
          <w:rFonts w:ascii="Times New Roman" w:hAnsi="Times New Roman" w:cs="Times New Roman"/>
          <w:color w:val="000000" w:themeColor="text1"/>
          <w:sz w:val="20"/>
          <w:szCs w:val="20"/>
          <w:lang w:val="en-GB"/>
        </w:rPr>
        <w:t xml:space="preserve">When the antibiotic exposure decreased by 62%, the observed reduction in the probability of ESBL-EC acquisition was still lower than even a 10% improvement in HH compliance. </w:t>
      </w:r>
    </w:p>
    <w:p w:rsidR="00F51893" w:rsidRPr="002F3EED" w:rsidRDefault="00F51893" w:rsidP="00F51893">
      <w:pPr>
        <w:pStyle w:val="Lgende"/>
        <w:keepNext/>
        <w:jc w:val="both"/>
        <w:rPr>
          <w:rFonts w:ascii="Times New Roman" w:hAnsi="Times New Roman" w:cs="Times New Roman"/>
          <w:b/>
          <w:color w:val="000000" w:themeColor="text1"/>
          <w:sz w:val="20"/>
          <w:szCs w:val="20"/>
          <w:lang w:val="en-US"/>
        </w:rPr>
      </w:pPr>
      <w:r w:rsidRPr="002F3EED">
        <w:rPr>
          <w:rFonts w:ascii="Times New Roman" w:hAnsi="Times New Roman" w:cs="Times New Roman"/>
          <w:b/>
          <w:color w:val="000000" w:themeColor="text1"/>
          <w:sz w:val="20"/>
          <w:szCs w:val="20"/>
          <w:lang w:val="en-US"/>
        </w:rPr>
        <w:t>Supplementary Table S6</w:t>
      </w:r>
      <w:r w:rsidRPr="002F3EED">
        <w:rPr>
          <w:rFonts w:ascii="Times New Roman" w:hAnsi="Times New Roman" w:cs="Times New Roman"/>
          <w:i w:val="0"/>
          <w:color w:val="000000" w:themeColor="text1"/>
          <w:sz w:val="20"/>
          <w:szCs w:val="20"/>
          <w:lang w:val="en-GB"/>
        </w:rPr>
        <w:t xml:space="preserve"> Results of univariate uncertainty analysis where the antibiotic use </w:t>
      </w:r>
      <w:proofErr w:type="gramStart"/>
      <w:r w:rsidRPr="002F3EED">
        <w:rPr>
          <w:rFonts w:ascii="Times New Roman" w:hAnsi="Times New Roman" w:cs="Times New Roman"/>
          <w:i w:val="0"/>
          <w:color w:val="000000" w:themeColor="text1"/>
          <w:sz w:val="20"/>
          <w:szCs w:val="20"/>
          <w:lang w:val="en-GB"/>
        </w:rPr>
        <w:t>was reduced</w:t>
      </w:r>
      <w:proofErr w:type="gramEnd"/>
      <w:r w:rsidRPr="002F3EED">
        <w:rPr>
          <w:rFonts w:ascii="Times New Roman" w:hAnsi="Times New Roman" w:cs="Times New Roman"/>
          <w:i w:val="0"/>
          <w:color w:val="000000" w:themeColor="text1"/>
          <w:sz w:val="20"/>
          <w:szCs w:val="20"/>
          <w:lang w:val="en-GB"/>
        </w:rPr>
        <w:t xml:space="preserve"> by 62%.</w:t>
      </w:r>
    </w:p>
    <w:tbl>
      <w:tblPr>
        <w:tblStyle w:val="Grilledutableau"/>
        <w:tblpPr w:leftFromText="141" w:rightFromText="141" w:vertAnchor="text" w:horzAnchor="margin" w:tblpY="-11"/>
        <w:tblW w:w="10201" w:type="dxa"/>
        <w:tblLayout w:type="fixed"/>
        <w:tblLook w:val="04A0" w:firstRow="1" w:lastRow="0" w:firstColumn="1" w:lastColumn="0" w:noHBand="0" w:noVBand="1"/>
      </w:tblPr>
      <w:tblGrid>
        <w:gridCol w:w="1413"/>
        <w:gridCol w:w="1417"/>
        <w:gridCol w:w="1560"/>
        <w:gridCol w:w="1417"/>
        <w:gridCol w:w="1418"/>
        <w:gridCol w:w="850"/>
        <w:gridCol w:w="567"/>
        <w:gridCol w:w="709"/>
        <w:gridCol w:w="850"/>
      </w:tblGrid>
      <w:tr w:rsidR="00F51893" w:rsidRPr="008C5DFA" w:rsidTr="00F51893">
        <w:tc>
          <w:tcPr>
            <w:tcW w:w="1413" w:type="dxa"/>
            <w:vMerge w:val="restart"/>
          </w:tcPr>
          <w:p w:rsidR="00F51893" w:rsidRPr="006263B3" w:rsidRDefault="00F51893" w:rsidP="00F45BD9">
            <w:pPr>
              <w:keepNext/>
              <w:jc w:val="center"/>
              <w:rPr>
                <w:rFonts w:ascii="Times New Roman" w:hAnsi="Times New Roman" w:cs="Times New Roman"/>
                <w:b/>
                <w:sz w:val="20"/>
                <w:szCs w:val="20"/>
                <w:lang w:val="en-GB"/>
              </w:rPr>
            </w:pPr>
            <w:r w:rsidRPr="006263B3">
              <w:rPr>
                <w:rFonts w:ascii="Times New Roman" w:hAnsi="Times New Roman" w:cs="Times New Roman"/>
                <w:b/>
                <w:sz w:val="20"/>
                <w:szCs w:val="20"/>
                <w:lang w:val="en-GB"/>
              </w:rPr>
              <w:t>Household composition*</w:t>
            </w:r>
          </w:p>
        </w:tc>
        <w:tc>
          <w:tcPr>
            <w:tcW w:w="5812" w:type="dxa"/>
            <w:gridSpan w:val="4"/>
          </w:tcPr>
          <w:p w:rsidR="00F51893" w:rsidRPr="006263B3" w:rsidRDefault="00F51893" w:rsidP="00F45BD9">
            <w:pPr>
              <w:keepNext/>
              <w:jc w:val="center"/>
              <w:rPr>
                <w:rFonts w:ascii="Times New Roman" w:hAnsi="Times New Roman" w:cs="Times New Roman"/>
                <w:b/>
                <w:sz w:val="20"/>
                <w:szCs w:val="20"/>
                <w:lang w:val="en-GB"/>
              </w:rPr>
            </w:pPr>
            <w:r w:rsidRPr="006263B3">
              <w:rPr>
                <w:rFonts w:ascii="Times New Roman" w:hAnsi="Times New Roman" w:cs="Times New Roman"/>
                <w:b/>
                <w:sz w:val="20"/>
                <w:szCs w:val="20"/>
                <w:lang w:val="en-GB"/>
              </w:rPr>
              <w:t>Probability of ESBL-EC acquisition according to the profile of the initial carrier (%)</w:t>
            </w:r>
            <w:r w:rsidRPr="006263B3">
              <w:rPr>
                <w:rFonts w:ascii="Times New Roman" w:hAnsi="Times New Roman" w:cs="Times New Roman"/>
                <w:b/>
                <w:sz w:val="20"/>
                <w:szCs w:val="20"/>
                <w:lang w:val="en-US"/>
              </w:rPr>
              <w:t>[95% CI]</w:t>
            </w:r>
          </w:p>
        </w:tc>
        <w:tc>
          <w:tcPr>
            <w:tcW w:w="2976" w:type="dxa"/>
            <w:gridSpan w:val="4"/>
          </w:tcPr>
          <w:p w:rsidR="00F51893" w:rsidRPr="006263B3" w:rsidRDefault="00F51893" w:rsidP="00F45BD9">
            <w:pPr>
              <w:keepNext/>
              <w:jc w:val="center"/>
              <w:rPr>
                <w:rFonts w:ascii="Times New Roman" w:hAnsi="Times New Roman" w:cs="Times New Roman"/>
                <w:b/>
                <w:sz w:val="20"/>
                <w:szCs w:val="20"/>
                <w:lang w:val="en-GB"/>
              </w:rPr>
            </w:pPr>
            <w:r w:rsidRPr="006263B3">
              <w:rPr>
                <w:rFonts w:ascii="Times New Roman" w:hAnsi="Times New Roman" w:cs="Times New Roman"/>
                <w:b/>
                <w:sz w:val="20"/>
                <w:szCs w:val="20"/>
                <w:lang w:val="en-GB"/>
              </w:rPr>
              <w:t>Reduction from the base case</w:t>
            </w:r>
          </w:p>
          <w:p w:rsidR="00F51893" w:rsidRPr="006263B3" w:rsidRDefault="00F51893" w:rsidP="00F45BD9">
            <w:pPr>
              <w:keepNext/>
              <w:jc w:val="center"/>
              <w:rPr>
                <w:rFonts w:ascii="Times New Roman" w:hAnsi="Times New Roman" w:cs="Times New Roman"/>
                <w:b/>
                <w:sz w:val="20"/>
                <w:szCs w:val="20"/>
                <w:lang w:val="en-GB"/>
              </w:rPr>
            </w:pPr>
            <w:r w:rsidRPr="006263B3">
              <w:rPr>
                <w:rFonts w:ascii="Times New Roman" w:hAnsi="Times New Roman" w:cs="Times New Roman"/>
                <w:b/>
                <w:sz w:val="20"/>
                <w:szCs w:val="20"/>
                <w:lang w:val="en-GB"/>
              </w:rPr>
              <w:t>(%)</w:t>
            </w:r>
          </w:p>
        </w:tc>
      </w:tr>
      <w:tr w:rsidR="00F51893" w:rsidRPr="006263B3" w:rsidTr="00F51893">
        <w:tc>
          <w:tcPr>
            <w:tcW w:w="1413" w:type="dxa"/>
            <w:vMerge/>
            <w:shd w:val="clear" w:color="auto" w:fill="auto"/>
          </w:tcPr>
          <w:p w:rsidR="00F51893" w:rsidRPr="006263B3" w:rsidRDefault="00F51893" w:rsidP="00F45BD9">
            <w:pPr>
              <w:keepNext/>
              <w:jc w:val="center"/>
              <w:rPr>
                <w:rFonts w:ascii="Times New Roman" w:hAnsi="Times New Roman" w:cs="Times New Roman"/>
                <w:b/>
                <w:sz w:val="20"/>
                <w:szCs w:val="20"/>
                <w:lang w:val="en-GB"/>
              </w:rPr>
            </w:pPr>
          </w:p>
        </w:tc>
        <w:tc>
          <w:tcPr>
            <w:tcW w:w="1417"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woman</w:t>
            </w:r>
          </w:p>
        </w:tc>
        <w:tc>
          <w:tcPr>
            <w:tcW w:w="1560"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man</w:t>
            </w:r>
          </w:p>
        </w:tc>
        <w:tc>
          <w:tcPr>
            <w:tcW w:w="1417"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child</w:t>
            </w:r>
          </w:p>
        </w:tc>
        <w:tc>
          <w:tcPr>
            <w:tcW w:w="1418"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baby</w:t>
            </w:r>
          </w:p>
        </w:tc>
        <w:tc>
          <w:tcPr>
            <w:tcW w:w="850"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woman</w:t>
            </w:r>
          </w:p>
        </w:tc>
        <w:tc>
          <w:tcPr>
            <w:tcW w:w="567"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man</w:t>
            </w:r>
          </w:p>
        </w:tc>
        <w:tc>
          <w:tcPr>
            <w:tcW w:w="709"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child</w:t>
            </w:r>
          </w:p>
        </w:tc>
        <w:tc>
          <w:tcPr>
            <w:tcW w:w="850"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baby</w:t>
            </w:r>
          </w:p>
        </w:tc>
      </w:tr>
      <w:tr w:rsidR="00F51893" w:rsidRPr="006263B3" w:rsidTr="00F51893">
        <w:tc>
          <w:tcPr>
            <w:tcW w:w="1413"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b0c0</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 [5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w:t>
            </w:r>
          </w:p>
        </w:tc>
        <w:tc>
          <w:tcPr>
            <w:tcW w:w="156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4 [6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1418"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-1</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9</w:t>
            </w:r>
          </w:p>
        </w:tc>
        <w:tc>
          <w:tcPr>
            <w:tcW w:w="56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w:t>
            </w:r>
          </w:p>
        </w:tc>
        <w:tc>
          <w:tcPr>
            <w:tcW w:w="709"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r>
      <w:tr w:rsidR="00F51893" w:rsidRPr="006263B3" w:rsidTr="00F51893">
        <w:tc>
          <w:tcPr>
            <w:tcW w:w="1413"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b0c1</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20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9 [20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1-21</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0]</w:t>
            </w:r>
          </w:p>
        </w:tc>
        <w:tc>
          <w:tcPr>
            <w:tcW w:w="156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19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 [19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2-20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29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 [29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1-30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w:t>
            </w:r>
          </w:p>
        </w:tc>
        <w:tc>
          <w:tcPr>
            <w:tcW w:w="1418"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3</w:t>
            </w:r>
          </w:p>
        </w:tc>
        <w:tc>
          <w:tcPr>
            <w:tcW w:w="56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4</w:t>
            </w:r>
          </w:p>
        </w:tc>
        <w:tc>
          <w:tcPr>
            <w:tcW w:w="709"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r>
      <w:tr w:rsidR="00F51893" w:rsidRPr="006263B3" w:rsidTr="00F51893">
        <w:tc>
          <w:tcPr>
            <w:tcW w:w="1413"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b1c0</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 [48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7-49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9]</w:t>
            </w:r>
          </w:p>
        </w:tc>
        <w:tc>
          <w:tcPr>
            <w:tcW w:w="156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5 [42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9-44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1418"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51 [50</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4-51</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5]</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w:t>
            </w:r>
          </w:p>
        </w:tc>
        <w:tc>
          <w:tcPr>
            <w:tcW w:w="56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w:t>
            </w:r>
          </w:p>
        </w:tc>
        <w:tc>
          <w:tcPr>
            <w:tcW w:w="709"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4</w:t>
            </w:r>
          </w:p>
        </w:tc>
      </w:tr>
      <w:tr w:rsidR="00F51893" w:rsidRPr="006263B3" w:rsidTr="00F51893">
        <w:tc>
          <w:tcPr>
            <w:tcW w:w="1413" w:type="dxa"/>
          </w:tcPr>
          <w:p w:rsidR="00F51893" w:rsidRPr="006263B3" w:rsidRDefault="00F51893" w:rsidP="00F45BD9">
            <w:pPr>
              <w:keepNext/>
              <w:jc w:val="center"/>
              <w:rPr>
                <w:rFonts w:ascii="Times New Roman" w:hAnsi="Times New Roman" w:cs="Times New Roman"/>
                <w:b/>
                <w:sz w:val="16"/>
                <w:szCs w:val="16"/>
                <w:lang w:val="en-GB"/>
              </w:rPr>
            </w:pPr>
            <w:r w:rsidRPr="006263B3">
              <w:rPr>
                <w:rFonts w:ascii="Times New Roman" w:hAnsi="Times New Roman" w:cs="Times New Roman"/>
                <w:b/>
                <w:sz w:val="16"/>
                <w:szCs w:val="16"/>
                <w:lang w:val="en-GB"/>
              </w:rPr>
              <w:t>b1c1</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 [62</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8-63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9]</w:t>
            </w:r>
          </w:p>
        </w:tc>
        <w:tc>
          <w:tcPr>
            <w:tcW w:w="156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58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 [58</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1-59</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w:t>
            </w:r>
          </w:p>
        </w:tc>
        <w:tc>
          <w:tcPr>
            <w:tcW w:w="141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 [65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2-66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3]</w:t>
            </w:r>
          </w:p>
        </w:tc>
        <w:tc>
          <w:tcPr>
            <w:tcW w:w="1418"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66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2 [65</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6-66</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7]</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w:t>
            </w:r>
          </w:p>
        </w:tc>
        <w:tc>
          <w:tcPr>
            <w:tcW w:w="567"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-4</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6</w:t>
            </w:r>
          </w:p>
        </w:tc>
        <w:tc>
          <w:tcPr>
            <w:tcW w:w="709"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1</w:t>
            </w:r>
          </w:p>
        </w:tc>
        <w:tc>
          <w:tcPr>
            <w:tcW w:w="850" w:type="dxa"/>
          </w:tcPr>
          <w:p w:rsidR="00F51893" w:rsidRPr="006263B3" w:rsidRDefault="00F51893" w:rsidP="00F45BD9">
            <w:pPr>
              <w:keepNext/>
              <w:jc w:val="center"/>
              <w:rPr>
                <w:rFonts w:ascii="Times New Roman" w:hAnsi="Times New Roman" w:cs="Times New Roman"/>
                <w:sz w:val="16"/>
                <w:szCs w:val="16"/>
                <w:lang w:val="en-GB"/>
              </w:rPr>
            </w:pPr>
            <w:r w:rsidRPr="006263B3">
              <w:rPr>
                <w:rFonts w:ascii="Times New Roman" w:hAnsi="Times New Roman" w:cs="Times New Roman"/>
                <w:sz w:val="16"/>
                <w:szCs w:val="16"/>
                <w:lang w:val="en-GB"/>
              </w:rPr>
              <w:t>-3</w:t>
            </w:r>
            <w:r w:rsidR="002C7656">
              <w:rPr>
                <w:rFonts w:ascii="Times New Roman" w:hAnsi="Times New Roman" w:cs="Times New Roman"/>
                <w:sz w:val="16"/>
                <w:szCs w:val="16"/>
                <w:lang w:val="en-GB"/>
              </w:rPr>
              <w:t>.</w:t>
            </w:r>
            <w:r w:rsidRPr="006263B3">
              <w:rPr>
                <w:rFonts w:ascii="Times New Roman" w:hAnsi="Times New Roman" w:cs="Times New Roman"/>
                <w:sz w:val="16"/>
                <w:szCs w:val="16"/>
                <w:lang w:val="en-GB"/>
              </w:rPr>
              <w:t>8</w:t>
            </w:r>
          </w:p>
        </w:tc>
      </w:tr>
    </w:tbl>
    <w:p w:rsidR="00CA4FD3" w:rsidRPr="00F51893" w:rsidRDefault="00F51893" w:rsidP="00F51893">
      <w:pPr>
        <w:pStyle w:val="Lgende"/>
        <w:keepNext/>
        <w:rPr>
          <w:rFonts w:ascii="Times New Roman" w:hAnsi="Times New Roman" w:cs="Times New Roman"/>
          <w:sz w:val="24"/>
          <w:szCs w:val="24"/>
          <w:lang w:val="en-GB"/>
        </w:rPr>
      </w:pPr>
      <w:r w:rsidRPr="002F3EED">
        <w:rPr>
          <w:sz w:val="20"/>
          <w:szCs w:val="20"/>
          <w:lang w:val="en-GB"/>
        </w:rPr>
        <w:t>*b0c0- 2 adults without children, b0c1- 2 adults+ child, b1c0- 2 adults + baby, b1c1- 2 adults+ child+ baby</w:t>
      </w:r>
      <w:r>
        <w:rPr>
          <w:sz w:val="20"/>
          <w:szCs w:val="20"/>
          <w:lang w:val="en-GB"/>
        </w:rPr>
        <w:t>.</w:t>
      </w:r>
      <w:r w:rsidRPr="00F51893">
        <w:rPr>
          <w:rFonts w:ascii="Times New Roman" w:hAnsi="Times New Roman" w:cs="Times New Roman"/>
          <w:sz w:val="24"/>
          <w:szCs w:val="24"/>
          <w:lang w:val="en-GB"/>
        </w:rPr>
        <w:t xml:space="preserve"> </w:t>
      </w:r>
    </w:p>
    <w:sectPr w:rsidR="00CA4FD3" w:rsidRPr="00F51893" w:rsidSect="00F51893">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14C" w:rsidRDefault="00F2614C" w:rsidP="00873393">
      <w:pPr>
        <w:spacing w:after="0" w:line="240" w:lineRule="auto"/>
      </w:pPr>
      <w:r>
        <w:separator/>
      </w:r>
    </w:p>
  </w:endnote>
  <w:endnote w:type="continuationSeparator" w:id="0">
    <w:p w:rsidR="00F2614C" w:rsidRDefault="00F2614C" w:rsidP="00873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2495817"/>
      <w:docPartObj>
        <w:docPartGallery w:val="Page Numbers (Bottom of Page)"/>
        <w:docPartUnique/>
      </w:docPartObj>
    </w:sdtPr>
    <w:sdtEndPr/>
    <w:sdtContent>
      <w:p w:rsidR="00C54618" w:rsidRDefault="00C54618">
        <w:pPr>
          <w:pStyle w:val="Pieddepage"/>
          <w:jc w:val="right"/>
        </w:pPr>
        <w:r>
          <w:fldChar w:fldCharType="begin"/>
        </w:r>
        <w:r>
          <w:instrText>PAGE   \* MERGEFORMAT</w:instrText>
        </w:r>
        <w:r>
          <w:fldChar w:fldCharType="separate"/>
        </w:r>
        <w:r w:rsidR="008C5DFA">
          <w:rPr>
            <w:noProof/>
          </w:rPr>
          <w:t>6</w:t>
        </w:r>
        <w:r>
          <w:fldChar w:fldCharType="end"/>
        </w:r>
      </w:p>
    </w:sdtContent>
  </w:sdt>
  <w:p w:rsidR="00C54618" w:rsidRDefault="00C5461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14C" w:rsidRDefault="00F2614C" w:rsidP="00873393">
      <w:pPr>
        <w:spacing w:after="0" w:line="240" w:lineRule="auto"/>
      </w:pPr>
      <w:r>
        <w:separator/>
      </w:r>
    </w:p>
  </w:footnote>
  <w:footnote w:type="continuationSeparator" w:id="0">
    <w:p w:rsidR="00F2614C" w:rsidRDefault="00F2614C" w:rsidP="008733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2F1059"/>
    <w:multiLevelType w:val="hybridMultilevel"/>
    <w:tmpl w:val="7FE033D2"/>
    <w:lvl w:ilvl="0" w:tplc="4BA2DFE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A9A6D84"/>
    <w:multiLevelType w:val="hybridMultilevel"/>
    <w:tmpl w:val="7FE033D2"/>
    <w:lvl w:ilvl="0" w:tplc="4BA2DFE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6D1301E"/>
    <w:multiLevelType w:val="hybridMultilevel"/>
    <w:tmpl w:val="7FE033D2"/>
    <w:lvl w:ilvl="0" w:tplc="4BA2DFE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F35592B"/>
    <w:multiLevelType w:val="hybridMultilevel"/>
    <w:tmpl w:val="7FE033D2"/>
    <w:lvl w:ilvl="0" w:tplc="4BA2DFE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6F2"/>
    <w:rsid w:val="00003FBD"/>
    <w:rsid w:val="00007697"/>
    <w:rsid w:val="000207F2"/>
    <w:rsid w:val="00022E86"/>
    <w:rsid w:val="000805D2"/>
    <w:rsid w:val="00097010"/>
    <w:rsid w:val="000C023D"/>
    <w:rsid w:val="000C7D2E"/>
    <w:rsid w:val="000E5976"/>
    <w:rsid w:val="00113D5E"/>
    <w:rsid w:val="001153ED"/>
    <w:rsid w:val="0012437C"/>
    <w:rsid w:val="001358B2"/>
    <w:rsid w:val="0015356A"/>
    <w:rsid w:val="0015509F"/>
    <w:rsid w:val="00165B92"/>
    <w:rsid w:val="00167C1A"/>
    <w:rsid w:val="0017145B"/>
    <w:rsid w:val="00177690"/>
    <w:rsid w:val="001827A9"/>
    <w:rsid w:val="001912B9"/>
    <w:rsid w:val="00196F35"/>
    <w:rsid w:val="00197BF9"/>
    <w:rsid w:val="001C63DE"/>
    <w:rsid w:val="001E4923"/>
    <w:rsid w:val="001F746A"/>
    <w:rsid w:val="002242C0"/>
    <w:rsid w:val="002451FA"/>
    <w:rsid w:val="002755DD"/>
    <w:rsid w:val="002758DC"/>
    <w:rsid w:val="0028561B"/>
    <w:rsid w:val="002856C9"/>
    <w:rsid w:val="002B52FF"/>
    <w:rsid w:val="002B5874"/>
    <w:rsid w:val="002C7656"/>
    <w:rsid w:val="002D7C2D"/>
    <w:rsid w:val="002E3A96"/>
    <w:rsid w:val="00320422"/>
    <w:rsid w:val="0032099F"/>
    <w:rsid w:val="0032241E"/>
    <w:rsid w:val="00325629"/>
    <w:rsid w:val="00336EE3"/>
    <w:rsid w:val="0034122D"/>
    <w:rsid w:val="00366DDE"/>
    <w:rsid w:val="00371446"/>
    <w:rsid w:val="00380089"/>
    <w:rsid w:val="0039658C"/>
    <w:rsid w:val="003A21C8"/>
    <w:rsid w:val="003B7DFE"/>
    <w:rsid w:val="003C4078"/>
    <w:rsid w:val="003D7DFE"/>
    <w:rsid w:val="00414BCE"/>
    <w:rsid w:val="0042222C"/>
    <w:rsid w:val="00436F06"/>
    <w:rsid w:val="00451253"/>
    <w:rsid w:val="00466DDC"/>
    <w:rsid w:val="00472C89"/>
    <w:rsid w:val="00483541"/>
    <w:rsid w:val="004953D5"/>
    <w:rsid w:val="004B4D2B"/>
    <w:rsid w:val="004B745B"/>
    <w:rsid w:val="004C3349"/>
    <w:rsid w:val="004D7625"/>
    <w:rsid w:val="004F259B"/>
    <w:rsid w:val="00533537"/>
    <w:rsid w:val="00537743"/>
    <w:rsid w:val="00543793"/>
    <w:rsid w:val="00567591"/>
    <w:rsid w:val="005A045B"/>
    <w:rsid w:val="005B3E54"/>
    <w:rsid w:val="005C6F9A"/>
    <w:rsid w:val="005E69BB"/>
    <w:rsid w:val="005E78B4"/>
    <w:rsid w:val="005F1961"/>
    <w:rsid w:val="006007F3"/>
    <w:rsid w:val="00611E6A"/>
    <w:rsid w:val="006263B3"/>
    <w:rsid w:val="00656D62"/>
    <w:rsid w:val="0066656F"/>
    <w:rsid w:val="006841E4"/>
    <w:rsid w:val="006A2E99"/>
    <w:rsid w:val="006C7326"/>
    <w:rsid w:val="006F066E"/>
    <w:rsid w:val="006F2F5E"/>
    <w:rsid w:val="00733775"/>
    <w:rsid w:val="0074559C"/>
    <w:rsid w:val="007456F2"/>
    <w:rsid w:val="00753FE7"/>
    <w:rsid w:val="0075656D"/>
    <w:rsid w:val="00782B9F"/>
    <w:rsid w:val="00783C78"/>
    <w:rsid w:val="007876AF"/>
    <w:rsid w:val="007932A2"/>
    <w:rsid w:val="007A11A9"/>
    <w:rsid w:val="007A658C"/>
    <w:rsid w:val="007B3D49"/>
    <w:rsid w:val="007B7B56"/>
    <w:rsid w:val="007C16C9"/>
    <w:rsid w:val="007E4CA0"/>
    <w:rsid w:val="007F75DD"/>
    <w:rsid w:val="00823B69"/>
    <w:rsid w:val="00873393"/>
    <w:rsid w:val="00881A8D"/>
    <w:rsid w:val="00892C66"/>
    <w:rsid w:val="008A604F"/>
    <w:rsid w:val="008C5DFA"/>
    <w:rsid w:val="008D7C46"/>
    <w:rsid w:val="008F2F28"/>
    <w:rsid w:val="00904291"/>
    <w:rsid w:val="00920E27"/>
    <w:rsid w:val="00930B8D"/>
    <w:rsid w:val="00954DAA"/>
    <w:rsid w:val="00955B36"/>
    <w:rsid w:val="0098022D"/>
    <w:rsid w:val="00986F7D"/>
    <w:rsid w:val="009A2EB7"/>
    <w:rsid w:val="009D2745"/>
    <w:rsid w:val="009D7ED9"/>
    <w:rsid w:val="009E2A15"/>
    <w:rsid w:val="009E3708"/>
    <w:rsid w:val="009F236B"/>
    <w:rsid w:val="009F716A"/>
    <w:rsid w:val="00A01A07"/>
    <w:rsid w:val="00A273F2"/>
    <w:rsid w:val="00A42232"/>
    <w:rsid w:val="00A70BE4"/>
    <w:rsid w:val="00A710A2"/>
    <w:rsid w:val="00A7261A"/>
    <w:rsid w:val="00A7408A"/>
    <w:rsid w:val="00AB546F"/>
    <w:rsid w:val="00AB5E2A"/>
    <w:rsid w:val="00AC5931"/>
    <w:rsid w:val="00AE71BF"/>
    <w:rsid w:val="00AF07AA"/>
    <w:rsid w:val="00AF0B2A"/>
    <w:rsid w:val="00B0255B"/>
    <w:rsid w:val="00B041D9"/>
    <w:rsid w:val="00B14787"/>
    <w:rsid w:val="00B27CF4"/>
    <w:rsid w:val="00B4246C"/>
    <w:rsid w:val="00B601C8"/>
    <w:rsid w:val="00B60D66"/>
    <w:rsid w:val="00B747B3"/>
    <w:rsid w:val="00B77C5D"/>
    <w:rsid w:val="00B83458"/>
    <w:rsid w:val="00B95678"/>
    <w:rsid w:val="00BB4123"/>
    <w:rsid w:val="00BB4C62"/>
    <w:rsid w:val="00BC4829"/>
    <w:rsid w:val="00BD5B83"/>
    <w:rsid w:val="00BE1A11"/>
    <w:rsid w:val="00BF17FB"/>
    <w:rsid w:val="00C02507"/>
    <w:rsid w:val="00C04287"/>
    <w:rsid w:val="00C23554"/>
    <w:rsid w:val="00C3345A"/>
    <w:rsid w:val="00C54618"/>
    <w:rsid w:val="00C95FDA"/>
    <w:rsid w:val="00C97C7C"/>
    <w:rsid w:val="00CA4FD3"/>
    <w:rsid w:val="00CB1D4B"/>
    <w:rsid w:val="00CC68F1"/>
    <w:rsid w:val="00CC6CAC"/>
    <w:rsid w:val="00CF6DA4"/>
    <w:rsid w:val="00D0056E"/>
    <w:rsid w:val="00D135BC"/>
    <w:rsid w:val="00D21302"/>
    <w:rsid w:val="00D33D12"/>
    <w:rsid w:val="00D54669"/>
    <w:rsid w:val="00D566BE"/>
    <w:rsid w:val="00D632AD"/>
    <w:rsid w:val="00D639E8"/>
    <w:rsid w:val="00D84558"/>
    <w:rsid w:val="00DC431D"/>
    <w:rsid w:val="00E01D0E"/>
    <w:rsid w:val="00E05354"/>
    <w:rsid w:val="00E1465B"/>
    <w:rsid w:val="00E17FE6"/>
    <w:rsid w:val="00E206A3"/>
    <w:rsid w:val="00E311E9"/>
    <w:rsid w:val="00E35DB5"/>
    <w:rsid w:val="00E44375"/>
    <w:rsid w:val="00E716F3"/>
    <w:rsid w:val="00E84A24"/>
    <w:rsid w:val="00E85A26"/>
    <w:rsid w:val="00E8686F"/>
    <w:rsid w:val="00E86F7F"/>
    <w:rsid w:val="00EA12A0"/>
    <w:rsid w:val="00EA21F4"/>
    <w:rsid w:val="00EB7406"/>
    <w:rsid w:val="00EC1C20"/>
    <w:rsid w:val="00EC6C42"/>
    <w:rsid w:val="00EE1F47"/>
    <w:rsid w:val="00EE22B2"/>
    <w:rsid w:val="00EE68D1"/>
    <w:rsid w:val="00EF1AB0"/>
    <w:rsid w:val="00F160EB"/>
    <w:rsid w:val="00F2614C"/>
    <w:rsid w:val="00F51893"/>
    <w:rsid w:val="00F72F10"/>
    <w:rsid w:val="00F87E0B"/>
    <w:rsid w:val="00F95D75"/>
    <w:rsid w:val="00FA024A"/>
    <w:rsid w:val="00FC1B36"/>
    <w:rsid w:val="00FC5E27"/>
    <w:rsid w:val="00FF0184"/>
    <w:rsid w:val="00FF46C5"/>
    <w:rsid w:val="00FF615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E06CA"/>
  <w15:chartTrackingRefBased/>
  <w15:docId w15:val="{E4841FFF-2A90-4710-86FF-50F726D5E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E86F7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unhideWhenUsed/>
    <w:rsid w:val="00954DAA"/>
    <w:pPr>
      <w:tabs>
        <w:tab w:val="left" w:pos="504"/>
      </w:tabs>
      <w:spacing w:after="240" w:line="240" w:lineRule="auto"/>
      <w:ind w:left="504" w:hanging="504"/>
    </w:pPr>
  </w:style>
  <w:style w:type="table" w:styleId="Grilledutableau">
    <w:name w:val="Table Grid"/>
    <w:basedOn w:val="TableauNormal"/>
    <w:uiPriority w:val="39"/>
    <w:rsid w:val="003B7D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3B7DFE"/>
    <w:pPr>
      <w:spacing w:after="200" w:line="240" w:lineRule="auto"/>
    </w:pPr>
    <w:rPr>
      <w:i/>
      <w:iCs/>
      <w:color w:val="44546A" w:themeColor="text2"/>
      <w:sz w:val="18"/>
      <w:szCs w:val="18"/>
    </w:rPr>
  </w:style>
  <w:style w:type="character" w:customStyle="1" w:styleId="Titre1Car">
    <w:name w:val="Titre 1 Car"/>
    <w:basedOn w:val="Policepardfaut"/>
    <w:link w:val="Titre1"/>
    <w:uiPriority w:val="9"/>
    <w:rsid w:val="00E86F7F"/>
    <w:rPr>
      <w:rFonts w:asciiTheme="majorHAnsi" w:eastAsiaTheme="majorEastAsia" w:hAnsiTheme="majorHAnsi" w:cstheme="majorBidi"/>
      <w:color w:val="2E74B5" w:themeColor="accent1" w:themeShade="BF"/>
      <w:sz w:val="32"/>
      <w:szCs w:val="32"/>
    </w:rPr>
  </w:style>
  <w:style w:type="paragraph" w:customStyle="1" w:styleId="MTDisplayEquation">
    <w:name w:val="MTDisplayEquation"/>
    <w:basedOn w:val="Normal"/>
    <w:next w:val="Normal"/>
    <w:link w:val="MTDisplayEquationCar"/>
    <w:uiPriority w:val="99"/>
    <w:rsid w:val="00A70BE4"/>
    <w:pPr>
      <w:tabs>
        <w:tab w:val="center" w:pos="4540"/>
        <w:tab w:val="right" w:pos="9080"/>
      </w:tabs>
      <w:spacing w:after="120" w:line="360" w:lineRule="auto"/>
      <w:jc w:val="both"/>
    </w:pPr>
    <w:rPr>
      <w:rFonts w:ascii="Times New Roman" w:eastAsia="MS Mincho" w:hAnsi="Times New Roman" w:cs="Times New Roman"/>
      <w:sz w:val="24"/>
      <w:szCs w:val="20"/>
      <w:lang w:val="en-US" w:eastAsia="ja-JP"/>
    </w:rPr>
  </w:style>
  <w:style w:type="character" w:customStyle="1" w:styleId="MTDisplayEquationCar">
    <w:name w:val="MTDisplayEquation Car"/>
    <w:link w:val="MTDisplayEquation"/>
    <w:uiPriority w:val="99"/>
    <w:locked/>
    <w:rsid w:val="00A70BE4"/>
    <w:rPr>
      <w:rFonts w:ascii="Times New Roman" w:eastAsia="MS Mincho" w:hAnsi="Times New Roman" w:cs="Times New Roman"/>
      <w:sz w:val="24"/>
      <w:szCs w:val="20"/>
      <w:lang w:val="en-US" w:eastAsia="ja-JP"/>
    </w:rPr>
  </w:style>
  <w:style w:type="paragraph" w:styleId="En-tte">
    <w:name w:val="header"/>
    <w:basedOn w:val="Normal"/>
    <w:link w:val="En-tteCar"/>
    <w:uiPriority w:val="99"/>
    <w:unhideWhenUsed/>
    <w:rsid w:val="00873393"/>
    <w:pPr>
      <w:tabs>
        <w:tab w:val="center" w:pos="4536"/>
        <w:tab w:val="right" w:pos="9072"/>
      </w:tabs>
      <w:spacing w:after="0" w:line="240" w:lineRule="auto"/>
    </w:pPr>
  </w:style>
  <w:style w:type="character" w:customStyle="1" w:styleId="En-tteCar">
    <w:name w:val="En-tête Car"/>
    <w:basedOn w:val="Policepardfaut"/>
    <w:link w:val="En-tte"/>
    <w:uiPriority w:val="99"/>
    <w:rsid w:val="00873393"/>
  </w:style>
  <w:style w:type="paragraph" w:styleId="Pieddepage">
    <w:name w:val="footer"/>
    <w:basedOn w:val="Normal"/>
    <w:link w:val="PieddepageCar"/>
    <w:uiPriority w:val="99"/>
    <w:unhideWhenUsed/>
    <w:rsid w:val="0087339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73393"/>
  </w:style>
  <w:style w:type="paragraph" w:styleId="Paragraphedeliste">
    <w:name w:val="List Paragraph"/>
    <w:basedOn w:val="Normal"/>
    <w:uiPriority w:val="34"/>
    <w:qFormat/>
    <w:rsid w:val="00CA4F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idia\Lidia\Recherche%20Lidia\Projet%20ESBL%20Ville\NetLogo\Results\Model_23_calibration_article\sensitivity%20analysis%202\univariate%20sa\Result_varied_background%20colon_index_moth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Lidia\Lidia\Recherche%20Lidia\Projet%20ESBL%20Ville\NetLogo\Results\Model_23_calibration_article\sensitivity%20analysis%202\univariate%20sa\Result_article_varied_background%20colon_index_mother.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base case with varied proba b.colon </c:v>
          </c:tx>
          <c:spPr>
            <a:solidFill>
              <a:schemeClr val="accent1"/>
            </a:solidFill>
            <a:ln>
              <a:noFill/>
            </a:ln>
            <a:effectLst/>
          </c:spPr>
          <c:invertIfNegative val="0"/>
          <c:cat>
            <c:numRef>
              <c:f>Feuil1!$B$2:$B$51</c:f>
              <c:numCache>
                <c:formatCode>0.000000</c:formatCode>
                <c:ptCount val="50"/>
                <c:pt idx="0" formatCode="0.00000">
                  <c:v>1E-4</c:v>
                </c:pt>
                <c:pt idx="1">
                  <c:v>2.1191919191919199E-3</c:v>
                </c:pt>
                <c:pt idx="2" formatCode="0.000">
                  <c:v>4.1383838383838396E-3</c:v>
                </c:pt>
                <c:pt idx="3" formatCode="0.000">
                  <c:v>6.1575757575757601E-3</c:v>
                </c:pt>
                <c:pt idx="4" formatCode="0.000">
                  <c:v>8.1767676767676798E-3</c:v>
                </c:pt>
                <c:pt idx="5" formatCode="0.000">
                  <c:v>1.01959595959596E-2</c:v>
                </c:pt>
                <c:pt idx="6" formatCode="0.000">
                  <c:v>1.22151515151515E-2</c:v>
                </c:pt>
                <c:pt idx="7" formatCode="0.000">
                  <c:v>1.42343434343434E-2</c:v>
                </c:pt>
                <c:pt idx="8" formatCode="0.000">
                  <c:v>1.6253535353535398E-2</c:v>
                </c:pt>
                <c:pt idx="9" formatCode="0.000">
                  <c:v>1.8272727272727302E-2</c:v>
                </c:pt>
                <c:pt idx="10" formatCode="0.000">
                  <c:v>2.0291919191919201E-2</c:v>
                </c:pt>
                <c:pt idx="11" formatCode="0.000">
                  <c:v>2.2311111111111101E-2</c:v>
                </c:pt>
                <c:pt idx="12" formatCode="0.000">
                  <c:v>2.4330303030303001E-2</c:v>
                </c:pt>
                <c:pt idx="13" formatCode="0.000">
                  <c:v>2.63494949494949E-2</c:v>
                </c:pt>
                <c:pt idx="14" formatCode="0.000">
                  <c:v>2.8368686868686901E-2</c:v>
                </c:pt>
                <c:pt idx="15" formatCode="0.000">
                  <c:v>3.0387878787878801E-2</c:v>
                </c:pt>
                <c:pt idx="16" formatCode="0.000">
                  <c:v>3.2407070707070697E-2</c:v>
                </c:pt>
                <c:pt idx="17" formatCode="0.000">
                  <c:v>3.4426262626262603E-2</c:v>
                </c:pt>
                <c:pt idx="18" formatCode="0.000">
                  <c:v>3.64454545454546E-2</c:v>
                </c:pt>
                <c:pt idx="19" formatCode="0.000">
                  <c:v>3.84646464646465E-2</c:v>
                </c:pt>
                <c:pt idx="20" formatCode="0.000">
                  <c:v>4.04838383838384E-2</c:v>
                </c:pt>
                <c:pt idx="21" formatCode="0.000">
                  <c:v>4.2503030303030299E-2</c:v>
                </c:pt>
                <c:pt idx="22" formatCode="0.000">
                  <c:v>4.4522222222222199E-2</c:v>
                </c:pt>
                <c:pt idx="23" formatCode="0.000">
                  <c:v>4.6541414141414099E-2</c:v>
                </c:pt>
                <c:pt idx="24" formatCode="0.000">
                  <c:v>4.8560606060606103E-2</c:v>
                </c:pt>
                <c:pt idx="25" formatCode="0.000">
                  <c:v>5.0579797979798002E-2</c:v>
                </c:pt>
                <c:pt idx="26" formatCode="0.000">
                  <c:v>5.2598989898989902E-2</c:v>
                </c:pt>
                <c:pt idx="27" formatCode="0.000">
                  <c:v>5.4618181818181802E-2</c:v>
                </c:pt>
                <c:pt idx="28" formatCode="0.000">
                  <c:v>5.6637373737373702E-2</c:v>
                </c:pt>
                <c:pt idx="29" formatCode="0.000">
                  <c:v>5.8656565656565698E-2</c:v>
                </c:pt>
                <c:pt idx="30" formatCode="0.000">
                  <c:v>6.0675757575757598E-2</c:v>
                </c:pt>
                <c:pt idx="31" formatCode="0.000">
                  <c:v>6.2694949494949498E-2</c:v>
                </c:pt>
                <c:pt idx="32" formatCode="0.000">
                  <c:v>6.4714141414141405E-2</c:v>
                </c:pt>
                <c:pt idx="33" formatCode="0.000">
                  <c:v>6.6733333333333297E-2</c:v>
                </c:pt>
                <c:pt idx="34" formatCode="0.000">
                  <c:v>6.8752525252525301E-2</c:v>
                </c:pt>
                <c:pt idx="35" formatCode="0.000">
                  <c:v>7.0771717171717194E-2</c:v>
                </c:pt>
                <c:pt idx="36" formatCode="0.000">
                  <c:v>7.2790909090909101E-2</c:v>
                </c:pt>
                <c:pt idx="37" formatCode="0.000">
                  <c:v>7.4810101010100993E-2</c:v>
                </c:pt>
                <c:pt idx="38" formatCode="0.000">
                  <c:v>7.68292929292929E-2</c:v>
                </c:pt>
                <c:pt idx="39" formatCode="0.000">
                  <c:v>7.8848484848484807E-2</c:v>
                </c:pt>
                <c:pt idx="40" formatCode="0.000">
                  <c:v>8.0867676767676797E-2</c:v>
                </c:pt>
                <c:pt idx="41" formatCode="0.000">
                  <c:v>8.2886868686868703E-2</c:v>
                </c:pt>
                <c:pt idx="42" formatCode="0.000">
                  <c:v>8.4906060606060596E-2</c:v>
                </c:pt>
                <c:pt idx="43" formatCode="0.000">
                  <c:v>8.6925252525252503E-2</c:v>
                </c:pt>
                <c:pt idx="44" formatCode="0.000">
                  <c:v>8.8944444444444506E-2</c:v>
                </c:pt>
                <c:pt idx="45" formatCode="0.000">
                  <c:v>9.0963636363636399E-2</c:v>
                </c:pt>
                <c:pt idx="46" formatCode="0.000">
                  <c:v>9.2982828282828306E-2</c:v>
                </c:pt>
                <c:pt idx="47" formatCode="0.000">
                  <c:v>9.5002020202020199E-2</c:v>
                </c:pt>
                <c:pt idx="48" formatCode="0.000">
                  <c:v>9.7021212121212105E-2</c:v>
                </c:pt>
                <c:pt idx="49" formatCode="0.000">
                  <c:v>9.9040404040403998E-2</c:v>
                </c:pt>
              </c:numCache>
            </c:numRef>
          </c:cat>
          <c:val>
            <c:numRef>
              <c:f>Feuil1!$C$2:$C$51</c:f>
              <c:numCache>
                <c:formatCode>General</c:formatCode>
                <c:ptCount val="50"/>
                <c:pt idx="0">
                  <c:v>0.656266666666667</c:v>
                </c:pt>
                <c:pt idx="1">
                  <c:v>0.72603333333333298</c:v>
                </c:pt>
                <c:pt idx="2">
                  <c:v>0.75680000000000003</c:v>
                </c:pt>
                <c:pt idx="3">
                  <c:v>0.76753333333333296</c:v>
                </c:pt>
                <c:pt idx="4">
                  <c:v>0.77829999999999999</c:v>
                </c:pt>
                <c:pt idx="5">
                  <c:v>0.78690000000000004</c:v>
                </c:pt>
                <c:pt idx="6">
                  <c:v>0.78876666666666695</c:v>
                </c:pt>
                <c:pt idx="7">
                  <c:v>0.79520000000000002</c:v>
                </c:pt>
                <c:pt idx="8">
                  <c:v>0.79863333333333297</c:v>
                </c:pt>
                <c:pt idx="9">
                  <c:v>0.79716666666666702</c:v>
                </c:pt>
                <c:pt idx="10">
                  <c:v>0.79626666666666701</c:v>
                </c:pt>
                <c:pt idx="11">
                  <c:v>0.79596666666666704</c:v>
                </c:pt>
                <c:pt idx="12">
                  <c:v>0.79179999999999995</c:v>
                </c:pt>
                <c:pt idx="13">
                  <c:v>0.79213333333333302</c:v>
                </c:pt>
                <c:pt idx="14">
                  <c:v>0.78256666666666697</c:v>
                </c:pt>
                <c:pt idx="15">
                  <c:v>0.78366666666666696</c:v>
                </c:pt>
                <c:pt idx="16">
                  <c:v>0.77639999999999998</c:v>
                </c:pt>
                <c:pt idx="17">
                  <c:v>0.76886666666666703</c:v>
                </c:pt>
                <c:pt idx="18">
                  <c:v>0.76133333333333297</c:v>
                </c:pt>
                <c:pt idx="19">
                  <c:v>0.7591</c:v>
                </c:pt>
                <c:pt idx="20">
                  <c:v>0.74466666666666703</c:v>
                </c:pt>
                <c:pt idx="21">
                  <c:v>0.73899999999999999</c:v>
                </c:pt>
                <c:pt idx="22">
                  <c:v>0.73260000000000003</c:v>
                </c:pt>
                <c:pt idx="23">
                  <c:v>0.72273333333333301</c:v>
                </c:pt>
                <c:pt idx="24">
                  <c:v>0.718766666666667</c:v>
                </c:pt>
                <c:pt idx="25">
                  <c:v>0.71150000000000002</c:v>
                </c:pt>
                <c:pt idx="26">
                  <c:v>0.70313333333333305</c:v>
                </c:pt>
                <c:pt idx="27">
                  <c:v>0.69423333333333304</c:v>
                </c:pt>
                <c:pt idx="28">
                  <c:v>0.68866666666666698</c:v>
                </c:pt>
                <c:pt idx="29">
                  <c:v>0.67803333333333304</c:v>
                </c:pt>
                <c:pt idx="30">
                  <c:v>0.66743333333333299</c:v>
                </c:pt>
                <c:pt idx="31">
                  <c:v>0.65873333333333295</c:v>
                </c:pt>
                <c:pt idx="32">
                  <c:v>0.65900000000000003</c:v>
                </c:pt>
                <c:pt idx="33">
                  <c:v>0.6492</c:v>
                </c:pt>
                <c:pt idx="34">
                  <c:v>0.64400000000000002</c:v>
                </c:pt>
                <c:pt idx="35">
                  <c:v>0.63123333333333298</c:v>
                </c:pt>
                <c:pt idx="36">
                  <c:v>0.62239999999999995</c:v>
                </c:pt>
                <c:pt idx="37">
                  <c:v>0.61833333333333296</c:v>
                </c:pt>
                <c:pt idx="38">
                  <c:v>0.61099999999999999</c:v>
                </c:pt>
                <c:pt idx="39">
                  <c:v>0.60043333333333304</c:v>
                </c:pt>
                <c:pt idx="40">
                  <c:v>0.59770000000000001</c:v>
                </c:pt>
                <c:pt idx="41">
                  <c:v>0.59633333333333305</c:v>
                </c:pt>
                <c:pt idx="42">
                  <c:v>0.58376666666666699</c:v>
                </c:pt>
                <c:pt idx="43">
                  <c:v>0.57876666666666698</c:v>
                </c:pt>
                <c:pt idx="44">
                  <c:v>0.57276666666666698</c:v>
                </c:pt>
                <c:pt idx="45">
                  <c:v>0.56223333333333303</c:v>
                </c:pt>
                <c:pt idx="46">
                  <c:v>0.55820000000000003</c:v>
                </c:pt>
                <c:pt idx="47">
                  <c:v>0.55683333333333296</c:v>
                </c:pt>
                <c:pt idx="48">
                  <c:v>0.54763333333333297</c:v>
                </c:pt>
                <c:pt idx="49">
                  <c:v>0.538266666666667</c:v>
                </c:pt>
              </c:numCache>
            </c:numRef>
          </c:val>
          <c:extLst>
            <c:ext xmlns:c16="http://schemas.microsoft.com/office/drawing/2014/chart" uri="{C3380CC4-5D6E-409C-BE32-E72D297353CC}">
              <c16:uniqueId val="{00000000-7BFF-4A8E-AF13-BEA39FBE9BFF}"/>
            </c:ext>
          </c:extLst>
        </c:ser>
        <c:ser>
          <c:idx val="2"/>
          <c:order val="1"/>
          <c:tx>
            <c:v>base case</c:v>
          </c:tx>
          <c:spPr>
            <a:solidFill>
              <a:srgbClr val="FF0000"/>
            </a:solidFill>
            <a:ln>
              <a:solidFill>
                <a:srgbClr val="FF0000"/>
              </a:solidFill>
            </a:ln>
            <a:effectLst/>
          </c:spPr>
          <c:invertIfNegative val="0"/>
          <c:cat>
            <c:numRef>
              <c:f>Feuil1!$B$2:$B$51</c:f>
              <c:numCache>
                <c:formatCode>0.000000</c:formatCode>
                <c:ptCount val="50"/>
                <c:pt idx="0" formatCode="0.00000">
                  <c:v>1E-4</c:v>
                </c:pt>
                <c:pt idx="1">
                  <c:v>2.1191919191919199E-3</c:v>
                </c:pt>
                <c:pt idx="2" formatCode="0.000">
                  <c:v>4.1383838383838396E-3</c:v>
                </c:pt>
                <c:pt idx="3" formatCode="0.000">
                  <c:v>6.1575757575757601E-3</c:v>
                </c:pt>
                <c:pt idx="4" formatCode="0.000">
                  <c:v>8.1767676767676798E-3</c:v>
                </c:pt>
                <c:pt idx="5" formatCode="0.000">
                  <c:v>1.01959595959596E-2</c:v>
                </c:pt>
                <c:pt idx="6" formatCode="0.000">
                  <c:v>1.22151515151515E-2</c:v>
                </c:pt>
                <c:pt idx="7" formatCode="0.000">
                  <c:v>1.42343434343434E-2</c:v>
                </c:pt>
                <c:pt idx="8" formatCode="0.000">
                  <c:v>1.6253535353535398E-2</c:v>
                </c:pt>
                <c:pt idx="9" formatCode="0.000">
                  <c:v>1.8272727272727302E-2</c:v>
                </c:pt>
                <c:pt idx="10" formatCode="0.000">
                  <c:v>2.0291919191919201E-2</c:v>
                </c:pt>
                <c:pt idx="11" formatCode="0.000">
                  <c:v>2.2311111111111101E-2</c:v>
                </c:pt>
                <c:pt idx="12" formatCode="0.000">
                  <c:v>2.4330303030303001E-2</c:v>
                </c:pt>
                <c:pt idx="13" formatCode="0.000">
                  <c:v>2.63494949494949E-2</c:v>
                </c:pt>
                <c:pt idx="14" formatCode="0.000">
                  <c:v>2.8368686868686901E-2</c:v>
                </c:pt>
                <c:pt idx="15" formatCode="0.000">
                  <c:v>3.0387878787878801E-2</c:v>
                </c:pt>
                <c:pt idx="16" formatCode="0.000">
                  <c:v>3.2407070707070697E-2</c:v>
                </c:pt>
                <c:pt idx="17" formatCode="0.000">
                  <c:v>3.4426262626262603E-2</c:v>
                </c:pt>
                <c:pt idx="18" formatCode="0.000">
                  <c:v>3.64454545454546E-2</c:v>
                </c:pt>
                <c:pt idx="19" formatCode="0.000">
                  <c:v>3.84646464646465E-2</c:v>
                </c:pt>
                <c:pt idx="20" formatCode="0.000">
                  <c:v>4.04838383838384E-2</c:v>
                </c:pt>
                <c:pt idx="21" formatCode="0.000">
                  <c:v>4.2503030303030299E-2</c:v>
                </c:pt>
                <c:pt idx="22" formatCode="0.000">
                  <c:v>4.4522222222222199E-2</c:v>
                </c:pt>
                <c:pt idx="23" formatCode="0.000">
                  <c:v>4.6541414141414099E-2</c:v>
                </c:pt>
                <c:pt idx="24" formatCode="0.000">
                  <c:v>4.8560606060606103E-2</c:v>
                </c:pt>
                <c:pt idx="25" formatCode="0.000">
                  <c:v>5.0579797979798002E-2</c:v>
                </c:pt>
                <c:pt idx="26" formatCode="0.000">
                  <c:v>5.2598989898989902E-2</c:v>
                </c:pt>
                <c:pt idx="27" formatCode="0.000">
                  <c:v>5.4618181818181802E-2</c:v>
                </c:pt>
                <c:pt idx="28" formatCode="0.000">
                  <c:v>5.6637373737373702E-2</c:v>
                </c:pt>
                <c:pt idx="29" formatCode="0.000">
                  <c:v>5.8656565656565698E-2</c:v>
                </c:pt>
                <c:pt idx="30" formatCode="0.000">
                  <c:v>6.0675757575757598E-2</c:v>
                </c:pt>
                <c:pt idx="31" formatCode="0.000">
                  <c:v>6.2694949494949498E-2</c:v>
                </c:pt>
                <c:pt idx="32" formatCode="0.000">
                  <c:v>6.4714141414141405E-2</c:v>
                </c:pt>
                <c:pt idx="33" formatCode="0.000">
                  <c:v>6.6733333333333297E-2</c:v>
                </c:pt>
                <c:pt idx="34" formatCode="0.000">
                  <c:v>6.8752525252525301E-2</c:v>
                </c:pt>
                <c:pt idx="35" formatCode="0.000">
                  <c:v>7.0771717171717194E-2</c:v>
                </c:pt>
                <c:pt idx="36" formatCode="0.000">
                  <c:v>7.2790909090909101E-2</c:v>
                </c:pt>
                <c:pt idx="37" formatCode="0.000">
                  <c:v>7.4810101010100993E-2</c:v>
                </c:pt>
                <c:pt idx="38" formatCode="0.000">
                  <c:v>7.68292929292929E-2</c:v>
                </c:pt>
                <c:pt idx="39" formatCode="0.000">
                  <c:v>7.8848484848484807E-2</c:v>
                </c:pt>
                <c:pt idx="40" formatCode="0.000">
                  <c:v>8.0867676767676797E-2</c:v>
                </c:pt>
                <c:pt idx="41" formatCode="0.000">
                  <c:v>8.2886868686868703E-2</c:v>
                </c:pt>
                <c:pt idx="42" formatCode="0.000">
                  <c:v>8.4906060606060596E-2</c:v>
                </c:pt>
                <c:pt idx="43" formatCode="0.000">
                  <c:v>8.6925252525252503E-2</c:v>
                </c:pt>
                <c:pt idx="44" formatCode="0.000">
                  <c:v>8.8944444444444506E-2</c:v>
                </c:pt>
                <c:pt idx="45" formatCode="0.000">
                  <c:v>9.0963636363636399E-2</c:v>
                </c:pt>
                <c:pt idx="46" formatCode="0.000">
                  <c:v>9.2982828282828306E-2</c:v>
                </c:pt>
                <c:pt idx="47" formatCode="0.000">
                  <c:v>9.5002020202020199E-2</c:v>
                </c:pt>
                <c:pt idx="48" formatCode="0.000">
                  <c:v>9.7021212121212105E-2</c:v>
                </c:pt>
                <c:pt idx="49" formatCode="0.000">
                  <c:v>9.9040404040403998E-2</c:v>
                </c:pt>
              </c:numCache>
            </c:numRef>
          </c:cat>
          <c:val>
            <c:numRef>
              <c:f>Feuil1!$J$2</c:f>
              <c:numCache>
                <c:formatCode>General</c:formatCode>
                <c:ptCount val="1"/>
                <c:pt idx="0">
                  <c:v>0.65800000000000003</c:v>
                </c:pt>
              </c:numCache>
            </c:numRef>
          </c:val>
          <c:extLst>
            <c:ext xmlns:c16="http://schemas.microsoft.com/office/drawing/2014/chart" uri="{C3380CC4-5D6E-409C-BE32-E72D297353CC}">
              <c16:uniqueId val="{00000001-7BFF-4A8E-AF13-BEA39FBE9BFF}"/>
            </c:ext>
          </c:extLst>
        </c:ser>
        <c:dLbls>
          <c:showLegendKey val="0"/>
          <c:showVal val="0"/>
          <c:showCatName val="0"/>
          <c:showSerName val="0"/>
          <c:showPercent val="0"/>
          <c:showBubbleSize val="0"/>
        </c:dLbls>
        <c:gapWidth val="219"/>
        <c:overlap val="-27"/>
        <c:axId val="288810928"/>
        <c:axId val="288811256"/>
      </c:barChart>
      <c:catAx>
        <c:axId val="28881092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000" b="0" i="0" u="none" strike="noStrike" baseline="0">
                    <a:effectLst/>
                  </a:rPr>
                  <a:t>Daily probability of background colonisation </a:t>
                </a:r>
                <a:endParaRPr lang="fr-F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0.00000"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88811256"/>
        <c:crosses val="autoZero"/>
        <c:auto val="1"/>
        <c:lblAlgn val="ctr"/>
        <c:lblOffset val="100"/>
        <c:noMultiLvlLbl val="0"/>
      </c:catAx>
      <c:valAx>
        <c:axId val="2888112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a:t>Probability of ESBL-EC acquisition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88810928"/>
        <c:crosses val="autoZero"/>
        <c:crossBetween val="between"/>
      </c:valAx>
      <c:spPr>
        <a:noFill/>
        <a:ln>
          <a:noFill/>
        </a:ln>
        <a:effectLst/>
      </c:spPr>
    </c:plotArea>
    <c:legend>
      <c:legendPos val="b"/>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base case</c:v>
          </c:tx>
          <c:spPr>
            <a:solidFill>
              <a:schemeClr val="accent6"/>
            </a:solidFill>
            <a:ln>
              <a:solidFill>
                <a:schemeClr val="accent6"/>
              </a:solidFill>
            </a:ln>
            <a:effectLst/>
          </c:spPr>
          <c:invertIfNegative val="0"/>
          <c:cat>
            <c:numRef>
              <c:f>Feuil1!$B$3:$B$52</c:f>
              <c:numCache>
                <c:formatCode>0.000000</c:formatCode>
                <c:ptCount val="50"/>
                <c:pt idx="0" formatCode="0.00000">
                  <c:v>1E-4</c:v>
                </c:pt>
                <c:pt idx="1">
                  <c:v>2.1191919191919199E-3</c:v>
                </c:pt>
                <c:pt idx="2" formatCode="0.000">
                  <c:v>4.1383838383838396E-3</c:v>
                </c:pt>
                <c:pt idx="3" formatCode="0.000">
                  <c:v>6.1575757575757601E-3</c:v>
                </c:pt>
                <c:pt idx="4" formatCode="0.000">
                  <c:v>8.1767676767676798E-3</c:v>
                </c:pt>
                <c:pt idx="5" formatCode="0.000">
                  <c:v>1.01959595959596E-2</c:v>
                </c:pt>
                <c:pt idx="6" formatCode="0.000">
                  <c:v>1.22151515151515E-2</c:v>
                </c:pt>
                <c:pt idx="7" formatCode="0.000">
                  <c:v>1.42343434343434E-2</c:v>
                </c:pt>
                <c:pt idx="8" formatCode="0.000">
                  <c:v>1.6253535353535398E-2</c:v>
                </c:pt>
                <c:pt idx="9" formatCode="0.000">
                  <c:v>1.8272727272727302E-2</c:v>
                </c:pt>
                <c:pt idx="10" formatCode="0.000">
                  <c:v>2.0291919191919201E-2</c:v>
                </c:pt>
                <c:pt idx="11" formatCode="0.000">
                  <c:v>2.2311111111111101E-2</c:v>
                </c:pt>
                <c:pt idx="12" formatCode="0.000">
                  <c:v>2.4330303030303001E-2</c:v>
                </c:pt>
                <c:pt idx="13" formatCode="0.000">
                  <c:v>2.63494949494949E-2</c:v>
                </c:pt>
                <c:pt idx="14" formatCode="0.000">
                  <c:v>2.8368686868686901E-2</c:v>
                </c:pt>
                <c:pt idx="15" formatCode="0.000">
                  <c:v>3.0387878787878801E-2</c:v>
                </c:pt>
                <c:pt idx="16" formatCode="0.000">
                  <c:v>3.2407070707070697E-2</c:v>
                </c:pt>
                <c:pt idx="17" formatCode="0.000">
                  <c:v>3.4426262626262603E-2</c:v>
                </c:pt>
                <c:pt idx="18" formatCode="0.000">
                  <c:v>3.64454545454546E-2</c:v>
                </c:pt>
                <c:pt idx="19" formatCode="0.000">
                  <c:v>3.84646464646465E-2</c:v>
                </c:pt>
                <c:pt idx="20" formatCode="0.000">
                  <c:v>4.04838383838384E-2</c:v>
                </c:pt>
                <c:pt idx="21" formatCode="0.000">
                  <c:v>4.2503030303030299E-2</c:v>
                </c:pt>
                <c:pt idx="22" formatCode="0.000">
                  <c:v>4.4522222222222199E-2</c:v>
                </c:pt>
                <c:pt idx="23" formatCode="0.000">
                  <c:v>4.6541414141414099E-2</c:v>
                </c:pt>
                <c:pt idx="24" formatCode="0.000">
                  <c:v>4.8560606060606103E-2</c:v>
                </c:pt>
                <c:pt idx="25" formatCode="0.000">
                  <c:v>5.0579797979798002E-2</c:v>
                </c:pt>
                <c:pt idx="26" formatCode="0.000">
                  <c:v>5.2598989898989902E-2</c:v>
                </c:pt>
                <c:pt idx="27" formatCode="0.000">
                  <c:v>5.4618181818181802E-2</c:v>
                </c:pt>
                <c:pt idx="28" formatCode="0.000">
                  <c:v>5.6637373737373702E-2</c:v>
                </c:pt>
                <c:pt idx="29" formatCode="0.000">
                  <c:v>5.8656565656565698E-2</c:v>
                </c:pt>
                <c:pt idx="30" formatCode="0.000">
                  <c:v>6.0675757575757598E-2</c:v>
                </c:pt>
                <c:pt idx="31" formatCode="0.000">
                  <c:v>6.2694949494949498E-2</c:v>
                </c:pt>
                <c:pt idx="32" formatCode="0.000">
                  <c:v>6.4714141414141405E-2</c:v>
                </c:pt>
                <c:pt idx="33" formatCode="0.000">
                  <c:v>6.6733333333333297E-2</c:v>
                </c:pt>
                <c:pt idx="34" formatCode="0.000">
                  <c:v>6.8752525252525301E-2</c:v>
                </c:pt>
                <c:pt idx="35" formatCode="0.000">
                  <c:v>7.0771717171717194E-2</c:v>
                </c:pt>
                <c:pt idx="36" formatCode="0.000">
                  <c:v>7.2790909090909101E-2</c:v>
                </c:pt>
                <c:pt idx="37" formatCode="0.000">
                  <c:v>7.4810101010100993E-2</c:v>
                </c:pt>
                <c:pt idx="38" formatCode="0.000">
                  <c:v>7.68292929292929E-2</c:v>
                </c:pt>
                <c:pt idx="39" formatCode="0.000">
                  <c:v>7.8848484848484807E-2</c:v>
                </c:pt>
                <c:pt idx="40" formatCode="0.000">
                  <c:v>8.0867676767676797E-2</c:v>
                </c:pt>
                <c:pt idx="41" formatCode="0.000">
                  <c:v>8.2886868686868703E-2</c:v>
                </c:pt>
                <c:pt idx="42" formatCode="0.000">
                  <c:v>8.4906060606060596E-2</c:v>
                </c:pt>
                <c:pt idx="43" formatCode="0.000">
                  <c:v>8.6925252525252503E-2</c:v>
                </c:pt>
                <c:pt idx="44" formatCode="0.000">
                  <c:v>8.8944444444444506E-2</c:v>
                </c:pt>
                <c:pt idx="45" formatCode="0.000">
                  <c:v>9.0963636363636399E-2</c:v>
                </c:pt>
                <c:pt idx="46" formatCode="0.000">
                  <c:v>9.2982828282828306E-2</c:v>
                </c:pt>
                <c:pt idx="47" formatCode="0.000">
                  <c:v>9.5002020202020199E-2</c:v>
                </c:pt>
                <c:pt idx="48" formatCode="0.000">
                  <c:v>9.7021212121212105E-2</c:v>
                </c:pt>
                <c:pt idx="49" formatCode="0.000">
                  <c:v>9.9040404040403998E-2</c:v>
                </c:pt>
              </c:numCache>
            </c:numRef>
          </c:cat>
          <c:val>
            <c:numRef>
              <c:f>Feuil1!$D$3:$D$52</c:f>
              <c:numCache>
                <c:formatCode>General</c:formatCode>
                <c:ptCount val="50"/>
                <c:pt idx="0">
                  <c:v>187.7826</c:v>
                </c:pt>
                <c:pt idx="1">
                  <c:v>229.69376666666699</c:v>
                </c:pt>
                <c:pt idx="2">
                  <c:v>254.226333333333</c:v>
                </c:pt>
                <c:pt idx="3">
                  <c:v>271.295633333333</c:v>
                </c:pt>
                <c:pt idx="4">
                  <c:v>284.44843333333301</c:v>
                </c:pt>
                <c:pt idx="5">
                  <c:v>295.22816666666699</c:v>
                </c:pt>
                <c:pt idx="6">
                  <c:v>302.97370000000001</c:v>
                </c:pt>
                <c:pt idx="7">
                  <c:v>310.92660000000001</c:v>
                </c:pt>
                <c:pt idx="8">
                  <c:v>316.52379999999999</c:v>
                </c:pt>
                <c:pt idx="9">
                  <c:v>322.25049999999999</c:v>
                </c:pt>
                <c:pt idx="10">
                  <c:v>326.44733333333301</c:v>
                </c:pt>
                <c:pt idx="11">
                  <c:v>330.23469999999998</c:v>
                </c:pt>
                <c:pt idx="12">
                  <c:v>334.72489999999999</c:v>
                </c:pt>
                <c:pt idx="13">
                  <c:v>337.33269999999999</c:v>
                </c:pt>
                <c:pt idx="14">
                  <c:v>339.77186666666699</c:v>
                </c:pt>
                <c:pt idx="15">
                  <c:v>342.08853333333298</c:v>
                </c:pt>
                <c:pt idx="16">
                  <c:v>343.99136666666698</c:v>
                </c:pt>
                <c:pt idx="17">
                  <c:v>345.55053333333302</c:v>
                </c:pt>
                <c:pt idx="18">
                  <c:v>346.82613333333302</c:v>
                </c:pt>
                <c:pt idx="19">
                  <c:v>348.31313333333298</c:v>
                </c:pt>
                <c:pt idx="20">
                  <c:v>349.10786666666701</c:v>
                </c:pt>
                <c:pt idx="21">
                  <c:v>350.15333333333302</c:v>
                </c:pt>
                <c:pt idx="22">
                  <c:v>350.31346666666701</c:v>
                </c:pt>
                <c:pt idx="23">
                  <c:v>351.74013333333301</c:v>
                </c:pt>
                <c:pt idx="24">
                  <c:v>352.033633333333</c:v>
                </c:pt>
                <c:pt idx="25">
                  <c:v>352.62090000000001</c:v>
                </c:pt>
                <c:pt idx="26">
                  <c:v>353.39033333333299</c:v>
                </c:pt>
                <c:pt idx="27">
                  <c:v>354.10396666666702</c:v>
                </c:pt>
                <c:pt idx="28">
                  <c:v>353.85826666666702</c:v>
                </c:pt>
                <c:pt idx="29">
                  <c:v>355.24939999999998</c:v>
                </c:pt>
                <c:pt idx="30">
                  <c:v>355.27480000000003</c:v>
                </c:pt>
                <c:pt idx="31">
                  <c:v>355.32156666666702</c:v>
                </c:pt>
                <c:pt idx="32">
                  <c:v>355.85809999999998</c:v>
                </c:pt>
                <c:pt idx="33">
                  <c:v>355.73663333333297</c:v>
                </c:pt>
                <c:pt idx="34">
                  <c:v>356.56110000000001</c:v>
                </c:pt>
                <c:pt idx="35">
                  <c:v>355.97666666666697</c:v>
                </c:pt>
                <c:pt idx="36">
                  <c:v>356.79866666666697</c:v>
                </c:pt>
                <c:pt idx="37">
                  <c:v>356.96839999999997</c:v>
                </c:pt>
                <c:pt idx="38">
                  <c:v>357.534766666667</c:v>
                </c:pt>
                <c:pt idx="39">
                  <c:v>357.46</c:v>
                </c:pt>
                <c:pt idx="40">
                  <c:v>357.591133333333</c:v>
                </c:pt>
                <c:pt idx="41">
                  <c:v>357.94726666666702</c:v>
                </c:pt>
                <c:pt idx="42">
                  <c:v>357.26339999999999</c:v>
                </c:pt>
                <c:pt idx="43">
                  <c:v>358.32193333333299</c:v>
                </c:pt>
                <c:pt idx="44">
                  <c:v>358.31993333333298</c:v>
                </c:pt>
                <c:pt idx="45">
                  <c:v>357.96146666666698</c:v>
                </c:pt>
                <c:pt idx="46">
                  <c:v>358.48346666666703</c:v>
                </c:pt>
                <c:pt idx="47">
                  <c:v>358.249666666667</c:v>
                </c:pt>
                <c:pt idx="48">
                  <c:v>358.38593333333301</c:v>
                </c:pt>
                <c:pt idx="49">
                  <c:v>358.53750000000002</c:v>
                </c:pt>
              </c:numCache>
            </c:numRef>
          </c:val>
          <c:extLst>
            <c:ext xmlns:c16="http://schemas.microsoft.com/office/drawing/2014/chart" uri="{C3380CC4-5D6E-409C-BE32-E72D297353CC}">
              <c16:uniqueId val="{00000000-E49D-4130-8560-74E02DC5AF1D}"/>
            </c:ext>
          </c:extLst>
        </c:ser>
        <c:ser>
          <c:idx val="2"/>
          <c:order val="1"/>
          <c:tx>
            <c:v>base</c:v>
          </c:tx>
          <c:spPr>
            <a:solidFill>
              <a:srgbClr val="FF0000"/>
            </a:solidFill>
            <a:ln>
              <a:solidFill>
                <a:srgbClr val="FF0000"/>
              </a:solidFill>
            </a:ln>
            <a:effectLst/>
          </c:spPr>
          <c:invertIfNegative val="0"/>
          <c:cat>
            <c:numRef>
              <c:f>Feuil1!$B$3:$B$52</c:f>
              <c:numCache>
                <c:formatCode>0.000000</c:formatCode>
                <c:ptCount val="50"/>
                <c:pt idx="0" formatCode="0.00000">
                  <c:v>1E-4</c:v>
                </c:pt>
                <c:pt idx="1">
                  <c:v>2.1191919191919199E-3</c:v>
                </c:pt>
                <c:pt idx="2" formatCode="0.000">
                  <c:v>4.1383838383838396E-3</c:v>
                </c:pt>
                <c:pt idx="3" formatCode="0.000">
                  <c:v>6.1575757575757601E-3</c:v>
                </c:pt>
                <c:pt idx="4" formatCode="0.000">
                  <c:v>8.1767676767676798E-3</c:v>
                </c:pt>
                <c:pt idx="5" formatCode="0.000">
                  <c:v>1.01959595959596E-2</c:v>
                </c:pt>
                <c:pt idx="6" formatCode="0.000">
                  <c:v>1.22151515151515E-2</c:v>
                </c:pt>
                <c:pt idx="7" formatCode="0.000">
                  <c:v>1.42343434343434E-2</c:v>
                </c:pt>
                <c:pt idx="8" formatCode="0.000">
                  <c:v>1.6253535353535398E-2</c:v>
                </c:pt>
                <c:pt idx="9" formatCode="0.000">
                  <c:v>1.8272727272727302E-2</c:v>
                </c:pt>
                <c:pt idx="10" formatCode="0.000">
                  <c:v>2.0291919191919201E-2</c:v>
                </c:pt>
                <c:pt idx="11" formatCode="0.000">
                  <c:v>2.2311111111111101E-2</c:v>
                </c:pt>
                <c:pt idx="12" formatCode="0.000">
                  <c:v>2.4330303030303001E-2</c:v>
                </c:pt>
                <c:pt idx="13" formatCode="0.000">
                  <c:v>2.63494949494949E-2</c:v>
                </c:pt>
                <c:pt idx="14" formatCode="0.000">
                  <c:v>2.8368686868686901E-2</c:v>
                </c:pt>
                <c:pt idx="15" formatCode="0.000">
                  <c:v>3.0387878787878801E-2</c:v>
                </c:pt>
                <c:pt idx="16" formatCode="0.000">
                  <c:v>3.2407070707070697E-2</c:v>
                </c:pt>
                <c:pt idx="17" formatCode="0.000">
                  <c:v>3.4426262626262603E-2</c:v>
                </c:pt>
                <c:pt idx="18" formatCode="0.000">
                  <c:v>3.64454545454546E-2</c:v>
                </c:pt>
                <c:pt idx="19" formatCode="0.000">
                  <c:v>3.84646464646465E-2</c:v>
                </c:pt>
                <c:pt idx="20" formatCode="0.000">
                  <c:v>4.04838383838384E-2</c:v>
                </c:pt>
                <c:pt idx="21" formatCode="0.000">
                  <c:v>4.2503030303030299E-2</c:v>
                </c:pt>
                <c:pt idx="22" formatCode="0.000">
                  <c:v>4.4522222222222199E-2</c:v>
                </c:pt>
                <c:pt idx="23" formatCode="0.000">
                  <c:v>4.6541414141414099E-2</c:v>
                </c:pt>
                <c:pt idx="24" formatCode="0.000">
                  <c:v>4.8560606060606103E-2</c:v>
                </c:pt>
                <c:pt idx="25" formatCode="0.000">
                  <c:v>5.0579797979798002E-2</c:v>
                </c:pt>
                <c:pt idx="26" formatCode="0.000">
                  <c:v>5.2598989898989902E-2</c:v>
                </c:pt>
                <c:pt idx="27" formatCode="0.000">
                  <c:v>5.4618181818181802E-2</c:v>
                </c:pt>
                <c:pt idx="28" formatCode="0.000">
                  <c:v>5.6637373737373702E-2</c:v>
                </c:pt>
                <c:pt idx="29" formatCode="0.000">
                  <c:v>5.8656565656565698E-2</c:v>
                </c:pt>
                <c:pt idx="30" formatCode="0.000">
                  <c:v>6.0675757575757598E-2</c:v>
                </c:pt>
                <c:pt idx="31" formatCode="0.000">
                  <c:v>6.2694949494949498E-2</c:v>
                </c:pt>
                <c:pt idx="32" formatCode="0.000">
                  <c:v>6.4714141414141405E-2</c:v>
                </c:pt>
                <c:pt idx="33" formatCode="0.000">
                  <c:v>6.6733333333333297E-2</c:v>
                </c:pt>
                <c:pt idx="34" formatCode="0.000">
                  <c:v>6.8752525252525301E-2</c:v>
                </c:pt>
                <c:pt idx="35" formatCode="0.000">
                  <c:v>7.0771717171717194E-2</c:v>
                </c:pt>
                <c:pt idx="36" formatCode="0.000">
                  <c:v>7.2790909090909101E-2</c:v>
                </c:pt>
                <c:pt idx="37" formatCode="0.000">
                  <c:v>7.4810101010100993E-2</c:v>
                </c:pt>
                <c:pt idx="38" formatCode="0.000">
                  <c:v>7.68292929292929E-2</c:v>
                </c:pt>
                <c:pt idx="39" formatCode="0.000">
                  <c:v>7.8848484848484807E-2</c:v>
                </c:pt>
                <c:pt idx="40" formatCode="0.000">
                  <c:v>8.0867676767676797E-2</c:v>
                </c:pt>
                <c:pt idx="41" formatCode="0.000">
                  <c:v>8.2886868686868703E-2</c:v>
                </c:pt>
                <c:pt idx="42" formatCode="0.000">
                  <c:v>8.4906060606060596E-2</c:v>
                </c:pt>
                <c:pt idx="43" formatCode="0.000">
                  <c:v>8.6925252525252503E-2</c:v>
                </c:pt>
                <c:pt idx="44" formatCode="0.000">
                  <c:v>8.8944444444444506E-2</c:v>
                </c:pt>
                <c:pt idx="45" formatCode="0.000">
                  <c:v>9.0963636363636399E-2</c:v>
                </c:pt>
                <c:pt idx="46" formatCode="0.000">
                  <c:v>9.2982828282828306E-2</c:v>
                </c:pt>
                <c:pt idx="47" formatCode="0.000">
                  <c:v>9.5002020202020199E-2</c:v>
                </c:pt>
                <c:pt idx="48" formatCode="0.000">
                  <c:v>9.7021212121212105E-2</c:v>
                </c:pt>
                <c:pt idx="49" formatCode="0.000">
                  <c:v>9.9040404040403998E-2</c:v>
                </c:pt>
              </c:numCache>
            </c:numRef>
          </c:cat>
          <c:val>
            <c:numRef>
              <c:f>Feuil1!$O$3</c:f>
              <c:numCache>
                <c:formatCode>General</c:formatCode>
                <c:ptCount val="1"/>
                <c:pt idx="0">
                  <c:v>188.6</c:v>
                </c:pt>
              </c:numCache>
            </c:numRef>
          </c:val>
          <c:extLst>
            <c:ext xmlns:c16="http://schemas.microsoft.com/office/drawing/2014/chart" uri="{C3380CC4-5D6E-409C-BE32-E72D297353CC}">
              <c16:uniqueId val="{00000001-E49D-4130-8560-74E02DC5AF1D}"/>
            </c:ext>
          </c:extLst>
        </c:ser>
        <c:ser>
          <c:idx val="1"/>
          <c:order val="2"/>
          <c:tx>
            <c:v>HH 50%</c:v>
          </c:tx>
          <c:spPr>
            <a:solidFill>
              <a:schemeClr val="accent2">
                <a:lumMod val="60000"/>
                <a:lumOff val="40000"/>
              </a:schemeClr>
            </a:solidFill>
            <a:ln>
              <a:solidFill>
                <a:schemeClr val="accent2">
                  <a:lumMod val="40000"/>
                  <a:lumOff val="60000"/>
                </a:schemeClr>
              </a:solidFill>
            </a:ln>
            <a:effectLst/>
          </c:spPr>
          <c:invertIfNegative val="0"/>
          <c:cat>
            <c:numRef>
              <c:f>Feuil1!$B$3:$B$52</c:f>
              <c:numCache>
                <c:formatCode>0.000000</c:formatCode>
                <c:ptCount val="50"/>
                <c:pt idx="0" formatCode="0.00000">
                  <c:v>1E-4</c:v>
                </c:pt>
                <c:pt idx="1">
                  <c:v>2.1191919191919199E-3</c:v>
                </c:pt>
                <c:pt idx="2" formatCode="0.000">
                  <c:v>4.1383838383838396E-3</c:v>
                </c:pt>
                <c:pt idx="3" formatCode="0.000">
                  <c:v>6.1575757575757601E-3</c:v>
                </c:pt>
                <c:pt idx="4" formatCode="0.000">
                  <c:v>8.1767676767676798E-3</c:v>
                </c:pt>
                <c:pt idx="5" formatCode="0.000">
                  <c:v>1.01959595959596E-2</c:v>
                </c:pt>
                <c:pt idx="6" formatCode="0.000">
                  <c:v>1.22151515151515E-2</c:v>
                </c:pt>
                <c:pt idx="7" formatCode="0.000">
                  <c:v>1.42343434343434E-2</c:v>
                </c:pt>
                <c:pt idx="8" formatCode="0.000">
                  <c:v>1.6253535353535398E-2</c:v>
                </c:pt>
                <c:pt idx="9" formatCode="0.000">
                  <c:v>1.8272727272727302E-2</c:v>
                </c:pt>
                <c:pt idx="10" formatCode="0.000">
                  <c:v>2.0291919191919201E-2</c:v>
                </c:pt>
                <c:pt idx="11" formatCode="0.000">
                  <c:v>2.2311111111111101E-2</c:v>
                </c:pt>
                <c:pt idx="12" formatCode="0.000">
                  <c:v>2.4330303030303001E-2</c:v>
                </c:pt>
                <c:pt idx="13" formatCode="0.000">
                  <c:v>2.63494949494949E-2</c:v>
                </c:pt>
                <c:pt idx="14" formatCode="0.000">
                  <c:v>2.8368686868686901E-2</c:v>
                </c:pt>
                <c:pt idx="15" formatCode="0.000">
                  <c:v>3.0387878787878801E-2</c:v>
                </c:pt>
                <c:pt idx="16" formatCode="0.000">
                  <c:v>3.2407070707070697E-2</c:v>
                </c:pt>
                <c:pt idx="17" formatCode="0.000">
                  <c:v>3.4426262626262603E-2</c:v>
                </c:pt>
                <c:pt idx="18" formatCode="0.000">
                  <c:v>3.64454545454546E-2</c:v>
                </c:pt>
                <c:pt idx="19" formatCode="0.000">
                  <c:v>3.84646464646465E-2</c:v>
                </c:pt>
                <c:pt idx="20" formatCode="0.000">
                  <c:v>4.04838383838384E-2</c:v>
                </c:pt>
                <c:pt idx="21" formatCode="0.000">
                  <c:v>4.2503030303030299E-2</c:v>
                </c:pt>
                <c:pt idx="22" formatCode="0.000">
                  <c:v>4.4522222222222199E-2</c:v>
                </c:pt>
                <c:pt idx="23" formatCode="0.000">
                  <c:v>4.6541414141414099E-2</c:v>
                </c:pt>
                <c:pt idx="24" formatCode="0.000">
                  <c:v>4.8560606060606103E-2</c:v>
                </c:pt>
                <c:pt idx="25" formatCode="0.000">
                  <c:v>5.0579797979798002E-2</c:v>
                </c:pt>
                <c:pt idx="26" formatCode="0.000">
                  <c:v>5.2598989898989902E-2</c:v>
                </c:pt>
                <c:pt idx="27" formatCode="0.000">
                  <c:v>5.4618181818181802E-2</c:v>
                </c:pt>
                <c:pt idx="28" formatCode="0.000">
                  <c:v>5.6637373737373702E-2</c:v>
                </c:pt>
                <c:pt idx="29" formatCode="0.000">
                  <c:v>5.8656565656565698E-2</c:v>
                </c:pt>
                <c:pt idx="30" formatCode="0.000">
                  <c:v>6.0675757575757598E-2</c:v>
                </c:pt>
                <c:pt idx="31" formatCode="0.000">
                  <c:v>6.2694949494949498E-2</c:v>
                </c:pt>
                <c:pt idx="32" formatCode="0.000">
                  <c:v>6.4714141414141405E-2</c:v>
                </c:pt>
                <c:pt idx="33" formatCode="0.000">
                  <c:v>6.6733333333333297E-2</c:v>
                </c:pt>
                <c:pt idx="34" formatCode="0.000">
                  <c:v>6.8752525252525301E-2</c:v>
                </c:pt>
                <c:pt idx="35" formatCode="0.000">
                  <c:v>7.0771717171717194E-2</c:v>
                </c:pt>
                <c:pt idx="36" formatCode="0.000">
                  <c:v>7.2790909090909101E-2</c:v>
                </c:pt>
                <c:pt idx="37" formatCode="0.000">
                  <c:v>7.4810101010100993E-2</c:v>
                </c:pt>
                <c:pt idx="38" formatCode="0.000">
                  <c:v>7.68292929292929E-2</c:v>
                </c:pt>
                <c:pt idx="39" formatCode="0.000">
                  <c:v>7.8848484848484807E-2</c:v>
                </c:pt>
                <c:pt idx="40" formatCode="0.000">
                  <c:v>8.0867676767676797E-2</c:v>
                </c:pt>
                <c:pt idx="41" formatCode="0.000">
                  <c:v>8.2886868686868703E-2</c:v>
                </c:pt>
                <c:pt idx="42" formatCode="0.000">
                  <c:v>8.4906060606060596E-2</c:v>
                </c:pt>
                <c:pt idx="43" formatCode="0.000">
                  <c:v>8.6925252525252503E-2</c:v>
                </c:pt>
                <c:pt idx="44" formatCode="0.000">
                  <c:v>8.8944444444444506E-2</c:v>
                </c:pt>
                <c:pt idx="45" formatCode="0.000">
                  <c:v>9.0963636363636399E-2</c:v>
                </c:pt>
                <c:pt idx="46" formatCode="0.000">
                  <c:v>9.2982828282828306E-2</c:v>
                </c:pt>
                <c:pt idx="47" formatCode="0.000">
                  <c:v>9.5002020202020199E-2</c:v>
                </c:pt>
                <c:pt idx="48" formatCode="0.000">
                  <c:v>9.7021212121212105E-2</c:v>
                </c:pt>
                <c:pt idx="49" formatCode="0.000">
                  <c:v>9.9040404040403998E-2</c:v>
                </c:pt>
              </c:numCache>
            </c:numRef>
          </c:cat>
          <c:val>
            <c:numRef>
              <c:f>Feuil1!$H$3:$H$52</c:f>
              <c:numCache>
                <c:formatCode>General</c:formatCode>
                <c:ptCount val="50"/>
                <c:pt idx="0">
                  <c:v>138.86086666666699</c:v>
                </c:pt>
                <c:pt idx="1">
                  <c:v>169.25116666666699</c:v>
                </c:pt>
                <c:pt idx="2">
                  <c:v>195.745833333333</c:v>
                </c:pt>
                <c:pt idx="3">
                  <c:v>215.40600000000001</c:v>
                </c:pt>
                <c:pt idx="4">
                  <c:v>232.69323333333301</c:v>
                </c:pt>
                <c:pt idx="5">
                  <c:v>245.57040000000001</c:v>
                </c:pt>
                <c:pt idx="6">
                  <c:v>257.24596666666702</c:v>
                </c:pt>
                <c:pt idx="7">
                  <c:v>266.71570000000003</c:v>
                </c:pt>
                <c:pt idx="8">
                  <c:v>276.21600000000001</c:v>
                </c:pt>
                <c:pt idx="9">
                  <c:v>281.92546666666698</c:v>
                </c:pt>
                <c:pt idx="10">
                  <c:v>290.12763333333299</c:v>
                </c:pt>
                <c:pt idx="11">
                  <c:v>295.17630000000003</c:v>
                </c:pt>
                <c:pt idx="12">
                  <c:v>300.4323</c:v>
                </c:pt>
                <c:pt idx="13">
                  <c:v>305.82813333333303</c:v>
                </c:pt>
                <c:pt idx="14">
                  <c:v>310.01253333333301</c:v>
                </c:pt>
                <c:pt idx="15">
                  <c:v>312.83839999999998</c:v>
                </c:pt>
                <c:pt idx="16">
                  <c:v>318.24619999999999</c:v>
                </c:pt>
                <c:pt idx="17">
                  <c:v>320.16673333333301</c:v>
                </c:pt>
                <c:pt idx="18">
                  <c:v>323.04166666666703</c:v>
                </c:pt>
                <c:pt idx="19">
                  <c:v>325.67020000000002</c:v>
                </c:pt>
                <c:pt idx="20">
                  <c:v>327.621033333333</c:v>
                </c:pt>
                <c:pt idx="21">
                  <c:v>329.86293333333299</c:v>
                </c:pt>
                <c:pt idx="22">
                  <c:v>331.70676666666702</c:v>
                </c:pt>
                <c:pt idx="23">
                  <c:v>334.15839999999997</c:v>
                </c:pt>
                <c:pt idx="24">
                  <c:v>335.418833333333</c:v>
                </c:pt>
                <c:pt idx="25">
                  <c:v>337.254166666667</c:v>
                </c:pt>
                <c:pt idx="26">
                  <c:v>338.97019999999998</c:v>
                </c:pt>
                <c:pt idx="27">
                  <c:v>339.47423333333302</c:v>
                </c:pt>
                <c:pt idx="28">
                  <c:v>340.28493333333302</c:v>
                </c:pt>
                <c:pt idx="29">
                  <c:v>341.1105</c:v>
                </c:pt>
                <c:pt idx="30">
                  <c:v>342.78539999999998</c:v>
                </c:pt>
                <c:pt idx="31">
                  <c:v>343.195766666667</c:v>
                </c:pt>
                <c:pt idx="32">
                  <c:v>344.06483333333301</c:v>
                </c:pt>
                <c:pt idx="33">
                  <c:v>345.10629999999998</c:v>
                </c:pt>
                <c:pt idx="34">
                  <c:v>345.73183333333299</c:v>
                </c:pt>
                <c:pt idx="35">
                  <c:v>346.51850000000002</c:v>
                </c:pt>
                <c:pt idx="36">
                  <c:v>347.61393333333302</c:v>
                </c:pt>
                <c:pt idx="37">
                  <c:v>347.70690000000002</c:v>
                </c:pt>
                <c:pt idx="38">
                  <c:v>347.879166666667</c:v>
                </c:pt>
                <c:pt idx="39">
                  <c:v>348.84186666666699</c:v>
                </c:pt>
                <c:pt idx="40">
                  <c:v>348.736533333333</c:v>
                </c:pt>
                <c:pt idx="41">
                  <c:v>349.378266666667</c:v>
                </c:pt>
                <c:pt idx="42">
                  <c:v>350.46303333333299</c:v>
                </c:pt>
                <c:pt idx="43">
                  <c:v>350.04786666666701</c:v>
                </c:pt>
                <c:pt idx="44">
                  <c:v>350.09233333333299</c:v>
                </c:pt>
                <c:pt idx="45">
                  <c:v>351.20176666666703</c:v>
                </c:pt>
                <c:pt idx="46">
                  <c:v>351.96519999999998</c:v>
                </c:pt>
                <c:pt idx="47">
                  <c:v>351.796766666667</c:v>
                </c:pt>
                <c:pt idx="48">
                  <c:v>351.91576666666703</c:v>
                </c:pt>
                <c:pt idx="49">
                  <c:v>353.06540000000001</c:v>
                </c:pt>
              </c:numCache>
            </c:numRef>
          </c:val>
          <c:extLst>
            <c:ext xmlns:c16="http://schemas.microsoft.com/office/drawing/2014/chart" uri="{C3380CC4-5D6E-409C-BE32-E72D297353CC}">
              <c16:uniqueId val="{00000002-E49D-4130-8560-74E02DC5AF1D}"/>
            </c:ext>
          </c:extLst>
        </c:ser>
        <c:dLbls>
          <c:showLegendKey val="0"/>
          <c:showVal val="0"/>
          <c:showCatName val="0"/>
          <c:showSerName val="0"/>
          <c:showPercent val="0"/>
          <c:showBubbleSize val="0"/>
        </c:dLbls>
        <c:gapWidth val="219"/>
        <c:overlap val="-27"/>
        <c:axId val="287537568"/>
        <c:axId val="287534944"/>
      </c:barChart>
      <c:catAx>
        <c:axId val="28753756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000" b="0" i="0" baseline="0">
                    <a:effectLst/>
                  </a:rPr>
                  <a:t>Daily probability of background colonisation</a:t>
                </a:r>
                <a:endParaRPr lang="fr-FR" sz="1000">
                  <a:effectLst/>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0.00000"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87534944"/>
        <c:crosses val="autoZero"/>
        <c:auto val="1"/>
        <c:lblAlgn val="ctr"/>
        <c:lblOffset val="100"/>
        <c:noMultiLvlLbl val="0"/>
      </c:catAx>
      <c:valAx>
        <c:axId val="2875349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sz="1000" b="0" i="0" baseline="0">
                    <a:effectLst/>
                  </a:rPr>
                  <a:t>Persistance time in the household</a:t>
                </a:r>
                <a:endParaRPr lang="fr-FR" sz="1000">
                  <a:effectLst/>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87537568"/>
        <c:crosses val="autoZero"/>
        <c:crossBetween val="between"/>
      </c:valAx>
      <c:spPr>
        <a:noFill/>
        <a:ln>
          <a:noFill/>
        </a:ln>
        <a:effectLst/>
      </c:spPr>
    </c:plotArea>
    <c:legend>
      <c:legendPos val="b"/>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6</Pages>
  <Words>20774</Words>
  <Characters>114257</Characters>
  <Application>Microsoft Office Word</Application>
  <DocSecurity>0</DocSecurity>
  <Lines>952</Lines>
  <Paragraphs>269</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134762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Lidia</dc:creator>
  <cp:keywords/>
  <dc:description/>
  <cp:lastModifiedBy>Lidia</cp:lastModifiedBy>
  <cp:revision>9</cp:revision>
  <cp:lastPrinted>2020-03-02T13:32:00Z</cp:lastPrinted>
  <dcterms:created xsi:type="dcterms:W3CDTF">2020-03-02T13:29:00Z</dcterms:created>
  <dcterms:modified xsi:type="dcterms:W3CDTF">2020-04-01T23:29:00Z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zotero-version="4.0.29.10"&gt;&lt;session id="yjBbkMPW"/&gt;&lt;style id="http://www.zotero.org/styles/journal-of-infectious-diseases" hasBibliography="1" bibliographyStyleHasBeenSet="1"/&gt;&lt;prefs&gt;&lt;pref name="fieldType" value="Field"/&gt;&lt;pref name=</vt:lpwstr>
  </property>
  <property fmtid="{D5CDD505-2E9C-101B-9397-08002B2CF9AE}" pid="3" name="ZOTERO_PREF_2">
    <vt:lpwstr>"storeReferences" value="true"/&gt;&lt;pref name="automaticJournalAbbreviations" value="true"/&gt;&lt;pref name="noteType" value=""/&gt;&lt;/prefs&gt;&lt;/data&gt;</vt:lpwstr>
  </property>
</Properties>
</file>