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CECF2" w14:textId="77777777" w:rsidR="006536AA" w:rsidRDefault="006536AA" w:rsidP="006536AA">
      <w:pPr>
        <w:pStyle w:val="Heading1"/>
      </w:pPr>
      <w:r>
        <w:t>Practical Strategies to Achieve Resilient Health Systems</w:t>
      </w:r>
      <w:r>
        <w:t xml:space="preserve"> </w:t>
      </w:r>
    </w:p>
    <w:p w14:paraId="7444AF3E" w14:textId="75C9CE3E" w:rsidR="006536AA" w:rsidRPr="006536AA" w:rsidRDefault="006536AA" w:rsidP="006536AA">
      <w:pPr>
        <w:pStyle w:val="Heading1"/>
        <w:rPr>
          <w:rStyle w:val="Heading2Char"/>
        </w:rPr>
      </w:pPr>
      <w:r>
        <w:rPr>
          <w:rStyle w:val="Heading2Char"/>
        </w:rPr>
        <w:t>R</w:t>
      </w:r>
      <w:r w:rsidRPr="006536AA">
        <w:rPr>
          <w:rStyle w:val="Heading2Char"/>
        </w:rPr>
        <w:t>esults from a Scoping Review</w:t>
      </w:r>
    </w:p>
    <w:p w14:paraId="47F3A7F9" w14:textId="77777777" w:rsidR="006536AA" w:rsidRPr="006536AA" w:rsidRDefault="006536AA" w:rsidP="006536AA"/>
    <w:p w14:paraId="6CDD24B2" w14:textId="77777777" w:rsidR="006536AA" w:rsidRDefault="006536AA" w:rsidP="006536AA">
      <w:r w:rsidRPr="00D01B39">
        <w:rPr>
          <w:b/>
          <w:bCs/>
        </w:rPr>
        <w:t>Supplement 1</w:t>
      </w:r>
      <w:r>
        <w:t xml:space="preserve">. </w:t>
      </w:r>
    </w:p>
    <w:p w14:paraId="0A03D7E3" w14:textId="62D989B4" w:rsidR="006536AA" w:rsidRDefault="006536AA" w:rsidP="006536AA">
      <w:r>
        <w:t xml:space="preserve"> Example of an Essential Public Health Functions (EPHF) list </w:t>
      </w:r>
      <w:r>
        <w:fldChar w:fldCharType="begin"/>
      </w:r>
      <w:r>
        <w:instrText xml:space="preserve"> ADDIN EN.CITE &lt;EndNote&gt;&lt;Cite&gt;&lt;Author&gt;World Health Organization&lt;/Author&gt;&lt;Year&gt;2017&lt;/Year&gt;&lt;RecNum&gt;150&lt;/RecNum&gt;&lt;DisplayText&gt;[1]&lt;/DisplayText&gt;&lt;record&gt;&lt;rec-number&gt;150&lt;/rec-number&gt;&lt;foreign-keys&gt;&lt;key app="EN" db-id="v590fxpaa9ftxhefastxdrvgw009ew0dxwf2" timestamp="1678553505"&gt;150&lt;/key&gt;&lt;/foreign-keys&gt;&lt;ref-type name="Journal Article"&gt;17&lt;/ref-type&gt;&lt;contributors&gt;&lt;authors&gt;&lt;author&gt;World Health Organization,&lt;/author&gt;&lt;/authors&gt;&lt;/contributors&gt;&lt;titles&gt;&lt;title&gt;Assessment of essential public health functions in countries of the Eastern Mediterranean Region: assessment tool&lt;/title&gt;&lt;/titles&gt;&lt;dates&gt;&lt;year&gt;2017&lt;/year&gt;&lt;/dates&gt;&lt;isbn&gt;9290221941&lt;/isbn&gt;&lt;urls&gt;&lt;/urls&gt;&lt;/record&gt;&lt;/Cite&gt;&lt;/EndNote&gt;</w:instrText>
      </w:r>
      <w:r>
        <w:fldChar w:fldCharType="separate"/>
      </w:r>
      <w:r>
        <w:rPr>
          <w:noProof/>
        </w:rPr>
        <w:t>[1]</w:t>
      </w:r>
      <w:r>
        <w:fldChar w:fldCharType="end"/>
      </w:r>
      <w:r>
        <w:t xml:space="preserve">. This example </w:t>
      </w:r>
      <w:proofErr w:type="gramStart"/>
      <w:r>
        <w:t>from</w:t>
      </w:r>
      <w:proofErr w:type="gramEnd"/>
      <w:r>
        <w:t xml:space="preserve"> the Eastern Mediterranean Regional Office (EMRO) of the WHO. The table maps how each function contributes to resilient intelligence in column 1. EMRO’s original </w:t>
      </w:r>
      <w:proofErr w:type="gramStart"/>
      <w:r>
        <w:t>documented</w:t>
      </w:r>
      <w:proofErr w:type="gramEnd"/>
      <w:r>
        <w:t xml:space="preserve"> classified each function as core or enabling.  </w:t>
      </w:r>
    </w:p>
    <w:tbl>
      <w:tblPr>
        <w:tblW w:w="1020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2"/>
        <w:gridCol w:w="6634"/>
        <w:gridCol w:w="1344"/>
      </w:tblGrid>
      <w:tr w:rsidR="006536AA" w14:paraId="5E3CDAF8" w14:textId="77777777" w:rsidTr="00945C17">
        <w:trPr>
          <w:trHeight w:val="629"/>
        </w:trPr>
        <w:tc>
          <w:tcPr>
            <w:tcW w:w="2222" w:type="dxa"/>
          </w:tcPr>
          <w:p w14:paraId="507DC467" w14:textId="77777777" w:rsidR="006536AA" w:rsidRPr="00EC0E98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C0E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Resilient Intelligence Task</w:t>
            </w:r>
          </w:p>
        </w:tc>
        <w:tc>
          <w:tcPr>
            <w:tcW w:w="6634" w:type="dxa"/>
          </w:tcPr>
          <w:p w14:paraId="03E49251" w14:textId="77777777" w:rsidR="006536AA" w:rsidRPr="00EC0E98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C0E98">
              <w:rPr>
                <w:rFonts w:ascii="Calibri" w:hAnsi="Calibri" w:cs="Calibri"/>
                <w:b/>
                <w:bCs/>
                <w:color w:val="000000"/>
              </w:rPr>
              <w:t>Public Health Functions</w:t>
            </w:r>
          </w:p>
        </w:tc>
        <w:tc>
          <w:tcPr>
            <w:tcW w:w="1344" w:type="dxa"/>
          </w:tcPr>
          <w:p w14:paraId="72CDDA4E" w14:textId="77777777" w:rsidR="006536AA" w:rsidRPr="00EC0E98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Core or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Enabling</w:t>
            </w:r>
            <w:proofErr w:type="gramEnd"/>
          </w:p>
        </w:tc>
      </w:tr>
      <w:tr w:rsidR="006536AA" w14:paraId="7E926F92" w14:textId="77777777" w:rsidTr="00945C17">
        <w:trPr>
          <w:trHeight w:val="317"/>
        </w:trPr>
        <w:tc>
          <w:tcPr>
            <w:tcW w:w="2222" w:type="dxa"/>
          </w:tcPr>
          <w:p w14:paraId="5FA94704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Afferent sensing</w:t>
            </w:r>
          </w:p>
        </w:tc>
        <w:tc>
          <w:tcPr>
            <w:tcW w:w="6634" w:type="dxa"/>
          </w:tcPr>
          <w:p w14:paraId="7C164602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Surveillance and monitoring of health determinants, risks, </w:t>
            </w:r>
            <w:proofErr w:type="gramStart"/>
            <w:r>
              <w:rPr>
                <w:rFonts w:ascii="Calibri" w:hAnsi="Calibri" w:cs="Calibri"/>
                <w:color w:val="000000"/>
              </w:rPr>
              <w:t>morbidity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and mortality</w:t>
            </w:r>
          </w:p>
        </w:tc>
        <w:tc>
          <w:tcPr>
            <w:tcW w:w="1344" w:type="dxa"/>
          </w:tcPr>
          <w:p w14:paraId="7D88A798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Core</w:t>
            </w:r>
          </w:p>
        </w:tc>
      </w:tr>
      <w:tr w:rsidR="006536AA" w14:paraId="7B1FEEF0" w14:textId="77777777" w:rsidTr="00945C17">
        <w:trPr>
          <w:trHeight w:val="317"/>
        </w:trPr>
        <w:tc>
          <w:tcPr>
            <w:tcW w:w="2222" w:type="dxa"/>
            <w:shd w:val="clear" w:color="auto" w:fill="D9D9D9" w:themeFill="background1" w:themeFillShade="D9"/>
          </w:tcPr>
          <w:p w14:paraId="52CF2FE5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Deliberation</w:t>
            </w:r>
          </w:p>
        </w:tc>
        <w:tc>
          <w:tcPr>
            <w:tcW w:w="6634" w:type="dxa"/>
            <w:shd w:val="clear" w:color="auto" w:fill="D9D9D9" w:themeFill="background1" w:themeFillShade="D9"/>
          </w:tcPr>
          <w:p w14:paraId="716D47C5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Effective health governance, public health legislation, </w:t>
            </w:r>
            <w:proofErr w:type="gramStart"/>
            <w:r>
              <w:rPr>
                <w:rFonts w:ascii="Calibri" w:hAnsi="Calibri" w:cs="Calibri"/>
                <w:color w:val="000000"/>
              </w:rPr>
              <w:t>financing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and institutional structures</w:t>
            </w:r>
          </w:p>
        </w:tc>
        <w:tc>
          <w:tcPr>
            <w:tcW w:w="1344" w:type="dxa"/>
            <w:shd w:val="clear" w:color="auto" w:fill="D9D9D9" w:themeFill="background1" w:themeFillShade="D9"/>
          </w:tcPr>
          <w:p w14:paraId="086739C5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Enabling</w:t>
            </w:r>
          </w:p>
        </w:tc>
      </w:tr>
      <w:tr w:rsidR="006536AA" w14:paraId="7922FEE2" w14:textId="77777777" w:rsidTr="00945C17">
        <w:trPr>
          <w:trHeight w:val="317"/>
        </w:trPr>
        <w:tc>
          <w:tcPr>
            <w:tcW w:w="2222" w:type="dxa"/>
            <w:shd w:val="clear" w:color="auto" w:fill="D9D9D9" w:themeFill="background1" w:themeFillShade="D9"/>
          </w:tcPr>
          <w:p w14:paraId="131E6C1E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Deliberation</w:t>
            </w:r>
          </w:p>
        </w:tc>
        <w:tc>
          <w:tcPr>
            <w:tcW w:w="6634" w:type="dxa"/>
            <w:shd w:val="clear" w:color="auto" w:fill="D9D9D9" w:themeFill="background1" w:themeFillShade="D9"/>
          </w:tcPr>
          <w:p w14:paraId="1126895A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Public health research to inform and influence policy and practice</w:t>
            </w:r>
          </w:p>
        </w:tc>
        <w:tc>
          <w:tcPr>
            <w:tcW w:w="1344" w:type="dxa"/>
            <w:shd w:val="clear" w:color="auto" w:fill="D9D9D9" w:themeFill="background1" w:themeFillShade="D9"/>
          </w:tcPr>
          <w:p w14:paraId="0E6FFBFE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Enabling</w:t>
            </w:r>
          </w:p>
        </w:tc>
      </w:tr>
      <w:tr w:rsidR="006536AA" w14:paraId="7F500739" w14:textId="77777777" w:rsidTr="00945C17">
        <w:trPr>
          <w:trHeight w:val="317"/>
        </w:trPr>
        <w:tc>
          <w:tcPr>
            <w:tcW w:w="2222" w:type="dxa"/>
          </w:tcPr>
          <w:p w14:paraId="4E992C78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Efferent action</w:t>
            </w:r>
          </w:p>
        </w:tc>
        <w:tc>
          <w:tcPr>
            <w:tcW w:w="6634" w:type="dxa"/>
          </w:tcPr>
          <w:p w14:paraId="654BE7E9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Sufficient and competent workforce for effective public health delivery</w:t>
            </w:r>
          </w:p>
        </w:tc>
        <w:tc>
          <w:tcPr>
            <w:tcW w:w="1344" w:type="dxa"/>
          </w:tcPr>
          <w:p w14:paraId="2C0CBA33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Enabling</w:t>
            </w:r>
          </w:p>
        </w:tc>
      </w:tr>
      <w:tr w:rsidR="006536AA" w14:paraId="2960DA6D" w14:textId="77777777" w:rsidTr="00945C17">
        <w:trPr>
          <w:trHeight w:val="581"/>
        </w:trPr>
        <w:tc>
          <w:tcPr>
            <w:tcW w:w="2222" w:type="dxa"/>
          </w:tcPr>
          <w:p w14:paraId="3C320799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Efferent action</w:t>
            </w:r>
          </w:p>
        </w:tc>
        <w:tc>
          <w:tcPr>
            <w:tcW w:w="6634" w:type="dxa"/>
          </w:tcPr>
          <w:p w14:paraId="665A5604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Health protection including management of environmental, food, toxicological and occupational safety</w:t>
            </w:r>
          </w:p>
        </w:tc>
        <w:tc>
          <w:tcPr>
            <w:tcW w:w="1344" w:type="dxa"/>
          </w:tcPr>
          <w:p w14:paraId="32A2C4B3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Core</w:t>
            </w:r>
          </w:p>
        </w:tc>
      </w:tr>
      <w:tr w:rsidR="006536AA" w14:paraId="039CDC36" w14:textId="77777777" w:rsidTr="00945C17">
        <w:trPr>
          <w:trHeight w:val="581"/>
        </w:trPr>
        <w:tc>
          <w:tcPr>
            <w:tcW w:w="2222" w:type="dxa"/>
          </w:tcPr>
          <w:p w14:paraId="03A84172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Efferent action</w:t>
            </w:r>
          </w:p>
        </w:tc>
        <w:tc>
          <w:tcPr>
            <w:tcW w:w="6634" w:type="dxa"/>
          </w:tcPr>
          <w:p w14:paraId="68E36E94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Health promotion and disease prevention through population and personalized interventions, including action to address social determinants and health inequity</w:t>
            </w:r>
          </w:p>
        </w:tc>
        <w:tc>
          <w:tcPr>
            <w:tcW w:w="1344" w:type="dxa"/>
          </w:tcPr>
          <w:p w14:paraId="78161E7F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Core</w:t>
            </w:r>
          </w:p>
        </w:tc>
      </w:tr>
      <w:tr w:rsidR="006536AA" w14:paraId="14F89DA2" w14:textId="77777777" w:rsidTr="00945C17">
        <w:trPr>
          <w:trHeight w:val="581"/>
        </w:trPr>
        <w:tc>
          <w:tcPr>
            <w:tcW w:w="2222" w:type="dxa"/>
          </w:tcPr>
          <w:p w14:paraId="33B8B0A6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Efferent action</w:t>
            </w:r>
          </w:p>
        </w:tc>
        <w:tc>
          <w:tcPr>
            <w:tcW w:w="6634" w:type="dxa"/>
          </w:tcPr>
          <w:p w14:paraId="4F5DB083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Preparedness and public health response to disease outbreaks, natural </w:t>
            </w:r>
            <w:proofErr w:type="gramStart"/>
            <w:r>
              <w:rPr>
                <w:rFonts w:ascii="Calibri" w:hAnsi="Calibri" w:cs="Calibri"/>
                <w:color w:val="000000"/>
              </w:rPr>
              <w:t>disasters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and other emergencies</w:t>
            </w:r>
          </w:p>
        </w:tc>
        <w:tc>
          <w:tcPr>
            <w:tcW w:w="1344" w:type="dxa"/>
          </w:tcPr>
          <w:p w14:paraId="5849741F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Core</w:t>
            </w:r>
          </w:p>
        </w:tc>
      </w:tr>
      <w:tr w:rsidR="006536AA" w14:paraId="455382FD" w14:textId="77777777" w:rsidTr="00945C17">
        <w:trPr>
          <w:trHeight w:val="317"/>
        </w:trPr>
        <w:tc>
          <w:tcPr>
            <w:tcW w:w="2222" w:type="dxa"/>
          </w:tcPr>
          <w:p w14:paraId="20C4178F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Efferent action</w:t>
            </w:r>
          </w:p>
        </w:tc>
        <w:tc>
          <w:tcPr>
            <w:tcW w:w="6634" w:type="dxa"/>
          </w:tcPr>
          <w:p w14:paraId="1DC89C46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Communication and social mobilization for health</w:t>
            </w:r>
          </w:p>
        </w:tc>
        <w:tc>
          <w:tcPr>
            <w:tcW w:w="1344" w:type="dxa"/>
          </w:tcPr>
          <w:p w14:paraId="341FDC4F" w14:textId="77777777" w:rsidR="006536AA" w:rsidRDefault="006536AA" w:rsidP="0094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Enabling</w:t>
            </w:r>
          </w:p>
        </w:tc>
      </w:tr>
    </w:tbl>
    <w:p w14:paraId="227FE10B" w14:textId="77777777" w:rsidR="006536AA" w:rsidRDefault="006536AA" w:rsidP="006536AA"/>
    <w:p w14:paraId="6BA594A6" w14:textId="77777777" w:rsidR="006536AA" w:rsidRDefault="006536AA" w:rsidP="006536AA"/>
    <w:p w14:paraId="4165354A" w14:textId="4BACC9B2" w:rsidR="006536AA" w:rsidRDefault="006536AA">
      <w:r>
        <w:t>References</w:t>
      </w:r>
    </w:p>
    <w:p w14:paraId="1570E7C5" w14:textId="77777777" w:rsidR="006536AA" w:rsidRPr="006536AA" w:rsidRDefault="006536AA" w:rsidP="006536AA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6536AA">
        <w:t>1.</w:t>
      </w:r>
      <w:r w:rsidRPr="006536AA">
        <w:tab/>
        <w:t xml:space="preserve">World Health Organization: </w:t>
      </w:r>
      <w:r w:rsidRPr="006536AA">
        <w:rPr>
          <w:b/>
        </w:rPr>
        <w:t>Assessment of essential public health functions in countries of the Eastern Mediterranean Region: assessment tool</w:t>
      </w:r>
      <w:r w:rsidRPr="006536AA">
        <w:t>. 2017.</w:t>
      </w:r>
    </w:p>
    <w:p w14:paraId="669EC5BB" w14:textId="5C391895" w:rsidR="006536AA" w:rsidRDefault="006536AA">
      <w:r>
        <w:fldChar w:fldCharType="end"/>
      </w:r>
    </w:p>
    <w:sectPr w:rsidR="006536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BMC Public Heal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590fxpaa9ftxhefastxdrvgw009ew0dxwf2&quot;&gt;MergeCitedFINALMARCH112023&lt;record-ids&gt;&lt;item&gt;150&lt;/item&gt;&lt;/record-ids&gt;&lt;/item&gt;&lt;/Libraries&gt;"/>
  </w:docVars>
  <w:rsids>
    <w:rsidRoot w:val="006536AA"/>
    <w:rsid w:val="0065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AEF86"/>
  <w15:chartTrackingRefBased/>
  <w15:docId w15:val="{BCF92E5D-9829-410F-B834-5D41186C1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6A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36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36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536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36A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styleId="SubtleEmphasis">
    <w:name w:val="Subtle Emphasis"/>
    <w:basedOn w:val="DefaultParagraphFont"/>
    <w:uiPriority w:val="19"/>
    <w:qFormat/>
    <w:rsid w:val="006536AA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6536A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536A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6536A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536AA"/>
    <w:rPr>
      <w:rFonts w:ascii="Calibri" w:hAnsi="Calibri" w:cs="Calibri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6536A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536AA"/>
    <w:rPr>
      <w:rFonts w:ascii="Calibri" w:hAnsi="Calibri" w:cs="Calibri"/>
      <w:noProof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363</Words>
  <Characters>1890</Characters>
  <Application>Microsoft Office Word</Application>
  <DocSecurity>0</DocSecurity>
  <Lines>35</Lines>
  <Paragraphs>18</Paragraphs>
  <ScaleCrop>false</ScaleCrop>
  <Company>Johns Hopkins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Bishai</dc:creator>
  <cp:keywords/>
  <dc:description/>
  <cp:lastModifiedBy>David Bishai</cp:lastModifiedBy>
  <cp:revision>1</cp:revision>
  <dcterms:created xsi:type="dcterms:W3CDTF">2023-05-07T08:40:00Z</dcterms:created>
  <dcterms:modified xsi:type="dcterms:W3CDTF">2023-05-07T08:42:00Z</dcterms:modified>
</cp:coreProperties>
</file>